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color w:val="1D1D1F"/>
          <w:sz w:val="32"/>
        </w:rPr>
        <w:t>PLUGnx</w:t>
      </w:r>
    </w:p>
    <w:p>
      <w:pPr>
        <w:spacing w:after="160" w:before="0"/>
      </w:pPr>
      <w:r>
        <w:rPr>
          <w:b w:val="0"/>
          <w:color w:val="7A7A7A"/>
          <w:sz w:val="16"/>
        </w:rPr>
        <w:t>외국인 신사업 · 경영진 보고서 (Executive Readout · 1-Pager)  |  작성 2026-06-23 · 내부용(CONFIDENTIAL)  |  근거: 사업기획서 v1.0(SSOT)·라이브 서비스</w:t>
      </w:r>
    </w:p>
    <w:p>
      <w:pPr>
        <w:spacing w:after="80"/>
        <w:pBdr>
          <w:bottom w:val="single" w:sz="12" w:space="1" w:color="1D1D1F"/>
        </w:pBdr>
      </w:pPr>
    </w:p>
    <w:p>
      <w:pPr>
        <w:spacing w:after="40" w:before="0"/>
      </w:pPr>
      <w:r>
        <w:rPr>
          <w:b/>
          <w:color w:val="0066CC"/>
          <w:sz w:val="17"/>
        </w:rPr>
        <w:t>Executive Readout · 1-Pager</w:t>
      </w:r>
    </w:p>
    <w:p>
      <w:pPr>
        <w:spacing w:after="40" w:before="0"/>
      </w:pPr>
      <w:r>
        <w:rPr>
          <w:b/>
          <w:color w:val="1D1D1F"/>
          <w:sz w:val="32"/>
        </w:rPr>
        <w:t>외국인 고용 시장의 "채용 이후"를 한 데이터 파이프라인으로 잠근다</w:t>
      </w:r>
    </w:p>
    <w:p>
      <w:pPr>
        <w:spacing w:after="160" w:before="0"/>
      </w:pPr>
      <w:r>
        <w:rPr>
          <w:b w:val="0"/>
          <w:sz w:val="21"/>
        </w:rPr>
        <w:t xml:space="preserve">B2B </w:t>
      </w:r>
      <w:r>
        <w:rPr>
          <w:b/>
          <w:sz w:val="21"/>
        </w:rPr>
        <w:t>VisaDesk</w:t>
      </w:r>
      <w:r>
        <w:rPr>
          <w:b w:val="0"/>
          <w:sz w:val="21"/>
        </w:rPr>
        <w:t xml:space="preserve">(준법관리)로 진입 → B2C </w:t>
      </w:r>
      <w:r>
        <w:rPr>
          <w:b/>
          <w:sz w:val="21"/>
        </w:rPr>
        <w:t>BackWon</w:t>
      </w:r>
      <w:r>
        <w:rPr>
          <w:b w:val="0"/>
          <w:sz w:val="21"/>
        </w:rPr>
        <w:t>(환급·금융)을 CAC 0로 자동 확보하는 양면 플랫폼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272729"/>
          </w:tcPr>
          <w:p>
            <w:pPr>
              <w:spacing w:after="40"/>
            </w:pPr>
            <w:r/>
            <w:r>
              <w:rPr>
                <w:b/>
                <w:color w:val="2997FF"/>
                <w:sz w:val="16"/>
              </w:rPr>
              <w:t>핵심 메시지 — 무엇을 말하고자 하는가</w:t>
            </w:r>
          </w:p>
          <w:p>
            <w:r>
              <w:rPr>
                <w:b w:val="0"/>
                <w:color w:val="FFFFFF"/>
                <w:sz w:val="19"/>
              </w:rPr>
              <w:t xml:space="preserve">인구구조상 </w:t>
            </w:r>
            <w:r>
              <w:rPr>
                <w:b/>
                <w:color w:val="FFFFFF"/>
                <w:sz w:val="19"/>
              </w:rPr>
              <w:t>비가역적으로 커지는 278만 외국인 시장</w:t>
            </w:r>
            <w:r>
              <w:rPr>
                <w:b w:val="0"/>
                <w:color w:val="FFFFFF"/>
                <w:sz w:val="19"/>
              </w:rPr>
              <w:t xml:space="preserve">에서, 관리·금융은 아직 엑셀에 머물러 있다. PlugNX는 </w:t>
            </w:r>
            <w:r>
              <w:rPr>
                <w:b/>
                <w:color w:val="FFFFFF"/>
                <w:sz w:val="19"/>
              </w:rPr>
              <w:t>VisaDesk(B2B 준법관리)로 기업을 확보</w:t>
            </w:r>
            <w:r>
              <w:rPr>
                <w:b w:val="0"/>
                <w:color w:val="FFFFFF"/>
                <w:sz w:val="19"/>
              </w:rPr>
              <w:t xml:space="preserve">하고, 그 기업이 등록한 근로자를 </w:t>
            </w:r>
            <w:r>
              <w:rPr>
                <w:b/>
                <w:color w:val="FFFFFF"/>
                <w:sz w:val="19"/>
              </w:rPr>
              <w:t>BackWon(B2C 환급·금융)으로 추가 획득비 없이(CAC 0) 자동 점등</w:t>
            </w:r>
            <w:r>
              <w:rPr>
                <w:b w:val="0"/>
                <w:color w:val="FFFFFF"/>
                <w:sz w:val="19"/>
              </w:rPr>
              <w:t xml:space="preserve">한다. 정책 골든윈도(K-Trust 2026.3) 안에서 </w:t>
            </w:r>
            <w:r>
              <w:rPr>
                <w:b/>
                <w:color w:val="FFFFFF"/>
                <w:sz w:val="19"/>
              </w:rPr>
              <w:t>데이터 입구를 먼저 선점</w:t>
            </w:r>
            <w:r>
              <w:rPr>
                <w:b w:val="0"/>
                <w:color w:val="FFFFFF"/>
                <w:sz w:val="19"/>
              </w:rPr>
              <w:t xml:space="preserve">하고, </w:t>
            </w:r>
            <w:r>
              <w:rPr>
                <w:b/>
                <w:color w:val="FFFFFF"/>
                <w:sz w:val="19"/>
              </w:rPr>
              <w:t>8주 PoC로 가설을 싸게 검증</w:t>
            </w:r>
            <w:r>
              <w:rPr>
                <w:b w:val="0"/>
                <w:color w:val="FFFFFF"/>
                <w:sz w:val="19"/>
              </w:rPr>
              <w:t xml:space="preserve">한 뒤 ARR 21억→60억으로 램프한다. 핵심은 단일 기능이 아니라 </w:t>
            </w:r>
            <w:r>
              <w:rPr>
                <w:b/>
                <w:color w:val="FFFFFF"/>
                <w:sz w:val="19"/>
              </w:rPr>
              <w:t>"등록 → 자동유입 → 데이터 원장"의 양면 구조</w:t>
            </w:r>
            <w:r>
              <w:rPr>
                <w:b w:val="0"/>
                <w:color w:val="FFFFFF"/>
                <w:sz w:val="19"/>
              </w:rPr>
              <w:t>다.</w:t>
            </w:r>
          </w:p>
        </w:tc>
      </w:tr>
    </w:tbl>
    <w:p>
      <w:pPr>
        <w:spacing w:after="40" w:before="0"/>
      </w:pPr>
      <w:r>
        <w:rPr>
          <w:b w:val="0"/>
          <w:sz w:val="4"/>
        </w:rPr>
      </w:r>
    </w:p>
    <w:p>
      <w:pPr>
        <w:spacing w:before="200" w:after="60"/>
        <w:pBdr>
          <w:bottom w:val="single" w:sz="6" w:space="2" w:color="CCCCCC"/>
        </w:pBdr>
      </w:pPr>
      <w:r>
        <w:rPr>
          <w:b/>
          <w:color w:val="FFFFFF"/>
          <w:sz w:val="20"/>
        </w:rPr>
        <w:t xml:space="preserve"> A </w:t>
      </w:r>
      <w:r>
        <w:rPr>
          <w:b/>
          <w:color w:val="1D1D1F"/>
          <w:sz w:val="23"/>
        </w:rPr>
        <w:t xml:space="preserve">  시장 수요는 비가역인데 관리·금융은 비어 있다 — 양면의 페인이 동시에 존재한다</w:t>
      </w:r>
    </w:p>
    <w:p>
      <w:pPr>
        <w:spacing w:after="120" w:before="0"/>
      </w:pPr>
      <w:r>
        <w:rPr>
          <w:b/>
          <w:sz w:val="18"/>
        </w:rPr>
        <w:t xml:space="preserve">Situation. </w:t>
      </w:r>
      <w:r>
        <w:rPr>
          <w:b w:val="0"/>
          <w:sz w:val="18"/>
        </w:rPr>
        <w:t xml:space="preserve">생산연령인구 감소로 외국인 인력 의존은 구조적·비가역. 체류외국인 278만 명('25), '30년 인력부족 최소 112.5만 명 추정. </w:t>
      </w:r>
      <w:r>
        <w:rPr>
          <w:b/>
          <w:sz w:val="18"/>
        </w:rPr>
        <w:t xml:space="preserve">Complication. </w:t>
      </w:r>
      <w:r>
        <w:rPr>
          <w:b w:val="0"/>
          <w:sz w:val="18"/>
        </w:rPr>
        <w:t>기업은 체류만료·임금요건·서류를 담당자 1명이 엑셀로 떠안고 적발 1건이 사업을 위협한다. 동시에 근로자는 받을 환급(1인 평균 약 1,050만)을 모른 채 출국한다.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041"/>
            <w:shd w:val="clear" w:color="auto" w:fill="F5F5F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7A7A7A"/>
                <w:sz w:val="16"/>
              </w:rPr>
              <w:t>누가 아픈가</w:t>
            </w:r>
          </w:p>
        </w:tc>
        <w:tc>
          <w:tcPr>
            <w:tcW w:type="dxa" w:w="4762"/>
            <w:shd w:val="clear" w:color="auto" w:fill="F5F5F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7A7A7A"/>
                <w:sz w:val="16"/>
              </w:rPr>
              <w:t>핵심 페인</w:t>
            </w:r>
          </w:p>
        </w:tc>
        <w:tc>
          <w:tcPr>
            <w:tcW w:type="dxa" w:w="2494"/>
            <w:shd w:val="clear" w:color="auto" w:fill="F5F5F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7A7A7A"/>
                <w:sz w:val="16"/>
              </w:rPr>
              <w:t>손해/규모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고용 기업 (B2B)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체류만료 1건 누락 → 불법고용 · 단속 연 2회 정례화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D70015"/>
                <w:sz w:val="17"/>
              </w:rPr>
              <w:t>벌금 2,000만 + 신규고용 제한 3년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고용 기업 (B2B)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임금요건 미달 → 비자 갱신 거부 → 인력 공백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D70015"/>
                <w:sz w:val="17"/>
              </w:rPr>
              <w:t>약 1,500만 / 건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외국인 근로자 (B2C)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미수령 연금·퇴직금·보험 모른 채 출국 · 급여명세 이해난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D70015"/>
                <w:sz w:val="17"/>
              </w:rPr>
              <w:t>약 1,050만 / 인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근로자 (B2C)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대출·비자 갱신 시 반복 서류 요청, 금융 신뢰 증명 부재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D70015"/>
                <w:sz w:val="17"/>
              </w:rPr>
              <w:t>금융 접근 배제</w:t>
            </w:r>
          </w:p>
        </w:tc>
      </w:tr>
    </w:tbl>
    <w:p>
      <w:pPr>
        <w:spacing w:before="60" w:after="80"/>
        <w:ind w:left="170"/>
        <w:pBdr>
          <w:left w:val="single" w:sz="18" w:space="8" w:color="0066CC"/>
        </w:pBdr>
      </w:pPr>
      <w:r>
        <w:rPr>
          <w:b/>
          <w:color w:val="0066CC"/>
          <w:sz w:val="18"/>
        </w:rPr>
        <w:t xml:space="preserve">So what. </w:t>
      </w:r>
      <w:r>
        <w:rPr>
          <w:b w:val="0"/>
          <w:sz w:val="18"/>
        </w:rPr>
        <w:t>양면(기업·근로자)의 페인이 같은 데이터(고용·체류·급여)에서 나온다. 이 데이터를 한 번에 쥐는 사업자가 시장 입구를 선점한다.</w:t>
      </w:r>
    </w:p>
    <w:p>
      <w:pPr>
        <w:spacing w:before="200" w:after="60"/>
        <w:pBdr>
          <w:bottom w:val="single" w:sz="6" w:space="2" w:color="CCCCCC"/>
        </w:pBdr>
      </w:pPr>
      <w:r>
        <w:rPr>
          <w:b/>
          <w:color w:val="FFFFFF"/>
          <w:sz w:val="20"/>
        </w:rPr>
        <w:t xml:space="preserve"> B </w:t>
      </w:r>
      <w:r>
        <w:rPr>
          <w:b/>
          <w:color w:val="1D1D1F"/>
          <w:sz w:val="23"/>
        </w:rPr>
        <w:t xml:space="preserve">  하나의 데이터 위에서 B2B와 B2C가 서로를 키우는 양면 플라이휠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381"/>
            <w:shd w:val="clear" w:color="auto" w:fill="F5F5F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7A7A7A"/>
                <w:sz w:val="16"/>
              </w:rPr>
              <w:t>단계</w:t>
            </w:r>
          </w:p>
        </w:tc>
        <w:tc>
          <w:tcPr>
            <w:tcW w:type="dxa" w:w="1814"/>
            <w:shd w:val="clear" w:color="auto" w:fill="F5F5F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7A7A7A"/>
                <w:sz w:val="16"/>
              </w:rPr>
              <w:t>제품</w:t>
            </w:r>
          </w:p>
        </w:tc>
        <w:tc>
          <w:tcPr>
            <w:tcW w:type="dxa" w:w="5102"/>
            <w:shd w:val="clear" w:color="auto" w:fill="F5F5F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7A7A7A"/>
                <w:sz w:val="16"/>
              </w:rPr>
              <w:t>역할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B2B · 진입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VisaDesk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기업의 체류·비자·임금·서류 준법관리 SaaS. 근로자 등록 = 데이터 시작점.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B2C · 자동확보(CAC 0)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BackWon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등록 근로자 자동 유입. 미수령 환급·급여분석·금융 신뢰신호. 6개 언어.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인프라 · 해자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ForeignID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L1~L3 본인인증(여권→등록증→계좌·전자서명). 고용+소득 데이터 원장.</w:t>
            </w:r>
          </w:p>
        </w:tc>
      </w:tr>
    </w:tbl>
    <w:p>
      <w:pPr>
        <w:spacing w:before="60" w:after="80"/>
        <w:ind w:left="170"/>
        <w:pBdr>
          <w:left w:val="single" w:sz="18" w:space="8" w:color="0066CC"/>
        </w:pBdr>
      </w:pPr>
      <w:r>
        <w:rPr>
          <w:b/>
          <w:color w:val="0066CC"/>
          <w:sz w:val="18"/>
        </w:rPr>
        <w:t xml:space="preserve">플라이휠. </w:t>
      </w:r>
      <w:r>
        <w:rPr>
          <w:b w:val="0"/>
          <w:sz w:val="18"/>
        </w:rPr>
        <w:t>기업이 근로자 등록 → 근로자 BackWon 자동 유입 → B2C 만족 → 기업 근속률↑ → B2B 유지·확장. 하나의 B2B 영업비용으로 두 수익원을 동시에 획득한다.</w:t>
      </w:r>
    </w:p>
    <w:p>
      <w:pPr>
        <w:spacing w:before="200" w:after="60"/>
        <w:pBdr>
          <w:bottom w:val="single" w:sz="6" w:space="2" w:color="CCCCCC"/>
        </w:pBdr>
      </w:pPr>
      <w:r>
        <w:rPr>
          <w:b/>
          <w:color w:val="FFFFFF"/>
          <w:sz w:val="20"/>
        </w:rPr>
        <w:t xml:space="preserve"> C </w:t>
      </w:r>
      <w:r>
        <w:rPr>
          <w:b/>
          <w:color w:val="1D1D1F"/>
          <w:sz w:val="23"/>
        </w:rPr>
        <w:t xml:space="preserve">  B2B는 VisaDesk, B2C는 BackWon — 같은 데이터를 양쪽 고객에게 다른 가치로 판다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74"/>
            <w:shd w:val="clear" w:color="auto" w:fill="F5F5F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7A7A7A"/>
                <w:sz w:val="16"/>
              </w:rPr>
              <w:t>구분</w:t>
            </w:r>
          </w:p>
        </w:tc>
        <w:tc>
          <w:tcPr>
            <w:tcW w:type="dxa" w:w="3969"/>
            <w:shd w:val="clear" w:color="auto" w:fill="F5F5F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7A7A7A"/>
                <w:sz w:val="16"/>
              </w:rPr>
              <w:t>VisaDesk (B2B · 기업용)</w:t>
            </w:r>
          </w:p>
        </w:tc>
        <w:tc>
          <w:tcPr>
            <w:tcW w:type="dxa" w:w="3855"/>
            <w:shd w:val="clear" w:color="auto" w:fill="F5F5F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7A7A7A"/>
                <w:sz w:val="16"/>
              </w:rPr>
              <w:t>BackWon (B2C · 근로자용)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사이트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plugnx-visaops.netlify.app</w:t>
            </w:r>
          </w:p>
        </w:tc>
        <w:tc>
          <w:tcPr>
            <w:tcW w:type="dxa" w:w="3855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moneeback.vercel.app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한 줄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외국인 고용·체류 준법관리 SaaS</w:t>
            </w:r>
          </w:p>
        </w:tc>
        <w:tc>
          <w:tcPr>
            <w:tcW w:type="dxa" w:w="3855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근로자 환급·금융 'Work Money Passport'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핵심 기능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체류만료 알림(D-120~30) · 임금요건 자동체크(E-7-1~4) · 서류 문서함 · 리스크 점수(100점) · K-Trust 등급진단 · 전문가 1클릭</w:t>
            </w:r>
          </w:p>
        </w:tc>
        <w:tc>
          <w:tcPr>
            <w:tcW w:type="dxa" w:w="3855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환급 추적(연금·퇴직금·출국보험·세금) · 급여명세 분석 · 금융 사전심사 · 비자 추적(D-60) · 고용증명 요청 · 송금·전세보증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상위/심화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급여 교차검증 · 노무·숙소 서류 · 다사업장·API</w:t>
            </w:r>
          </w:p>
        </w:tc>
        <w:tc>
          <w:tcPr>
            <w:tcW w:type="dxa" w:w="3855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Trust Packet(동의기반 신뢰신호 7요소) · 6개 언어(한·영·베·중·스·아)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연결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기업이 입력한 계약·급여·체류 데이터의 시작점</w:t>
            </w:r>
          </w:p>
        </w:tc>
        <w:tc>
          <w:tcPr>
            <w:tcW w:type="dxa" w:w="3855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VisaDesk 연동 시 증명 정확도↑ (원본 DB판매 아님, 동의 신호)</w:t>
            </w:r>
          </w:p>
        </w:tc>
      </w:tr>
    </w:tbl>
    <w:p>
      <w:pPr>
        <w:spacing w:before="60" w:after="80"/>
        <w:ind w:left="170"/>
        <w:pBdr>
          <w:left w:val="single" w:sz="18" w:space="8" w:color="0066CC"/>
        </w:pBdr>
      </w:pPr>
      <w:r>
        <w:rPr>
          <w:b/>
          <w:color w:val="0066CC"/>
          <w:sz w:val="18"/>
        </w:rPr>
        <w:t xml:space="preserve">연결 고리. </w:t>
      </w:r>
      <w:r>
        <w:rPr>
          <w:b w:val="0"/>
          <w:sz w:val="18"/>
        </w:rPr>
        <w:t>VisaDesk가 기업에서 받은 계약·급여·체류 데이터가 BackWon 근로자 측 '동의 기반 신뢰신호(원본·신선도·신뢰도 표기)'로 흐른다 — 원본 DB 판매가 아니라 동의 신호의 구조화.</w:t>
      </w:r>
    </w:p>
    <w:p>
      <w:pPr>
        <w:spacing w:before="200" w:after="60"/>
        <w:pBdr>
          <w:bottom w:val="single" w:sz="6" w:space="2" w:color="CCCCCC"/>
        </w:pBdr>
      </w:pPr>
      <w:r>
        <w:rPr>
          <w:b/>
          <w:color w:val="FFFFFF"/>
          <w:sz w:val="20"/>
        </w:rPr>
        <w:t xml:space="preserve"> D </w:t>
      </w:r>
      <w:r>
        <w:rPr>
          <w:b/>
          <w:color w:val="1D1D1F"/>
          <w:sz w:val="23"/>
        </w:rPr>
        <w:t xml:space="preserve">  월 구독으로 land, 서로 잠식하지 않는 4개 수익원으로 expand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28"/>
            <w:shd w:val="clear" w:color="auto" w:fill="F5F5F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7A7A7A"/>
                <w:sz w:val="16"/>
              </w:rPr>
              <w:t>플랜 (VisaDesk)</w:t>
            </w:r>
          </w:p>
        </w:tc>
        <w:tc>
          <w:tcPr>
            <w:tcW w:type="dxa" w:w="3175"/>
            <w:shd w:val="clear" w:color="auto" w:fill="F5F5F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7A7A7A"/>
                <w:sz w:val="16"/>
              </w:rPr>
              <w:t>월 요금 / 포함 인원</w:t>
            </w:r>
          </w:p>
        </w:tc>
        <w:tc>
          <w:tcPr>
            <w:tcW w:type="dxa" w:w="4195"/>
            <w:shd w:val="clear" w:color="auto" w:fill="F5F5F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7A7A7A"/>
                <w:sz w:val="16"/>
              </w:rPr>
              <w:t>핵심 포함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Starter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29만원 · 10명 (초과 1만/인)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체류만료 알림 · 서류체크 · 기본 이메일</w:t>
            </w:r>
          </w:p>
        </w:tc>
      </w:tr>
      <w:tr>
        <w:tc>
          <w:tcPr>
            <w:tcW w:type="dxa" w:w="1928"/>
            <w:shd w:val="clear" w:color="auto" w:fill="EAF2FB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Growth · 대표</w:t>
            </w:r>
          </w:p>
        </w:tc>
        <w:tc>
          <w:tcPr>
            <w:tcW w:type="dxa" w:w="3175"/>
            <w:shd w:val="clear" w:color="auto" w:fill="EAF2FB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89만원 · 30명 (초과 1.5만/인)</w:t>
            </w:r>
          </w:p>
        </w:tc>
        <w:tc>
          <w:tcPr>
            <w:tcW w:type="dxa" w:w="4195"/>
            <w:shd w:val="clear" w:color="auto" w:fill="EAF2FB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+임금요건 · 전문가티켓 · 월간 리포트 · BackWon 연동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Compliance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169만원 · 50명 (초과 2만/인)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+K-Trust 진단 · 급여 교차검증 · 노무/숙소 서류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Enterprise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별도 견적 · 100명+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+다사업장 통합 · API · 전담 매니저</w:t>
            </w:r>
          </w:p>
        </w:tc>
      </w:tr>
    </w:tbl>
    <w:p>
      <w:pPr>
        <w:spacing w:after="120" w:before="80"/>
      </w:pPr>
      <w:r>
        <w:rPr>
          <w:b/>
          <w:sz w:val="18"/>
        </w:rPr>
        <w:t xml:space="preserve">4개 비잠식 수익원: </w:t>
      </w:r>
      <w:r>
        <w:rPr>
          <w:b w:val="0"/>
          <w:sz w:val="18"/>
        </w:rPr>
        <w:t>① VisaDesk 구독(ARR 엔진) · ② BackWon 환급 성공보수 · ③ 전문가 연계 레퍼럴 · ④ D3 데이터·여신 송객(후행). 온보딩비 30~100만 별도, 월 단위 해지.</w:t>
      </w:r>
    </w:p>
    <w:p>
      <w:pPr>
        <w:spacing w:before="60" w:after="80"/>
        <w:ind w:left="170"/>
        <w:pBdr>
          <w:left w:val="single" w:sz="18" w:space="8" w:color="0066CC"/>
        </w:pBdr>
      </w:pPr>
      <w:r>
        <w:rPr>
          <w:b/>
          <w:color w:val="0066CC"/>
          <w:sz w:val="18"/>
        </w:rPr>
        <w:t xml:space="preserve">ROI 논리(가격 방어). </w:t>
      </w:r>
      <w:r>
        <w:rPr>
          <w:b w:val="0"/>
          <w:sz w:val="18"/>
        </w:rPr>
        <w:t>외국인 30명 기준 단 1건만 막아도 +932만 원(불법체류 회피 +2,000만 / 인력공백 회피 +1,500만 vs Growth 연 1,068만). "월 89만은 비용이 아니라 리스크 보험료."</w:t>
      </w:r>
    </w:p>
    <w:p>
      <w:pPr>
        <w:spacing w:before="200" w:after="60"/>
        <w:pBdr>
          <w:bottom w:val="single" w:sz="6" w:space="2" w:color="CCCCCC"/>
        </w:pBdr>
      </w:pPr>
      <w:r>
        <w:rPr>
          <w:b/>
          <w:color w:val="FFFFFF"/>
          <w:sz w:val="20"/>
        </w:rPr>
        <w:t xml:space="preserve"> E </w:t>
      </w:r>
      <w:r>
        <w:rPr>
          <w:b/>
          <w:color w:val="1D1D1F"/>
          <w:sz w:val="23"/>
        </w:rPr>
        <w:t xml:space="preserve">  시장은 비가역적으로 커지고, B2B는 '사', B2C는 '명'으로 분모가 다르다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969"/>
            <w:shd w:val="clear" w:color="auto" w:fill="F5F5F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7A7A7A"/>
                <w:sz w:val="16"/>
              </w:rPr>
              <w:t>지표</w:t>
            </w:r>
          </w:p>
        </w:tc>
        <w:tc>
          <w:tcPr>
            <w:tcW w:type="dxa" w:w="2835"/>
            <w:shd w:val="clear" w:color="auto" w:fill="F5F5F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7A7A7A"/>
                <w:sz w:val="16"/>
              </w:rPr>
              <w:t>값</w:t>
            </w:r>
          </w:p>
        </w:tc>
        <w:tc>
          <w:tcPr>
            <w:tcW w:type="dxa" w:w="2494"/>
            <w:shd w:val="clear" w:color="auto" w:fill="F5F5F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7A7A7A"/>
                <w:sz w:val="16"/>
              </w:rPr>
              <w:t>구분</w:t>
            </w:r>
          </w:p>
        </w:tc>
      </w:tr>
      <w:tr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체류외국인 총계 ('25, SSOT)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278만 명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전체 모수</w:t>
            </w:r>
          </w:p>
        </w:tc>
      </w:tr>
      <w:tr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TAM B2B · E계열 취업비자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49만 명 (≈9.8만 사)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B2B 분모 = 사업장</w:t>
            </w:r>
          </w:p>
        </w:tc>
      </w:tr>
      <w:tr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TAM B2C · 전체 장기체류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216만 명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B2C 분모 = 명</w:t>
            </w:r>
          </w:p>
        </w:tc>
      </w:tr>
      <w:tr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'30 인력부족(최소·추정)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112.5만 명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수요 비가역 근거</w:t>
            </w:r>
          </w:p>
        </w:tc>
      </w:tr>
    </w:tbl>
    <w:p>
      <w:pPr>
        <w:spacing w:before="60" w:after="80"/>
        <w:ind w:left="170"/>
        <w:pBdr>
          <w:left w:val="single" w:sz="18" w:space="8" w:color="0066CC"/>
        </w:pBdr>
      </w:pPr>
      <w:r>
        <w:rPr>
          <w:b/>
          <w:color w:val="0066CC"/>
          <w:sz w:val="18"/>
        </w:rPr>
        <w:t xml:space="preserve">단위 규약(혼용 금지). </w:t>
      </w:r>
      <w:r>
        <w:rPr>
          <w:b w:val="0"/>
          <w:sz w:val="18"/>
        </w:rPr>
        <w:t>ARR 빌드의 분모는 B2B '사업장 수'(TAM 49만 명 → 약 9.8만 사 → SOM 300사). B2C는 '명' 도달(216만). 같은 표에 명과 사를 섞지 않는다.</w:t>
      </w:r>
    </w:p>
    <w:p>
      <w:pPr>
        <w:spacing w:before="200" w:after="60"/>
        <w:pBdr>
          <w:bottom w:val="single" w:sz="6" w:space="2" w:color="CCCCCC"/>
        </w:pBdr>
      </w:pPr>
      <w:r>
        <w:rPr>
          <w:b/>
          <w:color w:val="FFFFFF"/>
          <w:sz w:val="20"/>
        </w:rPr>
        <w:t xml:space="preserve"> F </w:t>
      </w:r>
      <w:r>
        <w:rPr>
          <w:b/>
          <w:color w:val="1D1D1F"/>
          <w:sz w:val="23"/>
        </w:rPr>
        <w:t xml:space="preserve">  오늘 가진 해자와, 데이터가 쌓인 뒤 입증할 해자를 분리해 정직하게 본다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041"/>
            <w:shd w:val="clear" w:color="auto" w:fill="F5F5F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7A7A7A"/>
                <w:sz w:val="16"/>
              </w:rPr>
              <w:t>해자</w:t>
            </w:r>
          </w:p>
        </w:tc>
        <w:tc>
          <w:tcPr>
            <w:tcW w:type="dxa" w:w="5329"/>
            <w:shd w:val="clear" w:color="auto" w:fill="F5F5F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7A7A7A"/>
                <w:sz w:val="16"/>
              </w:rPr>
              <w:t>내용</w:t>
            </w:r>
          </w:p>
        </w:tc>
        <w:tc>
          <w:tcPr>
            <w:tcW w:type="dxa" w:w="1928"/>
            <w:shd w:val="clear" w:color="auto" w:fill="F5F5F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7A7A7A"/>
                <w:sz w:val="16"/>
              </w:rPr>
              <w:t>시제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양면 자동유입</w:t>
            </w:r>
          </w:p>
        </w:tc>
        <w:tc>
          <w:tcPr>
            <w:tcW w:type="dxa" w:w="532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B2B 등록이 B2C를 CAC 0로 점등 — 중개형 경쟁사엔 없는 락인 입구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D8A4F"/>
                <w:sz w:val="17"/>
              </w:rPr>
              <w:t>보유 · 작동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정책 정합성</w:t>
            </w:r>
          </w:p>
        </w:tc>
        <w:tc>
          <w:tcPr>
            <w:tcW w:type="dxa" w:w="532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K-Trust·K-CORE·쿼터·임금요건에 기능 매핑(2030 미래전략 코어 3)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D8A4F"/>
                <w:sz w:val="17"/>
              </w:rPr>
              <w:t>보유 · 작동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전문가 네트워크</w:t>
            </w:r>
          </w:p>
        </w:tc>
        <w:tc>
          <w:tcPr>
            <w:tcW w:type="dxa" w:w="532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행정사 3,360 · 변호사 365를 사후 외주 → 상시 유통 채널로 전환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D8A4F"/>
                <w:sz w:val="17"/>
              </w:rPr>
              <w:t>보유 · 작동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외국인 신용스코어</w:t>
            </w:r>
          </w:p>
        </w:tc>
        <w:tc>
          <w:tcPr>
            <w:tcW w:type="dxa" w:w="532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고용+소득+환급 결합 — 재직 외국인 실소득·근속을 보는 유일 좌표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축적 후 · 검증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전환비용 락인</w:t>
            </w:r>
          </w:p>
        </w:tc>
        <w:tc>
          <w:tcPr>
            <w:tcW w:type="dxa" w:w="532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원장·이력이 쌓일수록 이탈비용↑ (NRR 110% 목표 근거)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축적 후 · 검증</w:t>
            </w:r>
          </w:p>
        </w:tc>
      </w:tr>
    </w:tbl>
    <w:p>
      <w:pPr>
        <w:spacing w:before="60" w:after="80"/>
        <w:ind w:left="170"/>
        <w:pBdr>
          <w:left w:val="single" w:sz="18" w:space="8" w:color="0066CC"/>
        </w:pBdr>
      </w:pPr>
      <w:r>
        <w:rPr>
          <w:b/>
          <w:color w:val="0066CC"/>
          <w:sz w:val="18"/>
        </w:rPr>
        <w:t xml:space="preserve">경쟁. </w:t>
      </w:r>
      <w:r>
        <w:rPr>
          <w:b w:val="0"/>
          <w:sz w:val="18"/>
        </w:rPr>
        <w:t>클링커즈(glow) 등은 중개형이라 데이터·양면 락인이 얕다. '양면 통합 × 인증 인프라'의 우상단('재직관리 OS')은 공개 출처상 비어 있다. (경쟁사 정량지표는 2차정보로 독립검증 전.)</w:t>
      </w:r>
    </w:p>
    <w:p>
      <w:pPr>
        <w:spacing w:before="200" w:after="60"/>
        <w:pBdr>
          <w:bottom w:val="single" w:sz="6" w:space="2" w:color="CCCCCC"/>
        </w:pBdr>
      </w:pPr>
      <w:r>
        <w:rPr>
          <w:b/>
          <w:color w:val="FFFFFF"/>
          <w:sz w:val="20"/>
        </w:rPr>
        <w:t xml:space="preserve"> G </w:t>
      </w:r>
      <w:r>
        <w:rPr>
          <w:b/>
          <w:color w:val="1D1D1F"/>
          <w:sz w:val="23"/>
        </w:rPr>
        <w:t xml:space="preserve">  8주 PoC로 검증한 위에 ARR 21억→60억, 하방도 두텁다 (전부 목표·가정)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val="clear" w:color="auto" w:fill="F5F5F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7A7A7A"/>
                <w:sz w:val="16"/>
              </w:rPr>
              <w:t>시나리오</w:t>
            </w:r>
          </w:p>
        </w:tc>
        <w:tc>
          <w:tcPr>
            <w:tcW w:type="dxa" w:w="2835"/>
            <w:shd w:val="clear" w:color="auto" w:fill="F5F5F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7A7A7A"/>
                <w:sz w:val="16"/>
              </w:rPr>
              <w:t>전환·churn·NRR</w:t>
            </w:r>
          </w:p>
        </w:tc>
        <w:tc>
          <w:tcPr>
            <w:tcW w:type="dxa" w:w="2098"/>
            <w:shd w:val="clear" w:color="auto" w:fill="F5F5F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7A7A7A"/>
                <w:sz w:val="16"/>
              </w:rPr>
              <w:t>12M ARR</w:t>
            </w:r>
          </w:p>
        </w:tc>
        <w:tc>
          <w:tcPr>
            <w:tcW w:type="dxa" w:w="2098"/>
            <w:shd w:val="clear" w:color="auto" w:fill="F5F5F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7A7A7A"/>
                <w:sz w:val="16"/>
              </w:rPr>
              <w:t>24M ARR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Bear (보수)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20% · 2.5% · 100%</w:t>
            </w:r>
          </w:p>
        </w:tc>
        <w:tc>
          <w:tcPr>
            <w:tcW w:type="dxa" w:w="209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약 14억</w:t>
            </w:r>
          </w:p>
        </w:tc>
        <w:tc>
          <w:tcPr>
            <w:tcW w:type="dxa" w:w="209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약 40억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Base (기준·SSOT)</w:t>
            </w:r>
          </w:p>
        </w:tc>
        <w:tc>
          <w:tcPr>
            <w:tcW w:type="dxa" w:w="2835"/>
            <w:shd w:val="clear" w:color="auto" w:fill="EAF2FB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30% · 1.7% · 110%</w:t>
            </w:r>
          </w:p>
        </w:tc>
        <w:tc>
          <w:tcPr>
            <w:tcW w:type="dxa" w:w="2098"/>
            <w:shd w:val="clear" w:color="auto" w:fill="EAF2FB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21억</w:t>
            </w:r>
          </w:p>
        </w:tc>
        <w:tc>
          <w:tcPr>
            <w:tcW w:type="dxa" w:w="2098"/>
            <w:shd w:val="clear" w:color="auto" w:fill="EAF2FB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60억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Bull (낙관)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40% · 1.0% · 115%+</w:t>
            </w:r>
          </w:p>
        </w:tc>
        <w:tc>
          <w:tcPr>
            <w:tcW w:type="dxa" w:w="209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약 27~30억</w:t>
            </w:r>
          </w:p>
        </w:tc>
        <w:tc>
          <w:tcPr>
            <w:tcW w:type="dxa" w:w="209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약 78~85억</w:t>
            </w:r>
          </w:p>
        </w:tc>
      </w:tr>
    </w:tbl>
    <w:p>
      <w:pPr>
        <w:spacing w:after="120" w:before="80"/>
      </w:pPr>
      <w:r>
        <w:rPr>
          <w:b/>
          <w:sz w:val="18"/>
        </w:rPr>
        <w:t xml:space="preserve">마일스톤: </w:t>
      </w:r>
      <w:r>
        <w:rPr>
          <w:b w:val="0"/>
          <w:sz w:val="18"/>
        </w:rPr>
        <w:t>PoC 8주·15사·3,300만(SSOT) → 12개월 100사·ARR 21억 → 24개월 300사·ARR 60억 · 블렌디드 LTV/CAC 8:1+ · 페이백 4~6개월.</w:t>
      </w:r>
    </w:p>
    <w:p>
      <w:pPr>
        <w:spacing w:before="60" w:after="80"/>
        <w:ind w:left="170"/>
        <w:pBdr>
          <w:left w:val="single" w:sz="18" w:space="8" w:color="0066CC"/>
        </w:pBdr>
      </w:pPr>
      <w:r>
        <w:rPr>
          <w:b/>
          <w:color w:val="0066CC"/>
          <w:sz w:val="18"/>
        </w:rPr>
        <w:t xml:space="preserve">De-risking. </w:t>
      </w:r>
      <w:r>
        <w:rPr>
          <w:b w:val="0"/>
          <w:sz w:val="18"/>
        </w:rPr>
        <w:t>큰 베팅 전에 8주·15사·3,300만으로 CAC 0 전제·전환율·고정비를 실측한다. B2C 한계 CAC 0(자동유입 60%+)·총마진 80% 가정에 민감 → PoC로 갱신.</w:t>
      </w:r>
    </w:p>
    <w:p>
      <w:pPr>
        <w:spacing w:before="200" w:after="60"/>
        <w:pBdr>
          <w:bottom w:val="single" w:sz="6" w:space="2" w:color="CCCCCC"/>
        </w:pBdr>
      </w:pPr>
      <w:r>
        <w:rPr>
          <w:b/>
          <w:color w:val="FFFFFF"/>
          <w:sz w:val="20"/>
        </w:rPr>
        <w:t xml:space="preserve"> H </w:t>
      </w:r>
      <w:r>
        <w:rPr>
          <w:b/>
          <w:color w:val="1D1D1F"/>
          <w:sz w:val="23"/>
        </w:rPr>
        <w:t xml:space="preserve">  정책 골든윈도(K-Trust 2026.3) 안에서, 지금 시작해 입구를 먼저 잠근다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val="clear" w:color="auto" w:fill="F5F5F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7A7A7A"/>
                <w:sz w:val="16"/>
              </w:rPr>
              <w:t>단계</w:t>
            </w:r>
          </w:p>
        </w:tc>
        <w:tc>
          <w:tcPr>
            <w:tcW w:type="dxa" w:w="4876"/>
            <w:shd w:val="clear" w:color="auto" w:fill="F5F5F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7A7A7A"/>
                <w:sz w:val="16"/>
              </w:rPr>
              <w:t>액션</w:t>
            </w:r>
          </w:p>
        </w:tc>
        <w:tc>
          <w:tcPr>
            <w:tcW w:type="dxa" w:w="2721"/>
            <w:shd w:val="clear" w:color="auto" w:fill="F5F5F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7A7A7A"/>
                <w:sz w:val="16"/>
              </w:rPr>
              <w:t>go/no-go 게이트 (목표)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Why now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K-Trust 성실고용 인증제 2026.3 도입 — 지금 기록 축적 = 시행 시 상위 등급 선점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진입(비치헤드)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수도권 산단 E-9 제조 30~50명(요양 E-7-2 병행). 자가진단 PLG + 행정사·협회 채널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리드·세미나→PoC 파이프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PoC (8주)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등록→자동 리스크 분석→월간 리포트(유료 결정점)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유료 15사·3,300만 + B2C 활성화 ≥40%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12개월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검증 모션을 100사로 확대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ARR 21억 · 페이백 &lt;12M · NRR ≥105%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24개월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300사 · D3 데이터·여신 PoC 착수(후행)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ARR 60억 · NRR ≥110%</w:t>
            </w:r>
          </w:p>
        </w:tc>
      </w:tr>
    </w:tbl>
    <w:p>
      <w:pPr>
        <w:spacing w:before="60" w:after="80"/>
        <w:ind w:left="170"/>
        <w:pBdr>
          <w:left w:val="single" w:sz="18" w:space="8" w:color="0066CC"/>
        </w:pBdr>
      </w:pPr>
      <w:r>
        <w:rPr>
          <w:b/>
          <w:color w:val="0066CC"/>
          <w:sz w:val="18"/>
        </w:rPr>
        <w:t xml:space="preserve">경영진 의사결정 포인트. </w:t>
      </w:r>
      <w:r>
        <w:rPr>
          <w:b w:val="0"/>
          <w:sz w:val="18"/>
        </w:rPr>
        <w:t>① 8주 PoC(15사·3,300만) 실행 승인 · ② 비치헤드(산단 E-9 제조) 집중 합의 · ③ BackWon '대출 중개' 등 금융 표현 규제 게이트 통과를 D3 진입 전 필수 조건으로 고정.</w:t>
      </w:r>
    </w:p>
    <w:p>
      <w:pPr>
        <w:spacing w:before="200" w:after="60"/>
        <w:pBdr>
          <w:bottom w:val="single" w:sz="6" w:space="2" w:color="CCCCCC"/>
        </w:pBdr>
      </w:pPr>
      <w:r>
        <w:rPr>
          <w:b/>
          <w:color w:val="FFFFFF"/>
          <w:sz w:val="20"/>
        </w:rPr>
        <w:t xml:space="preserve"> I </w:t>
      </w:r>
      <w:r>
        <w:rPr>
          <w:b/>
          <w:color w:val="1D1D1F"/>
          <w:sz w:val="23"/>
        </w:rPr>
        <w:t xml:space="preserve">  핵심 리스크는 'CAC 0 전제·금융규제·정책 변동' — 모두 게이트로 관리한다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154"/>
            <w:shd w:val="clear" w:color="auto" w:fill="F5F5F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7A7A7A"/>
                <w:sz w:val="16"/>
              </w:rPr>
              <w:t>리스크</w:t>
            </w:r>
          </w:p>
        </w:tc>
        <w:tc>
          <w:tcPr>
            <w:tcW w:type="dxa" w:w="3402"/>
            <w:shd w:val="clear" w:color="auto" w:fill="F5F5F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7A7A7A"/>
                <w:sz w:val="16"/>
              </w:rPr>
              <w:t>영향</w:t>
            </w:r>
          </w:p>
        </w:tc>
        <w:tc>
          <w:tcPr>
            <w:tcW w:type="dxa" w:w="3742"/>
            <w:shd w:val="clear" w:color="auto" w:fill="F5F5F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7A7A7A"/>
                <w:sz w:val="16"/>
              </w:rPr>
              <w:t>완화책</w:t>
            </w:r>
          </w:p>
        </w:tc>
      </w:tr>
      <w:tr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B2C 자동유입 미달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블렌디드 LTV/CAC 전제 붕괴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활성화율을 선행 KPI로 승격, 8주 실측</w:t>
            </w:r>
          </w:p>
        </w:tc>
      </w:tr>
      <w:tr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금융·여신 규제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신용정보법·대출모집인·마이데이터 외국인 적용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D3 진입 전 전문가 게이트 필수, ARR 본선 미산입</w:t>
            </w:r>
          </w:p>
        </w:tc>
      </w:tr>
      <w:tr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정책 수치 변동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비자·과태료·K-Trust 가감폭 개정 잦음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1차 출처·시행일·조문 proof 가드, 수익원 분산</w:t>
            </w:r>
          </w:p>
        </w:tc>
      </w:tr>
      <w:tr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D1D1F"/>
                <w:sz w:val="17"/>
              </w:rPr>
              <w:t>표현 리스크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'대출 중개' 등 금융 대행 오인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랜딩·IR 노출 전 규제 표현 점검</w:t>
            </w:r>
          </w:p>
        </w:tc>
      </w:tr>
    </w:tbl>
    <w:p>
      <w:pPr>
        <w:spacing w:after="40" w:before="0"/>
      </w:pPr>
      <w:r>
        <w:rPr>
          <w:b w:val="0"/>
          <w:sz w:val="8"/>
        </w:rPr>
      </w:r>
    </w:p>
    <w:p>
      <w:pPr>
        <w:spacing w:before="120"/>
        <w:pBdr>
          <w:top w:val="single" w:sz="6" w:space="4" w:color="CCCCCC"/>
        </w:pBdr>
      </w:pPr>
      <w:r>
        <w:rPr>
          <w:b/>
          <w:color w:val="7A7A7A"/>
          <w:sz w:val="15"/>
        </w:rPr>
        <w:t xml:space="preserve">참고용 안내. </w:t>
      </w:r>
      <w:r>
        <w:rPr>
          <w:color w:val="7A7A7A"/>
          <w:sz w:val="15"/>
        </w:rPr>
        <w:t>본 보고서는 경영 검토용 내부 자료로 법적 효력이 없는 참고 정보다. 재무 수치(ARR·LTV/CAC·페이백·NRR·시나리오·PoC)는 확정 실적이 아닌 목표·가정이며 8주 PoC 실측 대상이다. 요금제(29/89/169만)·ARR(21·60억)·PoC(15사·3,300만)·TAM(B2B 49만·B2C 216만)·체류외국인 278만 명 등 핵심 수치는 PlugNX 사업기획서 v1.0(SSOT) 인용. 벌금·범칙금·환급액·K-Trust·임금요건·여신 관련 사실은 자주 개정되므로 시행일·조문 확인과 행정사·노무사·변호사·세무사·금융규제 전문가 검증, 1차 출처(하이코리아·법무부 출입국·외국인정책본부·고용노동부·국민연금공단) 최신 확인이 필요하다. BackWon은 대출·환급·비자 결과를 보증하지 않는다. 경쟁사 정량지표는 2차정보로 독립검증되지 않았다. 민감정보(여권·외국인등록번호·계좌)는 최소수집·암호화·국내보관 원칙으로 처리한다.  © 2026 PlugNX Inc. · 출처: 사업기획서 v1.0, VisaDesk·BackWon 라이브 서비스(2026-06-23)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D1D1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