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Programa Institucional de Iniciação Científica e Tecnológica</w:t>
      </w:r>
    </w:p>
    <w:p>
      <w:pPr>
        <w:jc w:val="center"/>
      </w:pPr>
      <w:r>
        <w:rPr>
          <w:b/>
          <w:color w:val="1F3B73"/>
          <w:sz w:val="30"/>
        </w:rPr>
        <w:t>Relatório Final de Atividades</w:t>
      </w:r>
    </w:p>
    <w:p>
      <w:pPr>
        <w:jc w:val="center"/>
      </w:pPr>
      <w:r>
        <w:rPr>
          <w:b/>
        </w:rPr>
        <w:t>Análise Comparativa de Métodos de Formação de Carteira Baseados em Grafos para Fundos Imobiliários (FIIs): Casos de Estudo com o Grafo Planar Maximamente Filtrado</w:t>
      </w:r>
    </w:p>
    <w:p/>
    <w:p>
      <w:r>
        <w:rPr>
          <w:b/>
        </w:rPr>
        <w:t xml:space="preserve">Projeto: </w:t>
      </w:r>
      <w:r>
        <w:t>Análise Comparativa de Métodos de Formação de Carteira Baseados em Grafos para Fundos Imobiliários (FIIs): Casos de Estudo com o Grafo Planar Maximamente Filtrado</w:t>
      </w:r>
    </w:p>
    <w:p>
      <w:r>
        <w:rPr>
          <w:b/>
        </w:rPr>
        <w:t xml:space="preserve">Bolsista / RA: </w:t>
      </w:r>
      <w:r>
        <w:t>Yoon Sung Jang / RA [preencher]</w:t>
      </w:r>
    </w:p>
    <w:p>
      <w:r>
        <w:rPr>
          <w:b/>
        </w:rPr>
        <w:t xml:space="preserve">Orientador: </w:t>
      </w:r>
      <w:r>
        <w:t>Prof. Dr. João Roberto Bertini Junior</w:t>
      </w:r>
    </w:p>
    <w:p>
      <w:r>
        <w:rPr>
          <w:b/>
        </w:rPr>
        <w:t xml:space="preserve">Local de execução: </w:t>
      </w:r>
      <w:r>
        <w:t>Faculdade de Tecnologia (FT) — UNICAMP, Limeira/SP</w:t>
      </w:r>
    </w:p>
    <w:p>
      <w:r>
        <w:rPr>
          <w:b/>
        </w:rPr>
        <w:t xml:space="preserve">Vigência: </w:t>
      </w:r>
      <w:r>
        <w:t>setembro/2025 a agosto/2026</w:t>
      </w:r>
    </w:p>
    <w:p>
      <w:pPr>
        <w:pStyle w:val="Heading1"/>
      </w:pPr>
      <w:r>
        <w:rPr>
          <w:color w:val="1F3B73"/>
        </w:rPr>
        <w:t>Resumo</w:t>
      </w:r>
    </w:p>
    <w:p>
      <w:pPr>
        <w:jc w:val="both"/>
      </w:pPr>
      <w:r>
        <w:t>Este projeto investiga o uso de técnicas baseadas em grafos para a formação de carteiras de Fundos de Investimento Imobiliário (FIIs), comparando o Grafo Planar Maximamente Filtrado (GPMF) com a Árvore Geradora Mínima (AGM). Esta versão integra o braço AGM, desenvolvido pelo parceiro Augusto Carneiro da Silva, em uma comparação sob premissas idênticas. Com a convenção de dividendos corrigida e os dois filtros executados sobre os mesmos dados, as carteiras periféricas do GPMF superam as centrais em todos os tamanhos fora da amostra (a hipótese de Pozzi), enquanto a AGM falha no menor tamanho; a periférica mais concentrada do GPMF chega a superar o benchmark passivo no líquido. Discute-se ainda como a convenção de retorno afeta as conclusões.</w:t>
      </w:r>
    </w:p>
    <w:p>
      <w:pPr>
        <w:pStyle w:val="Heading1"/>
      </w:pPr>
      <w:r>
        <w:rPr>
          <w:color w:val="1F3B73"/>
        </w:rPr>
        <w:t>Introdução</w:t>
      </w:r>
    </w:p>
    <w:p>
      <w:pPr>
        <w:jc w:val="both"/>
      </w:pPr>
      <w:r>
        <w:t>Métodos de filtragem em grafos resumem a estrutura de correlação de um mercado em poucas ligações relevantes. A AGM (Mantegna, 1999) retém N−1 arestas; o GPMF (Tumminello et al., 2005), por exigir apenas planaridade, retém 3N−6 e preserva mais estrutura. Pozzi et al. (2013) sugerem que ativos periféricos formam carteiras com melhor relação risco-retorno. O objetivo é testar essa hipótese para FIIs e verificar se o filtro (GPMF ou AGM) muda a conclusão.</w:t>
      </w:r>
    </w:p>
    <w:p>
      <w:pPr>
        <w:pStyle w:val="Heading1"/>
      </w:pPr>
      <w:r>
        <w:rPr>
          <w:color w:val="1F3B73"/>
        </w:rPr>
        <w:t>Materiais e Métodos</w:t>
      </w:r>
    </w:p>
    <w:p>
      <w:pPr>
        <w:jc w:val="both"/>
      </w:pPr>
      <w:r>
        <w:t>Fechamentos diários ajustados de FIIs via yfinance, de mar/2022 a nov/2025 (920 pregões); universo determinístico de 51 FIIs; benchmark XFIX11 (proxy do IFIX). Retorno total Rt = ln(Pt/Pt−1) sobre o ajustado (verificado que somar o dividendo contaria-o duas vezes). Da correlação de Pearson obtém-se a distância d = √(2(1−ρ)) e dela o GPMF (planaridade de Boyer-Myrvold) e a AGM. Para cada FII calcula-se um escore composto de centralidade (média normalizada de grau, intermediação e proximidade) — a mesma regra usada pelo braço AGM —, com o qual se formam carteiras Central, Periférica e Híbrida de 5, 10, 15 e 20 ativos. A avaliação é fora da amostra por janela deslizante (forma com 360, mantém 22, avança 22; período de 09/08/2023 a 20/10/2025, 550 pregões, 25 rebalanceamentos), com custo de 0,3% sobre o giro e 15% de IR sobre ganho de capital.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_dividendos_MXRF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Verificação da convenção de dividendos (MXRF11): a razão ajustado/bruto em degraus corresponde aos proventos já reinvestidos.</w:t>
      </w:r>
    </w:p>
    <w:p>
      <w:pPr>
        <w:pStyle w:val="Heading1"/>
      </w:pPr>
      <w:r>
        <w:rPr>
          <w:color w:val="1F3B73"/>
        </w:rPr>
        <w:t>Resultados</w:t>
      </w:r>
    </w:p>
    <w:p>
      <w:pPr>
        <w:pStyle w:val="Heading2"/>
      </w:pPr>
      <w:r>
        <w:rPr>
          <w:color w:val="1F3B73"/>
        </w:rPr>
        <w:t>Estrutura dos grafos</w:t>
      </w:r>
    </w:p>
    <w:p>
      <w:pPr>
        <w:jc w:val="both"/>
      </w:pPr>
      <w:r>
        <w:t>Sobre o período completo, o GPMF tem 147 arestas (= 3·51−6), planar e conexo, contra 50 (= N−1) da AGM.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8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mf_estat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GPMF dos FIIs; tamanho e cor dos vértices indicam centralidade de grau.</w:t>
      </w:r>
    </w:p>
    <w:p>
      <w:pPr>
        <w:pStyle w:val="Heading2"/>
      </w:pPr>
      <w:r>
        <w:rPr>
          <w:color w:val="1F3B73"/>
        </w:rPr>
        <w:t>Comparação GPMF × AGM (mesma regra de seleção, dados corrigidos)</w:t>
      </w:r>
    </w:p>
    <w:p>
      <w:pPr>
        <w:jc w:val="both"/>
      </w:pPr>
      <w:r>
        <w:t>A Tabela 1 traz o Sharpe bruto e líquido fora da amostra dos dois filtros, com a mesma regra de seleção (escore composto). No GPMF, a Periférica supera a Central em todos os tamanhos (5, 10, 15 e 20), sustentando a hipótese de Pozzi; na AGM, isso falha no tamanho 5. Líquido de custos, a maioria das carteiras perde para o benchmark passivo (Sharpe 0,69), mas a Periférica-5 do GPMF (Sharpe líquido 0,86) o supera — algo que nenhuma carteira da AGM alcança.</w:t>
      </w:r>
    </w:p>
    <w:p>
      <w:r>
        <w:rPr>
          <w:b/>
          <w:color w:val="1F3B73"/>
        </w:rPr>
        <w:t>Tabela 1 — GPMF × AGM fora da amostra (escore composto)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carteira</w:t>
            </w:r>
          </w:p>
        </w:tc>
        <w:tc>
          <w:tcPr>
            <w:tcW w:type="dxa" w:w="1440"/>
          </w:tcPr>
          <w:p>
            <w:r>
              <w:t>filtro</w:t>
            </w:r>
          </w:p>
        </w:tc>
        <w:tc>
          <w:tcPr>
            <w:tcW w:type="dxa" w:w="1440"/>
          </w:tcPr>
          <w:p>
            <w:r>
              <w:t>ret_anual_bruto</w:t>
            </w:r>
          </w:p>
        </w:tc>
        <w:tc>
          <w:tcPr>
            <w:tcW w:type="dxa" w:w="1440"/>
          </w:tcPr>
          <w:p>
            <w:r>
              <w:t>sharpe_bruto</w:t>
            </w:r>
          </w:p>
        </w:tc>
        <w:tc>
          <w:tcPr>
            <w:tcW w:type="dxa" w:w="1440"/>
          </w:tcPr>
          <w:p>
            <w:r>
              <w:t>sharpe_liq</w:t>
            </w:r>
          </w:p>
        </w:tc>
        <w:tc>
          <w:tcPr>
            <w:tcW w:type="dxa" w:w="1440"/>
          </w:tcPr>
          <w:p>
            <w:r>
              <w:t>giro_medio</w:t>
            </w:r>
          </w:p>
        </w:tc>
      </w:tr>
      <w:tr>
        <w:tc>
          <w:tcPr>
            <w:tcW w:type="dxa" w:w="1440"/>
          </w:tcPr>
          <w:p>
            <w:r>
              <w:t>central_5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-0.7%</w:t>
            </w:r>
          </w:p>
        </w:tc>
        <w:tc>
          <w:tcPr>
            <w:tcW w:type="dxa" w:w="1440"/>
          </w:tcPr>
          <w:p>
            <w:r>
              <w:t>-0.028</w:t>
            </w:r>
          </w:p>
        </w:tc>
        <w:tc>
          <w:tcPr>
            <w:tcW w:type="dxa" w:w="1440"/>
          </w:tcPr>
          <w:p>
            <w:r>
              <w:t>-0.354</w:t>
            </w:r>
          </w:p>
        </w:tc>
        <w:tc>
          <w:tcPr>
            <w:tcW w:type="dxa" w:w="1440"/>
          </w:tcPr>
          <w:p>
            <w:r>
              <w:t>33.2%</w:t>
            </w:r>
          </w:p>
        </w:tc>
      </w:tr>
      <w:tr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-0.1%</w:t>
            </w:r>
          </w:p>
        </w:tc>
        <w:tc>
          <w:tcPr>
            <w:tcW w:type="dxa" w:w="1440"/>
          </w:tcPr>
          <w:p>
            <w:r>
              <w:t>0.034</w:t>
            </w:r>
          </w:p>
        </w:tc>
        <w:tc>
          <w:tcPr>
            <w:tcW w:type="dxa" w:w="1440"/>
          </w:tcPr>
          <w:p>
            <w:r>
              <w:t>-0.296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</w:tr>
      <w:tr>
        <w:tc>
          <w:tcPr>
            <w:tcW w:type="dxa" w:w="1440"/>
          </w:tcPr>
          <w:p>
            <w:r>
              <w:t>central_15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  <w:tc>
          <w:tcPr>
            <w:tcW w:type="dxa" w:w="1440"/>
          </w:tcPr>
          <w:p>
            <w:r>
              <w:t>0.248</w:t>
            </w:r>
          </w:p>
        </w:tc>
        <w:tc>
          <w:tcPr>
            <w:tcW w:type="dxa" w:w="1440"/>
          </w:tcPr>
          <w:p>
            <w:r>
              <w:t>-0.088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</w:tr>
      <w:tr>
        <w:tc>
          <w:tcPr>
            <w:tcW w:type="dxa" w:w="1440"/>
          </w:tcPr>
          <w:p>
            <w:r>
              <w:t>central_20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1.1%</w:t>
            </w:r>
          </w:p>
        </w:tc>
        <w:tc>
          <w:tcPr>
            <w:tcW w:type="dxa" w:w="1440"/>
          </w:tcPr>
          <w:p>
            <w:r>
              <w:t>0.186</w:t>
            </w:r>
          </w:p>
        </w:tc>
        <w:tc>
          <w:tcPr>
            <w:tcW w:type="dxa" w:w="1440"/>
          </w:tcPr>
          <w:p>
            <w:r>
              <w:t>-0.153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</w:tr>
      <w:tr>
        <w:tc>
          <w:tcPr>
            <w:tcW w:type="dxa" w:w="1440"/>
          </w:tcPr>
          <w:p>
            <w:r>
              <w:t>peripheral_5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11.9%</w:t>
            </w:r>
          </w:p>
        </w:tc>
        <w:tc>
          <w:tcPr>
            <w:tcW w:type="dxa" w:w="1440"/>
          </w:tcPr>
          <w:p>
            <w:r>
              <w:t>1.389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61.2%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5.5%</w:t>
            </w:r>
          </w:p>
        </w:tc>
        <w:tc>
          <w:tcPr>
            <w:tcW w:type="dxa" w:w="1440"/>
          </w:tcPr>
          <w:p>
            <w:r>
              <w:t>0.746</w:t>
            </w:r>
          </w:p>
        </w:tc>
        <w:tc>
          <w:tcPr>
            <w:tcW w:type="dxa" w:w="1440"/>
          </w:tcPr>
          <w:p>
            <w:r>
              <w:t>0.283</w:t>
            </w:r>
          </w:p>
        </w:tc>
        <w:tc>
          <w:tcPr>
            <w:tcW w:type="dxa" w:w="1440"/>
          </w:tcPr>
          <w:p>
            <w:r>
              <w:t>46.0%</w:t>
            </w:r>
          </w:p>
        </w:tc>
      </w:tr>
      <w:tr>
        <w:tc>
          <w:tcPr>
            <w:tcW w:type="dxa" w:w="1440"/>
          </w:tcPr>
          <w:p>
            <w:r>
              <w:t>peripheral_15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7.0%</w:t>
            </w:r>
          </w:p>
        </w:tc>
        <w:tc>
          <w:tcPr>
            <w:tcW w:type="dxa" w:w="1440"/>
          </w:tcPr>
          <w:p>
            <w:r>
              <w:t>0.982</w:t>
            </w:r>
          </w:p>
        </w:tc>
        <w:tc>
          <w:tcPr>
            <w:tcW w:type="dxa" w:w="1440"/>
          </w:tcPr>
          <w:p>
            <w:r>
              <w:t>0.498</w:t>
            </w:r>
          </w:p>
        </w:tc>
        <w:tc>
          <w:tcPr>
            <w:tcW w:type="dxa" w:w="1440"/>
          </w:tcPr>
          <w:p>
            <w:r>
              <w:t>42.8%</w:t>
            </w:r>
          </w:p>
        </w:tc>
      </w:tr>
      <w:tr>
        <w:tc>
          <w:tcPr>
            <w:tcW w:type="dxa" w:w="1440"/>
          </w:tcPr>
          <w:p>
            <w:r>
              <w:t>peripheral_20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7.1%</w:t>
            </w:r>
          </w:p>
        </w:tc>
        <w:tc>
          <w:tcPr>
            <w:tcW w:type="dxa" w:w="1440"/>
          </w:tcPr>
          <w:p>
            <w:r>
              <w:t>1.052</w:t>
            </w:r>
          </w:p>
        </w:tc>
        <w:tc>
          <w:tcPr>
            <w:tcW w:type="dxa" w:w="1440"/>
          </w:tcPr>
          <w:p>
            <w:r>
              <w:t>0.567</w:t>
            </w:r>
          </w:p>
        </w:tc>
        <w:tc>
          <w:tcPr>
            <w:tcW w:type="dxa" w:w="1440"/>
          </w:tcPr>
          <w:p>
            <w:r>
              <w:t>35.6%</w:t>
            </w:r>
          </w:p>
        </w:tc>
      </w:tr>
      <w:tr>
        <w:tc>
          <w:tcPr>
            <w:tcW w:type="dxa" w:w="1440"/>
          </w:tcPr>
          <w:p>
            <w:r>
              <w:t>hybrid_5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2.9%</w:t>
            </w:r>
          </w:p>
        </w:tc>
        <w:tc>
          <w:tcPr>
            <w:tcW w:type="dxa" w:w="1440"/>
          </w:tcPr>
          <w:p>
            <w:r>
              <w:t>0.375</w:t>
            </w:r>
          </w:p>
        </w:tc>
        <w:tc>
          <w:tcPr>
            <w:tcW w:type="dxa" w:w="1440"/>
          </w:tcPr>
          <w:p>
            <w:r>
              <w:t>-0.071</w:t>
            </w:r>
          </w:p>
        </w:tc>
        <w:tc>
          <w:tcPr>
            <w:tcW w:type="dxa" w:w="1440"/>
          </w:tcPr>
          <w:p>
            <w:r>
              <w:t>57.2%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5.5%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  <w:tc>
          <w:tcPr>
            <w:tcW w:type="dxa" w:w="1440"/>
          </w:tcPr>
          <w:p>
            <w:r>
              <w:t>0.276</w:t>
            </w:r>
          </w:p>
        </w:tc>
        <w:tc>
          <w:tcPr>
            <w:tcW w:type="dxa" w:w="1440"/>
          </w:tcPr>
          <w:p>
            <w:r>
              <w:t>47.2%</w:t>
            </w:r>
          </w:p>
        </w:tc>
      </w:tr>
      <w:tr>
        <w:tc>
          <w:tcPr>
            <w:tcW w:type="dxa" w:w="1440"/>
          </w:tcPr>
          <w:p>
            <w:r>
              <w:t>hybrid_15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4.5%</w:t>
            </w:r>
          </w:p>
        </w:tc>
        <w:tc>
          <w:tcPr>
            <w:tcW w:type="dxa" w:w="1440"/>
          </w:tcPr>
          <w:p>
            <w:r>
              <w:t>0.629</w:t>
            </w:r>
          </w:p>
        </w:tc>
        <w:tc>
          <w:tcPr>
            <w:tcW w:type="dxa" w:w="1440"/>
          </w:tcPr>
          <w:p>
            <w:r>
              <w:t>0.202</w:t>
            </w:r>
          </w:p>
        </w:tc>
        <w:tc>
          <w:tcPr>
            <w:tcW w:type="dxa" w:w="1440"/>
          </w:tcPr>
          <w:p>
            <w:r>
              <w:t>40.1%</w:t>
            </w:r>
          </w:p>
        </w:tc>
      </w:tr>
      <w:tr>
        <w:tc>
          <w:tcPr>
            <w:tcW w:type="dxa" w:w="1440"/>
          </w:tcPr>
          <w:p>
            <w:r>
              <w:t>hybrid_20</w:t>
            </w:r>
          </w:p>
        </w:tc>
        <w:tc>
          <w:tcPr>
            <w:tcW w:type="dxa" w:w="1440"/>
          </w:tcPr>
          <w:p>
            <w:r>
              <w:t>GPMF</w:t>
            </w:r>
          </w:p>
        </w:tc>
        <w:tc>
          <w:tcPr>
            <w:tcW w:type="dxa" w:w="1440"/>
          </w:tcPr>
          <w:p>
            <w:r>
              <w:t>2.7%</w:t>
            </w:r>
          </w:p>
        </w:tc>
        <w:tc>
          <w:tcPr>
            <w:tcW w:type="dxa" w:w="1440"/>
          </w:tcPr>
          <w:p>
            <w:r>
              <w:t>0.407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</w:tr>
      <w:tr>
        <w:tc>
          <w:tcPr>
            <w:tcW w:type="dxa" w:w="1440"/>
          </w:tcPr>
          <w:p>
            <w:r>
              <w:t>central_5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2.1%</w:t>
            </w:r>
          </w:p>
        </w:tc>
        <w:tc>
          <w:tcPr>
            <w:tcW w:type="dxa" w:w="1440"/>
          </w:tcPr>
          <w:p>
            <w:r>
              <w:t>0.269</w:t>
            </w:r>
          </w:p>
        </w:tc>
        <w:tc>
          <w:tcPr>
            <w:tcW w:type="dxa" w:w="1440"/>
          </w:tcPr>
          <w:p>
            <w:r>
              <w:t>-0.059</w:t>
            </w:r>
          </w:p>
        </w:tc>
        <w:tc>
          <w:tcPr>
            <w:tcW w:type="dxa" w:w="1440"/>
          </w:tcPr>
          <w:p>
            <w:r>
              <w:t>32.4%</w:t>
            </w:r>
          </w:p>
        </w:tc>
      </w:tr>
      <w:tr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3.0%</w:t>
            </w:r>
          </w:p>
        </w:tc>
        <w:tc>
          <w:tcPr>
            <w:tcW w:type="dxa" w:w="1440"/>
          </w:tcPr>
          <w:p>
            <w:r>
              <w:t>0.393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</w:tr>
      <w:tr>
        <w:tc>
          <w:tcPr>
            <w:tcW w:type="dxa" w:w="1440"/>
          </w:tcPr>
          <w:p>
            <w:r>
              <w:t>central_15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0.107</w:t>
            </w:r>
          </w:p>
        </w:tc>
        <w:tc>
          <w:tcPr>
            <w:tcW w:type="dxa" w:w="1440"/>
          </w:tcPr>
          <w:p>
            <w:r>
              <w:t>-0.237</w:t>
            </w:r>
          </w:p>
        </w:tc>
        <w:tc>
          <w:tcPr>
            <w:tcW w:type="dxa" w:w="1440"/>
          </w:tcPr>
          <w:p>
            <w:r>
              <w:t>26.8%</w:t>
            </w:r>
          </w:p>
        </w:tc>
      </w:tr>
      <w:tr>
        <w:tc>
          <w:tcPr>
            <w:tcW w:type="dxa" w:w="1440"/>
          </w:tcPr>
          <w:p>
            <w:r>
              <w:t>central_20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  <w:tc>
          <w:tcPr>
            <w:tcW w:type="dxa" w:w="1440"/>
          </w:tcPr>
          <w:p>
            <w:r>
              <w:t>0.255</w:t>
            </w:r>
          </w:p>
        </w:tc>
        <w:tc>
          <w:tcPr>
            <w:tcW w:type="dxa" w:w="1440"/>
          </w:tcPr>
          <w:p>
            <w:r>
              <w:t>-0.106</w:t>
            </w:r>
          </w:p>
        </w:tc>
        <w:tc>
          <w:tcPr>
            <w:tcW w:type="dxa" w:w="1440"/>
          </w:tcPr>
          <w:p>
            <w:r>
              <w:t>25.2%</w:t>
            </w:r>
          </w:p>
        </w:tc>
      </w:tr>
      <w:tr>
        <w:tc>
          <w:tcPr>
            <w:tcW w:type="dxa" w:w="1440"/>
          </w:tcPr>
          <w:p>
            <w:r>
              <w:t>peripheral_5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1.8%</w:t>
            </w:r>
          </w:p>
        </w:tc>
        <w:tc>
          <w:tcPr>
            <w:tcW w:type="dxa" w:w="1440"/>
          </w:tcPr>
          <w:p>
            <w:r>
              <w:t>0.257</w:t>
            </w:r>
          </w:p>
        </w:tc>
        <w:tc>
          <w:tcPr>
            <w:tcW w:type="dxa" w:w="1440"/>
          </w:tcPr>
          <w:p>
            <w:r>
              <w:t>-0.176</w:t>
            </w:r>
          </w:p>
        </w:tc>
        <w:tc>
          <w:tcPr>
            <w:tcW w:type="dxa" w:w="1440"/>
          </w:tcPr>
          <w:p>
            <w:r>
              <w:t>54.8%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4.6%</w:t>
            </w:r>
          </w:p>
        </w:tc>
        <w:tc>
          <w:tcPr>
            <w:tcW w:type="dxa" w:w="1440"/>
          </w:tcPr>
          <w:p>
            <w:r>
              <w:t>0.644</w:t>
            </w:r>
          </w:p>
        </w:tc>
        <w:tc>
          <w:tcPr>
            <w:tcW w:type="dxa" w:w="1440"/>
          </w:tcPr>
          <w:p>
            <w:r>
              <w:t>0.180</w:t>
            </w:r>
          </w:p>
        </w:tc>
        <w:tc>
          <w:tcPr>
            <w:tcW w:type="dxa" w:w="1440"/>
          </w:tcPr>
          <w:p>
            <w:r>
              <w:t>44.4%</w:t>
            </w:r>
          </w:p>
        </w:tc>
      </w:tr>
      <w:tr>
        <w:tc>
          <w:tcPr>
            <w:tcW w:type="dxa" w:w="1440"/>
          </w:tcPr>
          <w:p>
            <w:r>
              <w:t>peripheral_15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4.1%</w:t>
            </w:r>
          </w:p>
        </w:tc>
        <w:tc>
          <w:tcPr>
            <w:tcW w:type="dxa" w:w="1440"/>
          </w:tcPr>
          <w:p>
            <w:r>
              <w:t>0.575</w:t>
            </w:r>
          </w:p>
        </w:tc>
        <w:tc>
          <w:tcPr>
            <w:tcW w:type="dxa" w:w="1440"/>
          </w:tcPr>
          <w:p>
            <w:r>
              <w:t>0.161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</w:tr>
      <w:tr>
        <w:tc>
          <w:tcPr>
            <w:tcW w:type="dxa" w:w="1440"/>
          </w:tcPr>
          <w:p>
            <w:r>
              <w:t>peripheral_20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4.9%</w:t>
            </w:r>
          </w:p>
        </w:tc>
        <w:tc>
          <w:tcPr>
            <w:tcW w:type="dxa" w:w="1440"/>
          </w:tcPr>
          <w:p>
            <w:r>
              <w:t>0.702</w:t>
            </w:r>
          </w:p>
        </w:tc>
        <w:tc>
          <w:tcPr>
            <w:tcW w:type="dxa" w:w="1440"/>
          </w:tcPr>
          <w:p>
            <w:r>
              <w:t>0.292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</w:tr>
      <w:tr>
        <w:tc>
          <w:tcPr>
            <w:tcW w:type="dxa" w:w="1440"/>
          </w:tcPr>
          <w:p>
            <w:r>
              <w:t>hybrid_5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3.9%</w:t>
            </w:r>
          </w:p>
        </w:tc>
        <w:tc>
          <w:tcPr>
            <w:tcW w:type="dxa" w:w="1440"/>
          </w:tcPr>
          <w:p>
            <w:r>
              <w:t>0.490</w:t>
            </w:r>
          </w:p>
        </w:tc>
        <w:tc>
          <w:tcPr>
            <w:tcW w:type="dxa" w:w="1440"/>
          </w:tcPr>
          <w:p>
            <w:r>
              <w:t>0.038</w:t>
            </w:r>
          </w:p>
        </w:tc>
        <w:tc>
          <w:tcPr>
            <w:tcW w:type="dxa" w:w="1440"/>
          </w:tcPr>
          <w:p>
            <w:r>
              <w:t>53.2%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2.1%</w:t>
            </w:r>
          </w:p>
        </w:tc>
        <w:tc>
          <w:tcPr>
            <w:tcW w:type="dxa" w:w="1440"/>
          </w:tcPr>
          <w:p>
            <w:r>
              <w:t>0.303</w:t>
            </w:r>
          </w:p>
        </w:tc>
        <w:tc>
          <w:tcPr>
            <w:tcW w:type="dxa" w:w="1440"/>
          </w:tcPr>
          <w:p>
            <w:r>
              <w:t>-0.122</w:t>
            </w:r>
          </w:p>
        </w:tc>
        <w:tc>
          <w:tcPr>
            <w:tcW w:type="dxa" w:w="1440"/>
          </w:tcPr>
          <w:p>
            <w:r>
              <w:t>43.6%</w:t>
            </w:r>
          </w:p>
        </w:tc>
      </w:tr>
      <w:tr>
        <w:tc>
          <w:tcPr>
            <w:tcW w:type="dxa" w:w="1440"/>
          </w:tcPr>
          <w:p>
            <w:r>
              <w:t>hybrid_15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3.0%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39.6%</w:t>
            </w:r>
          </w:p>
        </w:tc>
      </w:tr>
      <w:tr>
        <w:tc>
          <w:tcPr>
            <w:tcW w:type="dxa" w:w="1440"/>
          </w:tcPr>
          <w:p>
            <w:r>
              <w:t>hybrid_20</w:t>
            </w:r>
          </w:p>
        </w:tc>
        <w:tc>
          <w:tcPr>
            <w:tcW w:type="dxa" w:w="1440"/>
          </w:tcPr>
          <w:p>
            <w:r>
              <w:t>AGM</w:t>
            </w:r>
          </w:p>
        </w:tc>
        <w:tc>
          <w:tcPr>
            <w:tcW w:type="dxa" w:w="1440"/>
          </w:tcPr>
          <w:p>
            <w:r>
              <w:t>3.8%</w:t>
            </w:r>
          </w:p>
        </w:tc>
        <w:tc>
          <w:tcPr>
            <w:tcW w:type="dxa" w:w="1440"/>
          </w:tcPr>
          <w:p>
            <w:r>
              <w:t>0.562</w:t>
            </w:r>
          </w:p>
        </w:tc>
        <w:tc>
          <w:tcPr>
            <w:tcW w:type="dxa" w:w="1440"/>
          </w:tcPr>
          <w:p>
            <w:r>
              <w:t>0.136</w:t>
            </w:r>
          </w:p>
        </w:tc>
        <w:tc>
          <w:tcPr>
            <w:tcW w:type="dxa" w:w="1440"/>
          </w:tcPr>
          <w:p>
            <w:r>
              <w:t>34.8%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alinhada_augu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GPMF vs AGM (regra idêntica, dados corrigidos): retorno acumulado líquido das carteiras de tamanho 10.</w:t>
      </w:r>
    </w:p>
    <w:p>
      <w:pPr>
        <w:pStyle w:val="Heading1"/>
      </w:pPr>
      <w:r>
        <w:rPr>
          <w:color w:val="1F3B73"/>
        </w:rPr>
        <w:t>Discussão: reconciliação dos dois braços</w:t>
      </w:r>
    </w:p>
    <w:p>
      <w:pPr>
        <w:jc w:val="both"/>
      </w:pPr>
      <w:r>
        <w:t>Os dois braços foram desenvolvidos separadamente e, de início, adotaram convenções diferentes. O braço AGM usava o retorno Rt = ln((Pt+Dt)/Pt−1) sobre o preço já ajustado, o que conta os dividendos duas vezes e infla o retorno anual em cerca do próprio dividend yield (~10% ao ano para FIIs); além disso, usava janela e universo distintos e o CDI como taxa livre de risco. Na execução isolada do braço AGM, isso elevava os Sharpes (p.ex. AGM Central-10 ≈ 1,78) e fazia o centro parecer vencer. Ao alinhar tudo — mesma convenção corrigida, mesmo universo e janela, mesma regra de seleção —, o quadro muda: o GPMF sustenta a periferia de forma mais robusta que a AGM. A lição metodológica é que conclusões sobre centro vs. periferia dependem não só do filtro, mas também da convenção de retorno — ponto que precisa estar alinhado entre os dois trabalhos antes de qualquer comparação oficial.</w:t>
      </w:r>
    </w:p>
    <w:p>
      <w:pPr>
        <w:jc w:val="both"/>
      </w:pPr>
      <w:r>
        <w:t>Ressalvas: na maioria das carteiras o ganho ativo não sobrevive aos custos, e o teste de Jobson-Korkie não encontra diferenças significativas a 5% na janela disponível. A evidência é, portanto, qualitativamente favorável à periferia e ao GPMF, mas ainda não conclusiva estatisticamente.</w:t>
      </w:r>
    </w:p>
    <w:p>
      <w:pPr>
        <w:pStyle w:val="Heading1"/>
      </w:pPr>
      <w:r>
        <w:rPr>
          <w:color w:val="1F3B73"/>
        </w:rPr>
        <w:t>Conclusão</w:t>
      </w:r>
    </w:p>
    <w:p>
      <w:pPr>
        <w:jc w:val="both"/>
      </w:pPr>
      <w:r>
        <w:t>Sob metodologia idêntica e validação fora da amostra, o GPMF oferece suporte mais robusto à hipótese da periferia de Pozzi et al. (2013) do que a AGM, e a carteira Periférica-5 do GPMF supera o benchmark passivo no líquido. A comparação entre os braços exigiu reconciliar as convenções — sobretudo o tratamento de dividendos. Próximos passos: estender a janela, controlar o giro e incluir a centralidade de autovetor na seleção.</w:t>
      </w:r>
    </w:p>
    <w:p>
      <w:pPr>
        <w:pStyle w:val="Heading1"/>
      </w:pPr>
      <w:r>
        <w:rPr>
          <w:color w:val="1F3B73"/>
        </w:rPr>
        <w:t>Bibliografia</w:t>
      </w:r>
    </w:p>
    <w:p>
      <w:r>
        <w:t>MANTEGNA, R. N. Hierarchical structure in financial markets. EPJB, 11:193–197, 1999.</w:t>
      </w:r>
    </w:p>
    <w:p>
      <w:r>
        <w:t>TUMMINELLO, M. et al. A tool for filtering information in complex systems. PNAS, 102(30):10421–10426, 2005.</w:t>
      </w:r>
    </w:p>
    <w:p>
      <w:r>
        <w:t>POZZI, F.; DI MATTEO, T.; ASTE, T. Spread of risk across financial markets: better to invest in the peripheries. Scientific Reports, 3:1665, 2013.</w:t>
      </w:r>
    </w:p>
    <w:p>
      <w:r>
        <w:t>PERALTA, G.; ZAREEI, A. A network approach to portfolio selection. JEF, 38:157–180, 2016.</w:t>
      </w:r>
    </w:p>
    <w:p>
      <w:r>
        <w:t>MEMMEL, C. Performance hypothesis testing with the Sharpe ratio. Finance Letters, 1:21–23, 2003.</w:t>
      </w:r>
    </w:p>
    <w:p>
      <w:pPr>
        <w:pStyle w:val="Heading1"/>
      </w:pPr>
      <w:r>
        <w:rPr>
          <w:color w:val="1F3B73"/>
        </w:rPr>
        <w:t>Perspectivas de continuidade</w:t>
      </w:r>
    </w:p>
    <w:p>
      <w:pPr>
        <w:jc w:val="both"/>
      </w:pPr>
      <w:r>
        <w:t>Estender a janela para aumentar o poder estatístico; alinhar oficialmente as premissas com o braço AGM; incorporar a centralidade de autovetor e pesos por risco; e redigir o artigo para o ENIAC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 Sung Jang</dc:creator>
  <cp:keywords/>
  <dc:description>generated by Yoon Sung Jang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