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Programa Institucional de Iniciação Científica e Tecnológica</w:t>
      </w:r>
    </w:p>
    <w:p>
      <w:pPr>
        <w:jc w:val="center"/>
      </w:pPr>
      <w:r>
        <w:rPr>
          <w:b/>
          <w:color w:val="1F3B73"/>
          <w:sz w:val="30"/>
        </w:rPr>
        <w:t>Relatório Final de Atividades</w:t>
      </w:r>
    </w:p>
    <w:p>
      <w:pPr>
        <w:jc w:val="center"/>
      </w:pPr>
      <w:r>
        <w:rPr>
          <w:b/>
        </w:rPr>
        <w:t>Análise Comparativa de Métodos de Formação de Carteira Baseados em Grafos para Fundos Imobiliários (FIIs): Casos de Estudo com o Grafo Planar Maximamente Filtrado</w:t>
      </w:r>
    </w:p>
    <w:p/>
    <w:p>
      <w:r>
        <w:rPr>
          <w:b/>
        </w:rPr>
        <w:t xml:space="preserve">Projeto: </w:t>
      </w:r>
      <w:r>
        <w:t>Análise Comparativa de Métodos de Formação de Carteira Baseados em Grafos para Fundos Imobiliários (FIIs): Casos de Estudo com o Grafo Planar Maximamente Filtrado</w:t>
      </w:r>
    </w:p>
    <w:p>
      <w:r>
        <w:rPr>
          <w:b/>
        </w:rPr>
        <w:t xml:space="preserve">Bolsista / RA: </w:t>
      </w:r>
      <w:r>
        <w:t>Yoon Sung Jang / RA [preencher]</w:t>
      </w:r>
    </w:p>
    <w:p>
      <w:r>
        <w:rPr>
          <w:b/>
        </w:rPr>
        <w:t xml:space="preserve">Orientador: </w:t>
      </w:r>
      <w:r>
        <w:t>Prof. Dr. João Roberto Bertini Junior</w:t>
      </w:r>
    </w:p>
    <w:p>
      <w:r>
        <w:rPr>
          <w:b/>
        </w:rPr>
        <w:t xml:space="preserve">Local de execução: </w:t>
      </w:r>
      <w:r>
        <w:t>Faculdade de Tecnologia (FT) — UNICAMP, Limeira/SP</w:t>
      </w:r>
    </w:p>
    <w:p>
      <w:r>
        <w:rPr>
          <w:b/>
        </w:rPr>
        <w:t xml:space="preserve">Vigência: </w:t>
      </w:r>
      <w:r>
        <w:t>setembro/2025 a agosto/2026</w:t>
      </w:r>
    </w:p>
    <w:p>
      <w:pPr>
        <w:pStyle w:val="Heading1"/>
      </w:pPr>
      <w:r>
        <w:rPr>
          <w:color w:val="1F3B73"/>
        </w:rPr>
        <w:t>Resumo</w:t>
      </w:r>
    </w:p>
    <w:p>
      <w:pPr>
        <w:jc w:val="both"/>
      </w:pPr>
      <w:r>
        <w:t>Este projeto compara dois métodos de filtragem em grafos para a formação de carteiras de Fundos de Investimento Imobiliário (FIIs): o Grafo Planar Maximamente Filtrado (GPMF), desenvolvido neste trabalho, e a Árvore Geradora Mínima (AGM), do parceiro Augusto Carneiro da Silva. A partir da correlação dos retornos de 51 FIIs (mar/2022–nov/2025) constrói-se a rede, e por centralidade formam-se carteiras Central, Periférica e Híbrida, avaliadas fora da amostra por janela deslizante e medindo o Índice de Sharpe sobre o excesso ao CDI. No período, os FIIs renderam abaixo do CDI (Sharpe negativo em todas as carteiras e no benchmark). Na comparação direta com os resultados reais da AGM, no período comum, o GPMF supera a AGM em todas as carteiras de forma estatisticamente significativa, e a carteira Periférica-5 do GPMF é a única a superar o benchmark passivo. Discutem-se as ressalvas: janela curta, dependência de regime e diferenças residuais entre os braços.</w:t>
      </w:r>
    </w:p>
    <w:p>
      <w:pPr>
        <w:pStyle w:val="Heading1"/>
      </w:pPr>
      <w:r>
        <w:rPr>
          <w:color w:val="1F3B73"/>
        </w:rPr>
        <w:t>Introdução</w:t>
      </w:r>
    </w:p>
    <w:p>
      <w:pPr>
        <w:jc w:val="both"/>
      </w:pPr>
      <w:r>
        <w:t>Métodos de filtragem em grafos resumem a estrutura de correlação de um mercado em poucas ligações. A AGM (Mantegna, 1999) retém N−1 arestas; o GPMF (Tumminello et al., 2005), por exigir apenas planaridade, retém 3N−6 e preserva ciclos e cliques. Pozzi, Di Matteo e Aste (2013) propõem que ativos periféricos formam carteiras com melhor relação risco-retorno. Investiga-se a hipótese para FIIs e se o filtro (GPMF ou AGM) altera a conclusão. O diferencial desta versão é a comparação com os resultados reais do braço AGM do parceiro.</w:t>
      </w:r>
    </w:p>
    <w:p>
      <w:pPr>
        <w:pStyle w:val="Heading1"/>
      </w:pPr>
      <w:r>
        <w:rPr>
          <w:color w:val="1F3B73"/>
        </w:rPr>
        <w:t>Materiais e Métodos</w:t>
      </w:r>
    </w:p>
    <w:p>
      <w:pPr>
        <w:jc w:val="both"/>
      </w:pPr>
      <w:r>
        <w:t>Fechamentos diários ajustados de FIIs via yfinance, de mar/2022 a nov/2025; universo determinístico de 51 FIIs; benchmark XFIX11 (proxy do IFIX). Retorno total Rt = ln(Pt/Pt−1) sobre o ajustado (verificou-se que somar Dt contaria o dividendo duas vezes). Da correlação de Pearson obtém-se a distância d = √(2(1−ρ)) e, dela, o GPMF (planaridade de Boyer-Myrvold) e a AGM (Kruskal). Para cada FII calcula-se um escore composto de centralidade (grau, intermediação, proximidade), a mesma regra nos dois braços. Formam-se carteiras Central, Periférica e Híbrida de 5, 10, 15 e 20 ativos, pesos iguais. A validação é fora da amostra por janela deslizante (forma 360, mantém 22, avança 22), com custo de 0,3% sobre o giro e 15% de IR sobre ganho de capital. O Índice de Sharpe é medido sobre o excesso ao CDI diário (≈11,6% a.a.); a significância segue Jobson-Korkie (Memmel, 2003) com IC por bootstrap de blocos.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_dividendos_MXRF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Verificação da convenção de dividendos (MXRF11).</w:t>
      </w:r>
    </w:p>
    <w:p>
      <w:pPr>
        <w:pStyle w:val="Heading1"/>
      </w:pPr>
      <w:r>
        <w:rPr>
          <w:color w:val="1F3B73"/>
        </w:rPr>
        <w:t>Resultados — braço GPMF (período completo)</w:t>
      </w:r>
    </w:p>
    <w:p>
      <w:pPr>
        <w:jc w:val="both"/>
      </w:pPr>
      <w:r>
        <w:t>O GPMF tem 147 arestas (= 3·51−6), planar e conexo, contra 50 da AGM. Fora da amostra (09/08/2023 a 20/10/2025, 550 pregões, 25 rebalanceamentos), todas as carteiras têm Sharpe negativo frente ao CDI — os FIIs renderam abaixo da renda fixa. Ainda assim, a carteira Periférica supera a Central em todos os tamanhos (hipótese de Pozzi).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8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mf_estat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GPMF dos FIIs; tamanho e cor dos vértices indicam centralidade de grau.</w:t>
      </w:r>
    </w:p>
    <w:p>
      <w:pPr>
        <w:jc w:val="both"/>
      </w:pPr>
      <w:r>
        <w:t>A decomposição de custos (Tabela 1) mostra que o arrasto de transação (~1–2% a.a.) e o de imposto (~1,7–2,1% a.a.) consomem o pouco que sobrava. A robustez por subperíodo (Tabela 2) revela que a vantagem da periferia depende do regime: confirma-se no primeiro subperíodo e se inverte no segundo.</w:t>
      </w:r>
    </w:p>
    <w:p>
      <w:r>
        <w:rPr>
          <w:b/>
          <w:color w:val="1F3B73"/>
        </w:rPr>
        <w:t>Tabela 1 — Decomposição do retorno (bruto → custo → imposto → líquido)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carteira</w:t>
            </w:r>
          </w:p>
        </w:tc>
        <w:tc>
          <w:tcPr>
            <w:tcW w:type="dxa" w:w="1234"/>
          </w:tcPr>
          <w:p>
            <w:r>
              <w:t>giro_medio_am</w:t>
            </w:r>
          </w:p>
        </w:tc>
        <w:tc>
          <w:tcPr>
            <w:tcW w:type="dxa" w:w="1234"/>
          </w:tcPr>
          <w:p>
            <w:r>
              <w:t>custo_medio_am</w:t>
            </w:r>
          </w:p>
        </w:tc>
        <w:tc>
          <w:tcPr>
            <w:tcW w:type="dxa" w:w="1234"/>
          </w:tcPr>
          <w:p>
            <w:r>
              <w:t>ret_bruto_aa</w:t>
            </w:r>
          </w:p>
        </w:tc>
        <w:tc>
          <w:tcPr>
            <w:tcW w:type="dxa" w:w="1234"/>
          </w:tcPr>
          <w:p>
            <w:r>
              <w:t>arrasto_custo_aa</w:t>
            </w:r>
          </w:p>
        </w:tc>
        <w:tc>
          <w:tcPr>
            <w:tcW w:type="dxa" w:w="1234"/>
          </w:tcPr>
          <w:p>
            <w:r>
              <w:t>arrasto_imposto_aa</w:t>
            </w:r>
          </w:p>
        </w:tc>
        <w:tc>
          <w:tcPr>
            <w:tcW w:type="dxa" w:w="1234"/>
          </w:tcPr>
          <w:p>
            <w:r>
              <w:t>ret_liq_aa</w:t>
            </w:r>
          </w:p>
        </w:tc>
      </w:tr>
      <w:tr>
        <w:tc>
          <w:tcPr>
            <w:tcW w:type="dxa" w:w="1234"/>
          </w:tcPr>
          <w:p>
            <w:r>
              <w:t>central_10</w:t>
            </w:r>
          </w:p>
        </w:tc>
        <w:tc>
          <w:tcPr>
            <w:tcW w:type="dxa" w:w="1234"/>
          </w:tcPr>
          <w:p>
            <w:r>
              <w:t>28.80%</w:t>
            </w:r>
          </w:p>
        </w:tc>
        <w:tc>
          <w:tcPr>
            <w:tcW w:type="dxa" w:w="1234"/>
          </w:tcPr>
          <w:p>
            <w:r>
              <w:t>0.09%</w:t>
            </w:r>
          </w:p>
        </w:tc>
        <w:tc>
          <w:tcPr>
            <w:tcW w:type="dxa" w:w="1234"/>
          </w:tcPr>
          <w:p>
            <w:r>
              <w:t>-0.06%</w:t>
            </w:r>
          </w:p>
        </w:tc>
        <w:tc>
          <w:tcPr>
            <w:tcW w:type="dxa" w:w="1234"/>
          </w:tcPr>
          <w:p>
            <w:r>
              <w:t>0.99%</w:t>
            </w:r>
          </w:p>
        </w:tc>
        <w:tc>
          <w:tcPr>
            <w:tcW w:type="dxa" w:w="1234"/>
          </w:tcPr>
          <w:p>
            <w:r>
              <w:t>1.71%</w:t>
            </w:r>
          </w:p>
        </w:tc>
        <w:tc>
          <w:tcPr>
            <w:tcW w:type="dxa" w:w="1234"/>
          </w:tcPr>
          <w:p>
            <w:r>
              <w:t>-2.76%</w:t>
            </w:r>
          </w:p>
        </w:tc>
      </w:tr>
      <w:tr>
        <w:tc>
          <w:tcPr>
            <w:tcW w:type="dxa" w:w="1234"/>
          </w:tcPr>
          <w:p>
            <w:r>
              <w:t>central_15</w:t>
            </w:r>
          </w:p>
        </w:tc>
        <w:tc>
          <w:tcPr>
            <w:tcW w:type="dxa" w:w="1234"/>
          </w:tcPr>
          <w:p>
            <w:r>
              <w:t>26.27%</w:t>
            </w:r>
          </w:p>
        </w:tc>
        <w:tc>
          <w:tcPr>
            <w:tcW w:type="dxa" w:w="1234"/>
          </w:tcPr>
          <w:p>
            <w:r>
              <w:t>0.08%</w:t>
            </w:r>
          </w:p>
        </w:tc>
        <w:tc>
          <w:tcPr>
            <w:tcW w:type="dxa" w:w="1234"/>
          </w:tcPr>
          <w:p>
            <w:r>
              <w:t>1.44%</w:t>
            </w:r>
          </w:p>
        </w:tc>
        <w:tc>
          <w:tcPr>
            <w:tcW w:type="dxa" w:w="1234"/>
          </w:tcPr>
          <w:p>
            <w:r>
              <w:t>0.91%</w:t>
            </w:r>
          </w:p>
        </w:tc>
        <w:tc>
          <w:tcPr>
            <w:tcW w:type="dxa" w:w="1234"/>
          </w:tcPr>
          <w:p>
            <w:r>
              <w:t>1.83%</w:t>
            </w:r>
          </w:p>
        </w:tc>
        <w:tc>
          <w:tcPr>
            <w:tcW w:type="dxa" w:w="1234"/>
          </w:tcPr>
          <w:p>
            <w:r>
              <w:t>-1.30%</w:t>
            </w:r>
          </w:p>
        </w:tc>
      </w:tr>
      <w:tr>
        <w:tc>
          <w:tcPr>
            <w:tcW w:type="dxa" w:w="1234"/>
          </w:tcPr>
          <w:p>
            <w:r>
              <w:t>central_20</w:t>
            </w:r>
          </w:p>
        </w:tc>
        <w:tc>
          <w:tcPr>
            <w:tcW w:type="dxa" w:w="1234"/>
          </w:tcPr>
          <w:p>
            <w:r>
              <w:t>27.60%</w:t>
            </w:r>
          </w:p>
        </w:tc>
        <w:tc>
          <w:tcPr>
            <w:tcW w:type="dxa" w:w="1234"/>
          </w:tcPr>
          <w:p>
            <w:r>
              <w:t>0.08%</w:t>
            </w:r>
          </w:p>
        </w:tc>
        <w:tc>
          <w:tcPr>
            <w:tcW w:type="dxa" w:w="1234"/>
          </w:tcPr>
          <w:p>
            <w:r>
              <w:t>1.53%</w:t>
            </w:r>
          </w:p>
        </w:tc>
        <w:tc>
          <w:tcPr>
            <w:tcW w:type="dxa" w:w="1234"/>
          </w:tcPr>
          <w:p>
            <w:r>
              <w:t>0.96%</w:t>
            </w:r>
          </w:p>
        </w:tc>
        <w:tc>
          <w:tcPr>
            <w:tcW w:type="dxa" w:w="1234"/>
          </w:tcPr>
          <w:p>
            <w:r>
              <w:t>1.74%</w:t>
            </w:r>
          </w:p>
        </w:tc>
        <w:tc>
          <w:tcPr>
            <w:tcW w:type="dxa" w:w="1234"/>
          </w:tcPr>
          <w:p>
            <w:r>
              <w:t>-1.17%</w:t>
            </w:r>
          </w:p>
        </w:tc>
      </w:tr>
      <w:tr>
        <w:tc>
          <w:tcPr>
            <w:tcW w:type="dxa" w:w="1234"/>
          </w:tcPr>
          <w:p>
            <w:r>
              <w:t>peripheral_10</w:t>
            </w:r>
          </w:p>
        </w:tc>
        <w:tc>
          <w:tcPr>
            <w:tcW w:type="dxa" w:w="1234"/>
          </w:tcPr>
          <w:p>
            <w:r>
              <w:t>55.60%</w:t>
            </w:r>
          </w:p>
        </w:tc>
        <w:tc>
          <w:tcPr>
            <w:tcW w:type="dxa" w:w="1234"/>
          </w:tcPr>
          <w:p>
            <w:r>
              <w:t>0.17%</w:t>
            </w:r>
          </w:p>
        </w:tc>
        <w:tc>
          <w:tcPr>
            <w:tcW w:type="dxa" w:w="1234"/>
          </w:tcPr>
          <w:p>
            <w:r>
              <w:t>3.77%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2.12%</w:t>
            </w:r>
          </w:p>
        </w:tc>
        <w:tc>
          <w:tcPr>
            <w:tcW w:type="dxa" w:w="1234"/>
          </w:tcPr>
          <w:p>
            <w:r>
              <w:t>-0.31%</w:t>
            </w:r>
          </w:p>
        </w:tc>
      </w:tr>
      <w:tr>
        <w:tc>
          <w:tcPr>
            <w:tcW w:type="dxa" w:w="1234"/>
          </w:tcPr>
          <w:p>
            <w:r>
              <w:t>peripheral_15</w:t>
            </w:r>
          </w:p>
        </w:tc>
        <w:tc>
          <w:tcPr>
            <w:tcW w:type="dxa" w:w="1234"/>
          </w:tcPr>
          <w:p>
            <w:r>
              <w:t>42.27%</w:t>
            </w:r>
          </w:p>
        </w:tc>
        <w:tc>
          <w:tcPr>
            <w:tcW w:type="dxa" w:w="1234"/>
          </w:tcPr>
          <w:p>
            <w:r>
              <w:t>0.13%</w:t>
            </w:r>
          </w:p>
        </w:tc>
        <w:tc>
          <w:tcPr>
            <w:tcW w:type="dxa" w:w="1234"/>
          </w:tcPr>
          <w:p>
            <w:r>
              <w:t>3.82%</w:t>
            </w:r>
          </w:p>
        </w:tc>
        <w:tc>
          <w:tcPr>
            <w:tcW w:type="dxa" w:w="1234"/>
          </w:tcPr>
          <w:p>
            <w:r>
              <w:t>1.50%</w:t>
            </w:r>
          </w:p>
        </w:tc>
        <w:tc>
          <w:tcPr>
            <w:tcW w:type="dxa" w:w="1234"/>
          </w:tcPr>
          <w:p>
            <w:r>
              <w:t>2.01%</w:t>
            </w:r>
          </w:p>
        </w:tc>
        <w:tc>
          <w:tcPr>
            <w:tcW w:type="dxa" w:w="1234"/>
          </w:tcPr>
          <w:p>
            <w:r>
              <w:t>0.31%</w:t>
            </w:r>
          </w:p>
        </w:tc>
      </w:tr>
      <w:tr>
        <w:tc>
          <w:tcPr>
            <w:tcW w:type="dxa" w:w="1234"/>
          </w:tcPr>
          <w:p>
            <w:r>
              <w:t>peripheral_20</w:t>
            </w:r>
          </w:p>
        </w:tc>
        <w:tc>
          <w:tcPr>
            <w:tcW w:type="dxa" w:w="1234"/>
          </w:tcPr>
          <w:p>
            <w:r>
              <w:t>32.80%</w:t>
            </w:r>
          </w:p>
        </w:tc>
        <w:tc>
          <w:tcPr>
            <w:tcW w:type="dxa" w:w="1234"/>
          </w:tcPr>
          <w:p>
            <w:r>
              <w:t>0.10%</w:t>
            </w:r>
          </w:p>
        </w:tc>
        <w:tc>
          <w:tcPr>
            <w:tcW w:type="dxa" w:w="1234"/>
          </w:tcPr>
          <w:p>
            <w:r>
              <w:t>4.61%</w:t>
            </w:r>
          </w:p>
        </w:tc>
        <w:tc>
          <w:tcPr>
            <w:tcW w:type="dxa" w:w="1234"/>
          </w:tcPr>
          <w:p>
            <w:r>
              <w:t>1.17%</w:t>
            </w:r>
          </w:p>
        </w:tc>
        <w:tc>
          <w:tcPr>
            <w:tcW w:type="dxa" w:w="1234"/>
          </w:tcPr>
          <w:p>
            <w:r>
              <w:t>2.09%</w:t>
            </w:r>
          </w:p>
        </w:tc>
        <w:tc>
          <w:tcPr>
            <w:tcW w:type="dxa" w:w="1234"/>
          </w:tcPr>
          <w:p>
            <w:r>
              <w:t>1.35%</w:t>
            </w:r>
          </w:p>
        </w:tc>
      </w:tr>
      <w:tr>
        <w:tc>
          <w:tcPr>
            <w:tcW w:type="dxa" w:w="1234"/>
          </w:tcPr>
          <w:p>
            <w:r>
              <w:t>hybrid_10</w:t>
            </w:r>
          </w:p>
        </w:tc>
        <w:tc>
          <w:tcPr>
            <w:tcW w:type="dxa" w:w="1234"/>
          </w:tcPr>
          <w:p>
            <w:r>
              <w:t>49.20%</w:t>
            </w:r>
          </w:p>
        </w:tc>
        <w:tc>
          <w:tcPr>
            <w:tcW w:type="dxa" w:w="1234"/>
          </w:tcPr>
          <w:p>
            <w:r>
              <w:t>0.15%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1.71%</w:t>
            </w:r>
          </w:p>
        </w:tc>
        <w:tc>
          <w:tcPr>
            <w:tcW w:type="dxa" w:w="1234"/>
          </w:tcPr>
          <w:p>
            <w:r>
              <w:t>1.87%</w:t>
            </w:r>
          </w:p>
        </w:tc>
        <w:tc>
          <w:tcPr>
            <w:tcW w:type="dxa" w:w="1234"/>
          </w:tcPr>
          <w:p>
            <w:r>
              <w:t>-1.60%</w:t>
            </w:r>
          </w:p>
        </w:tc>
      </w:tr>
      <w:tr>
        <w:tc>
          <w:tcPr>
            <w:tcW w:type="dxa" w:w="1234"/>
          </w:tcPr>
          <w:p>
            <w:r>
              <w:t>hybrid_15</w:t>
            </w:r>
          </w:p>
        </w:tc>
        <w:tc>
          <w:tcPr>
            <w:tcW w:type="dxa" w:w="1234"/>
          </w:tcPr>
          <w:p>
            <w:r>
              <w:t>44.93%</w:t>
            </w:r>
          </w:p>
        </w:tc>
        <w:tc>
          <w:tcPr>
            <w:tcW w:type="dxa" w:w="1234"/>
          </w:tcPr>
          <w:p>
            <w:r>
              <w:t>0.13%</w:t>
            </w:r>
          </w:p>
        </w:tc>
        <w:tc>
          <w:tcPr>
            <w:tcW w:type="dxa" w:w="1234"/>
          </w:tcPr>
          <w:p>
            <w:r>
              <w:t>3.32%</w:t>
            </w:r>
          </w:p>
        </w:tc>
        <w:tc>
          <w:tcPr>
            <w:tcW w:type="dxa" w:w="1234"/>
          </w:tcPr>
          <w:p>
            <w:r>
              <w:t>1.58%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-0.23%</w:t>
            </w:r>
          </w:p>
        </w:tc>
      </w:tr>
      <w:tr>
        <w:tc>
          <w:tcPr>
            <w:tcW w:type="dxa" w:w="1234"/>
          </w:tcPr>
          <w:p>
            <w:r>
              <w:t>hybrid_20</w:t>
            </w:r>
          </w:p>
        </w:tc>
        <w:tc>
          <w:tcPr>
            <w:tcW w:type="dxa" w:w="1234"/>
          </w:tcPr>
          <w:p>
            <w:r>
              <w:t>40.80%</w:t>
            </w:r>
          </w:p>
        </w:tc>
        <w:tc>
          <w:tcPr>
            <w:tcW w:type="dxa" w:w="1234"/>
          </w:tcPr>
          <w:p>
            <w:r>
              <w:t>0.12%</w:t>
            </w:r>
          </w:p>
        </w:tc>
        <w:tc>
          <w:tcPr>
            <w:tcW w:type="dxa" w:w="1234"/>
          </w:tcPr>
          <w:p>
            <w:r>
              <w:t>1.90%</w:t>
            </w:r>
          </w:p>
        </w:tc>
        <w:tc>
          <w:tcPr>
            <w:tcW w:type="dxa" w:w="1234"/>
          </w:tcPr>
          <w:p>
            <w:r>
              <w:t>1.42%</w:t>
            </w:r>
          </w:p>
        </w:tc>
        <w:tc>
          <w:tcPr>
            <w:tcW w:type="dxa" w:w="1234"/>
          </w:tcPr>
          <w:p>
            <w:r>
              <w:t>1.86%</w:t>
            </w:r>
          </w:p>
        </w:tc>
        <w:tc>
          <w:tcPr>
            <w:tcW w:type="dxa" w:w="1234"/>
          </w:tcPr>
          <w:p>
            <w:r>
              <w:t>-1.38%</w:t>
            </w:r>
          </w:p>
        </w:tc>
      </w:tr>
    </w:tbl>
    <w:p/>
    <w:p>
      <w:r>
        <w:rPr>
          <w:b/>
          <w:color w:val="1F3B73"/>
        </w:rPr>
        <w:t>Tabela 2 — Hipótese de Pozzi por subperíodo (tamanho 10, líquido)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periodo</w:t>
            </w:r>
          </w:p>
        </w:tc>
        <w:tc>
          <w:tcPr>
            <w:tcW w:type="dxa" w:w="1234"/>
          </w:tcPr>
          <w:p>
            <w:r>
              <w:t>inicio</w:t>
            </w:r>
          </w:p>
        </w:tc>
        <w:tc>
          <w:tcPr>
            <w:tcW w:type="dxa" w:w="1234"/>
          </w:tcPr>
          <w:p>
            <w:r>
              <w:t>fim</w:t>
            </w:r>
          </w:p>
        </w:tc>
        <w:tc>
          <w:tcPr>
            <w:tcW w:type="dxa" w:w="1234"/>
          </w:tcPr>
          <w:p>
            <w:r>
              <w:t>sharpe_central_10</w:t>
            </w:r>
          </w:p>
        </w:tc>
        <w:tc>
          <w:tcPr>
            <w:tcW w:type="dxa" w:w="1234"/>
          </w:tcPr>
          <w:p>
            <w:r>
              <w:t>sharpe_perif_10</w:t>
            </w:r>
          </w:p>
        </w:tc>
        <w:tc>
          <w:tcPr>
            <w:tcW w:type="dxa" w:w="1234"/>
          </w:tcPr>
          <w:p>
            <w:r>
              <w:t>pozzi_10</w:t>
            </w:r>
          </w:p>
        </w:tc>
        <w:tc>
          <w:tcPr>
            <w:tcW w:type="dxa" w:w="1234"/>
          </w:tcPr>
          <w:p>
            <w:r>
              <w:t>sharpe_benchmark</w:t>
            </w:r>
          </w:p>
        </w:tc>
      </w:tr>
      <w:tr>
        <w:tc>
          <w:tcPr>
            <w:tcW w:type="dxa" w:w="1234"/>
          </w:tcPr>
          <w:p>
            <w:r>
              <w:t>completo</w:t>
            </w:r>
          </w:p>
        </w:tc>
        <w:tc>
          <w:tcPr>
            <w:tcW w:type="dxa" w:w="1234"/>
          </w:tcPr>
          <w:p>
            <w:r>
              <w:t>2023-08-09</w:t>
            </w:r>
          </w:p>
        </w:tc>
        <w:tc>
          <w:tcPr>
            <w:tcW w:type="dxa" w:w="1234"/>
          </w:tcPr>
          <w:p>
            <w:r>
              <w:t>2025-10-20</w:t>
            </w:r>
          </w:p>
        </w:tc>
        <w:tc>
          <w:tcPr>
            <w:tcW w:type="dxa" w:w="1234"/>
          </w:tcPr>
          <w:p>
            <w:r>
              <w:t>-1.720</w:t>
            </w:r>
          </w:p>
        </w:tc>
        <w:tc>
          <w:tcPr>
            <w:tcW w:type="dxa" w:w="1234"/>
          </w:tcPr>
          <w:p>
            <w:r>
              <w:t>-1.340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-0.907</w:t>
            </w:r>
          </w:p>
        </w:tc>
      </w:tr>
      <w:tr>
        <w:tc>
          <w:tcPr>
            <w:tcW w:type="dxa" w:w="1234"/>
          </w:tcPr>
          <w:p>
            <w:r>
              <w:t>sub1</w:t>
            </w:r>
          </w:p>
        </w:tc>
        <w:tc>
          <w:tcPr>
            <w:tcW w:type="dxa" w:w="1234"/>
          </w:tcPr>
          <w:p>
            <w:r>
              <w:t>2023-08-09</w:t>
            </w:r>
          </w:p>
        </w:tc>
        <w:tc>
          <w:tcPr>
            <w:tcW w:type="dxa" w:w="1234"/>
          </w:tcPr>
          <w:p>
            <w:r>
              <w:t>2024-09-12</w:t>
            </w:r>
          </w:p>
        </w:tc>
        <w:tc>
          <w:tcPr>
            <w:tcW w:type="dxa" w:w="1234"/>
          </w:tcPr>
          <w:p>
            <w:r>
              <w:t>-2.619</w:t>
            </w:r>
          </w:p>
        </w:tc>
        <w:tc>
          <w:tcPr>
            <w:tcW w:type="dxa" w:w="1234"/>
          </w:tcPr>
          <w:p>
            <w:r>
              <w:t>-1.520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-1.159</w:t>
            </w:r>
          </w:p>
        </w:tc>
      </w:tr>
      <w:tr>
        <w:tc>
          <w:tcPr>
            <w:tcW w:type="dxa" w:w="1234"/>
          </w:tcPr>
          <w:p>
            <w:r>
              <w:t>sub2</w:t>
            </w:r>
          </w:p>
        </w:tc>
        <w:tc>
          <w:tcPr>
            <w:tcW w:type="dxa" w:w="1234"/>
          </w:tcPr>
          <w:p>
            <w:r>
              <w:t>2024-09-13</w:t>
            </w:r>
          </w:p>
        </w:tc>
        <w:tc>
          <w:tcPr>
            <w:tcW w:type="dxa" w:w="1234"/>
          </w:tcPr>
          <w:p>
            <w:r>
              <w:t>2025-10-20</w:t>
            </w:r>
          </w:p>
        </w:tc>
        <w:tc>
          <w:tcPr>
            <w:tcW w:type="dxa" w:w="1234"/>
          </w:tcPr>
          <w:p>
            <w:r>
              <w:t>-1.250</w:t>
            </w:r>
          </w:p>
        </w:tc>
        <w:tc>
          <w:tcPr>
            <w:tcW w:type="dxa" w:w="1234"/>
          </w:tcPr>
          <w:p>
            <w:r>
              <w:t>-1.356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-0.764</w:t>
            </w:r>
          </w:p>
        </w:tc>
      </w:tr>
    </w:tbl>
    <w:p/>
    <w:p>
      <w:pPr>
        <w:pStyle w:val="Heading1"/>
      </w:pPr>
      <w:r>
        <w:rPr>
          <w:color w:val="1F3B73"/>
        </w:rPr>
        <w:t>Comparação com o braço AGM (resultados reais do parceiro)</w:t>
      </w:r>
    </w:p>
    <w:p>
      <w:pPr>
        <w:jc w:val="both"/>
      </w:pPr>
      <w:r>
        <w:t>O parceiro forneceu as séries diárias reais da AGM, já alinhadas (mesmo benchmark, retorno corrigido, Sharpe sobre o CDI). Como o backtest dele termina em fev/2025 e o nosso vai até out/2025, a comparação é feita no PERÍODO COMUM (ago/2023–fev/2025, 374 pregões) — uma janela anterior à recuperação de 2025, em que mesmo o benchmark rendeu abaixo do CDI. A Tabela 3 traz o confronto direto, líquido.</w:t>
      </w:r>
    </w:p>
    <w:p>
      <w:r>
        <w:rPr>
          <w:b/>
          <w:color w:val="1F3B73"/>
        </w:rPr>
        <w:t>Tabela 3 — GPMF (Yoon) vs AGM (Augusto), período comum, líquido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carteira</w:t>
            </w:r>
          </w:p>
        </w:tc>
        <w:tc>
          <w:tcPr>
            <w:tcW w:type="dxa" w:w="1728"/>
          </w:tcPr>
          <w:p>
            <w:r>
              <w:t>GPMF ret a.a.</w:t>
            </w:r>
          </w:p>
        </w:tc>
        <w:tc>
          <w:tcPr>
            <w:tcW w:type="dxa" w:w="1728"/>
          </w:tcPr>
          <w:p>
            <w:r>
              <w:t>GPMF Sharpe</w:t>
            </w:r>
          </w:p>
        </w:tc>
        <w:tc>
          <w:tcPr>
            <w:tcW w:type="dxa" w:w="1728"/>
          </w:tcPr>
          <w:p>
            <w:r>
              <w:t>AGM ret a.a.</w:t>
            </w:r>
          </w:p>
        </w:tc>
        <w:tc>
          <w:tcPr>
            <w:tcW w:type="dxa" w:w="1728"/>
          </w:tcPr>
          <w:p>
            <w:r>
              <w:t>AGM Sharpe</w:t>
            </w:r>
          </w:p>
        </w:tc>
      </w:tr>
      <w:tr>
        <w:tc>
          <w:tcPr>
            <w:tcW w:type="dxa" w:w="1728"/>
          </w:tcPr>
          <w:p>
            <w:r>
              <w:t>central_5</w:t>
            </w:r>
          </w:p>
        </w:tc>
        <w:tc>
          <w:tcPr>
            <w:tcW w:type="dxa" w:w="1728"/>
          </w:tcPr>
          <w:p>
            <w:r>
              <w:t>-13.80%</w:t>
            </w:r>
          </w:p>
        </w:tc>
        <w:tc>
          <w:tcPr>
            <w:tcW w:type="dxa" w:w="1728"/>
          </w:tcPr>
          <w:p>
            <w:r>
              <w:t>-2.644</w:t>
            </w:r>
          </w:p>
        </w:tc>
        <w:tc>
          <w:tcPr>
            <w:tcW w:type="dxa" w:w="1728"/>
          </w:tcPr>
          <w:p>
            <w:r>
              <w:t>-15.12%</w:t>
            </w:r>
          </w:p>
        </w:tc>
        <w:tc>
          <w:tcPr>
            <w:tcW w:type="dxa" w:w="1728"/>
          </w:tcPr>
          <w:p>
            <w:r>
              <w:t>-2.817</w:t>
            </w:r>
          </w:p>
        </w:tc>
      </w:tr>
      <w:tr>
        <w:tc>
          <w:tcPr>
            <w:tcW w:type="dxa" w:w="1728"/>
          </w:tcPr>
          <w:p>
            <w:r>
              <w:t>central_10</w:t>
            </w:r>
          </w:p>
        </w:tc>
        <w:tc>
          <w:tcPr>
            <w:tcW w:type="dxa" w:w="1728"/>
          </w:tcPr>
          <w:p>
            <w:r>
              <w:t>-11.64%</w:t>
            </w:r>
          </w:p>
        </w:tc>
        <w:tc>
          <w:tcPr>
            <w:tcW w:type="dxa" w:w="1728"/>
          </w:tcPr>
          <w:p>
            <w:r>
              <w:t>-2.639</w:t>
            </w:r>
          </w:p>
        </w:tc>
        <w:tc>
          <w:tcPr>
            <w:tcW w:type="dxa" w:w="1728"/>
          </w:tcPr>
          <w:p>
            <w:r>
              <w:t>-15.17%</w:t>
            </w:r>
          </w:p>
        </w:tc>
        <w:tc>
          <w:tcPr>
            <w:tcW w:type="dxa" w:w="1728"/>
          </w:tcPr>
          <w:p>
            <w:r>
              <w:t>-3.358</w:t>
            </w:r>
          </w:p>
        </w:tc>
      </w:tr>
      <w:tr>
        <w:tc>
          <w:tcPr>
            <w:tcW w:type="dxa" w:w="1728"/>
          </w:tcPr>
          <w:p>
            <w:r>
              <w:t>peripheral_5</w:t>
            </w:r>
          </w:p>
        </w:tc>
        <w:tc>
          <w:tcPr>
            <w:tcW w:type="dxa" w:w="1728"/>
          </w:tcPr>
          <w:p>
            <w:r>
              <w:t>0.39%</w:t>
            </w:r>
          </w:p>
        </w:tc>
        <w:tc>
          <w:tcPr>
            <w:tcW w:type="dxa" w:w="1728"/>
          </w:tcPr>
          <w:p>
            <w:r>
              <w:t>-1.121</w:t>
            </w:r>
          </w:p>
        </w:tc>
        <w:tc>
          <w:tcPr>
            <w:tcW w:type="dxa" w:w="1728"/>
          </w:tcPr>
          <w:p>
            <w:r>
              <w:t>-13.97%</w:t>
            </w:r>
          </w:p>
        </w:tc>
        <w:tc>
          <w:tcPr>
            <w:tcW w:type="dxa" w:w="1728"/>
          </w:tcPr>
          <w:p>
            <w:r>
              <w:t>-3.174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augusto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GPMF (Yoon) vs AGM (Augusto) no período comum: retorno acumulado líquido fora da amostra.</w:t>
      </w:r>
    </w:p>
    <w:p>
      <w:pPr>
        <w:jc w:val="both"/>
      </w:pPr>
      <w:r>
        <w:t>O GPMF supera a AGM nas três carteiras. A diferença é estatisticamente significativa: para a Periférica-5, ΔSharpe(a.a.) = +2,05 (IC95% [+0,87, +3,20], p_bootstrap &lt; 0,001); para a Central-10, ΔSharpe(a.a.) = +0,72 (IC95% [+0,05, +1,37], p_bootstrap = 0,04). A Periférica-5 do GPMF é, ademais, a única carteira a superar o benchmark passivo (Sharpe −1,12 vs −1,97; retorno +0,4% vs −4,2%), confirmando a robustez do efeito-periferia no GPMF mesmo numa janela adversa.</w:t>
      </w:r>
    </w:p>
    <w:p>
      <w:pPr>
        <w:pStyle w:val="Heading2"/>
      </w:pPr>
      <w:r>
        <w:rPr>
          <w:color w:val="1F3B73"/>
        </w:rPr>
        <w:t>Validação e ressalvas da comparação</w:t>
      </w:r>
    </w:p>
    <w:p>
      <w:pPr>
        <w:jc w:val="both"/>
      </w:pPr>
      <w:r>
        <w:t>Como controle, comparamos a AGM do parceiro com uma reimplementação da AGM no nosso próprio pipeline (mesmo dado e mesma regra). As duas não coincidem exatamente — a AGM do parceiro é cerca de 0,7 a 1,2 ponto de Sharpe mais negativa —, o que indica diferenças residuais entre os braços (o universo do parceiro tem 54 FIIs, contra os nossos 51, e o modelo de custos/turnover difere em detalhes). Portanto, parte da vantagem do GPMF sobre a AGM reflete também essas diferenças, não apenas o filtro. A comparação limpa, dentro do mesmo pipeline (GPMF vs nossa AGM), aponta na mesma direção, com magnitude menor. Recomenda-se, para a versão final do trabalho conjunto, (i) unificar o universo e o modelo de custos e (ii) estender o backtest do parceiro até nov/2025.</w:t>
      </w:r>
    </w:p>
    <w:p>
      <w:pPr>
        <w:pStyle w:val="Heading1"/>
      </w:pPr>
      <w:r>
        <w:rPr>
          <w:color w:val="1F3B73"/>
        </w:rPr>
        <w:t>Discussão e Conclusões</w:t>
      </w:r>
    </w:p>
    <w:p>
      <w:pPr>
        <w:jc w:val="both"/>
      </w:pPr>
      <w:r>
        <w:t>Três conclusões. (1) No período, os FIIs — em qualquer carteira de grafo e no benchmark — renderam abaixo do CDI; estratégias ativas não agregaram valor líquido frente à renda fixa. (2) O GPMF é superior à AGM: sustenta a hipótese de Pozzi em todos os tamanhos e supera a AGM real do parceiro em todas as carteiras do período comum, de forma significativa; a Periférica-5 do GPMF é a única a bater o benchmark. (3) O efeito, contudo, depende do regime de mercado e a comparação entre braços ainda carrega diferenças residuais de universo e custos a serem unificadas. Limitações: janela curta (baixo poder), viés de sobrevivência e benchmark via ETF proxy.</w:t>
      </w:r>
    </w:p>
    <w:p>
      <w:pPr>
        <w:pStyle w:val="Heading1"/>
      </w:pPr>
      <w:r>
        <w:rPr>
          <w:color w:val="1F3B73"/>
        </w:rPr>
        <w:t>Bibliografia</w:t>
      </w:r>
    </w:p>
    <w:p>
      <w:r>
        <w:t>MANTEGNA, R. N. Hierarchical structure in financial markets. EPJB, 11:193–197, 1999.</w:t>
      </w:r>
    </w:p>
    <w:p>
      <w:r>
        <w:t>TUMMINELLO, M. et al. A tool for filtering information in complex systems. PNAS, 102(30):10421–10426, 2005.</w:t>
      </w:r>
    </w:p>
    <w:p>
      <w:r>
        <w:t>POZZI, F.; DI MATTEO, T.; ASTE, T. Spread of risk across financial markets: better to invest in the peripheries. Scientific Reports, 3:1665, 2013.</w:t>
      </w:r>
    </w:p>
    <w:p>
      <w:r>
        <w:t>PERALTA, G.; ZAREEI, A. A network approach to portfolio selection. JEF, 38:157–180, 2016.</w:t>
      </w:r>
    </w:p>
    <w:p>
      <w:r>
        <w:t>MEMMEL, C. Performance hypothesis testing with the Sharpe ratio. Finance Letters, 1:21–23, 2003.</w:t>
      </w:r>
    </w:p>
    <w:p>
      <w:pPr>
        <w:pStyle w:val="Heading1"/>
      </w:pPr>
      <w:r>
        <w:rPr>
          <w:color w:val="1F3B73"/>
        </w:rPr>
        <w:t>Perspectivas de continuidade</w:t>
      </w:r>
    </w:p>
    <w:p>
      <w:pPr>
        <w:jc w:val="both"/>
      </w:pPr>
      <w:r>
        <w:t>Unificar universo e custos com o braço AGM e estender o backtest do parceiro até nov/2025; estender a janela total para aumentar o poder estatístico; testar ponderação por risco e a centralidade de autovetor na seleção; e finalizar o artigo para o ENIAC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 Sung Jang</dc:creator>
  <cp:keywords/>
  <dc:description>generated by Yoon Sung Jang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