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Programa Institucional de Iniciação Científica e Tecnológica</w:t>
      </w:r>
    </w:p>
    <w:p>
      <w:pPr>
        <w:jc w:val="center"/>
      </w:pPr>
      <w:r>
        <w:rPr>
          <w:b/>
          <w:color w:val="1F3B73"/>
          <w:sz w:val="30"/>
        </w:rPr>
        <w:t>Relatório Final de Atividades</w:t>
      </w:r>
    </w:p>
    <w:p>
      <w:pPr>
        <w:jc w:val="center"/>
      </w:pPr>
      <w:r>
        <w:rPr>
          <w:b/>
        </w:rPr>
        <w:t>Análise Comparativa de Métodos de Formação de Carteira Baseados em Grafos para Fundos Imobiliários (FIIs): Casos de Estudo com o Grafo Planar Maximamente Filtrado</w:t>
      </w:r>
    </w:p>
    <w:p/>
    <w:p>
      <w:r>
        <w:rPr>
          <w:b/>
        </w:rPr>
        <w:t xml:space="preserve">Projeto: </w:t>
      </w:r>
      <w:r>
        <w:t>Análise Comparativa de Métodos de Formação de Carteira Baseados em Grafos para Fundos Imobiliários (FIIs): Casos de Estudo com o Grafo Planar Maximamente Filtrado</w:t>
      </w:r>
    </w:p>
    <w:p>
      <w:r>
        <w:rPr>
          <w:b/>
        </w:rPr>
        <w:t xml:space="preserve">Bolsista / RA: </w:t>
      </w:r>
      <w:r>
        <w:t>Yoon Sung Jang / RA [preencher]</w:t>
      </w:r>
    </w:p>
    <w:p>
      <w:r>
        <w:rPr>
          <w:b/>
        </w:rPr>
        <w:t xml:space="preserve">Orientador: </w:t>
      </w:r>
      <w:r>
        <w:t>Prof. Dr. João Roberto Bertini Junior</w:t>
      </w:r>
    </w:p>
    <w:p>
      <w:r>
        <w:rPr>
          <w:b/>
        </w:rPr>
        <w:t xml:space="preserve">Local de execução: </w:t>
      </w:r>
      <w:r>
        <w:t>Faculdade de Tecnologia (FT) — UNICAMP, Limeira/SP</w:t>
      </w:r>
    </w:p>
    <w:p>
      <w:r>
        <w:rPr>
          <w:b/>
        </w:rPr>
        <w:t xml:space="preserve">Vigência: </w:t>
      </w:r>
      <w:r>
        <w:t>setembro/2025 a agosto/2026</w:t>
      </w:r>
    </w:p>
    <w:p>
      <w:pPr>
        <w:pStyle w:val="Heading1"/>
      </w:pPr>
      <w:r>
        <w:rPr>
          <w:color w:val="1F3B73"/>
        </w:rPr>
        <w:t>Resumo</w:t>
      </w:r>
    </w:p>
    <w:p>
      <w:pPr>
        <w:jc w:val="both"/>
      </w:pPr>
      <w:r>
        <w:t>Este projeto investiga o uso de filtragem em grafos para a formação de carteiras de Fundos de Investimento Imobiliário (FIIs), comparando o Grafo Planar Maximamente Filtrado (GPMF) com a Árvore Geradora Mínima (AGM), esta desenvolvida pelo parceiro Augusto Carneiro da Silva. Os dois filtros são avaliados sobre os mesmos dados (51 FIIs, mar/2022–nov/2025), com a mesma regra de seleção e validação fora da amostra por janela deslizante. Avaliando o desempenho frente ao CDI (taxa livre de risco real), nenhuma carteira — nem o benchmark — superou a renda fixa no período: os FIIs renderam menos que o CDI. Ainda assim, o GPMF ordena de forma consistente as carteiras periféricas acima das centrais (hipótese de Pozzi) em todos os tamanhos, enquanto a AGM falha no menor; e a carteira Periférica-5 do GPMF supera o benchmark passivo mesmo no líquido. Esse efeito, porém, não é robusto entre subperíodos nem estatisticamente significativo, o que é discutido como limitação.</w:t>
      </w:r>
    </w:p>
    <w:p>
      <w:pPr>
        <w:pStyle w:val="Heading1"/>
      </w:pPr>
      <w:r>
        <w:rPr>
          <w:color w:val="1F3B73"/>
        </w:rPr>
        <w:t>Introdução</w:t>
      </w:r>
    </w:p>
    <w:p>
      <w:pPr>
        <w:jc w:val="both"/>
      </w:pPr>
      <w:r>
        <w:t>Métodos de filtragem em grafos resumem a estrutura de correlação de um mercado em poucas ligações relevantes. A AGM (Mantegna, 1999) retém N−1 arestas; o GPMF (Tumminello et al., 2005), por exigir apenas planaridade, retém 3N−6 e preserva ciclos e cliques. Pozzi, Di Matteo e Aste (2013) propõem que ativos periféricos formam carteiras com melhor relação risco-retorno; Peralta e Zareei (2016) reforçam a hipótese com centralidade de autovetor. Os FIIs brasileiros têm particularidades relevantes — distribuição de ≥95% dos lucros, isenção de IR sobre proventos para PF e 15% sobre ganho de capital. O objetivo é testar a hipótese da periferia para FIIs e verificar se o filtro escolhido (GPMF ou AGM) altera a conclusão.</w:t>
      </w:r>
    </w:p>
    <w:p>
      <w:pPr>
        <w:pStyle w:val="Heading1"/>
      </w:pPr>
      <w:r>
        <w:rPr>
          <w:color w:val="1F3B73"/>
        </w:rPr>
        <w:t>Materiais e Métodos</w:t>
      </w:r>
    </w:p>
    <w:p>
      <w:pPr>
        <w:pStyle w:val="Heading2"/>
      </w:pPr>
      <w:r>
        <w:rPr>
          <w:color w:val="1F3B73"/>
        </w:rPr>
        <w:t>Dados e convenção de retorno</w:t>
      </w:r>
    </w:p>
    <w:p>
      <w:pPr>
        <w:jc w:val="both"/>
      </w:pPr>
      <w:r>
        <w:t>Fechamentos diários ajustados de FIIs via yfinance, de mar/2022 a nov/2025 (920 pregões); universo determinístico de 51 FIIs (histórico completo, &lt;5% de dados faltantes); benchmark XFIX11 (proxy do IFIX). Verificou-se empiricamente que o fechamento ajustado já reinveste os dividendos, de modo que o retorno total é Rt = ln(Pt/Pt−1) sobre o ajustado — somar Dt contaria o provento duas vezes.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6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ifica_dividendos_MXRF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 — Verificação da convenção de dividendos (MXRF11): a razão ajustado/bruto em degraus corresponde aos proventos já reinvestidos.</w:t>
      </w:r>
    </w:p>
    <w:p>
      <w:pPr>
        <w:pStyle w:val="Heading2"/>
      </w:pPr>
      <w:r>
        <w:rPr>
          <w:color w:val="1F3B73"/>
        </w:rPr>
        <w:t>Grafos, carteiras e seleção</w:t>
      </w:r>
    </w:p>
    <w:p>
      <w:pPr>
        <w:jc w:val="both"/>
      </w:pPr>
      <w:r>
        <w:t>Da correlação de Pearson obtém-se a distância de Mantegna d = √(2(1−ρ)) e, dela, o GPMF (planaridade por Boyer-Myrvold) e a AGM (Kruskal). Para cada FII calcula-se um escore composto de centralidade (média normalizada de grau, intermediação e proximidade) — a mesma regra nos dois filtros, de modo que a única diferença entre eles é a estrutura do grafo. Formam-se carteiras Central, Periférica e Híbrida de 5, 10, 15 e 20 ativos, com pesos iguais.</w:t>
      </w:r>
    </w:p>
    <w:p>
      <w:pPr>
        <w:pStyle w:val="Heading2"/>
      </w:pPr>
      <w:r>
        <w:rPr>
          <w:color w:val="1F3B73"/>
        </w:rPr>
        <w:t>Validação fora da amostra, custos e significância</w:t>
      </w:r>
    </w:p>
    <w:p>
      <w:pPr>
        <w:jc w:val="both"/>
      </w:pPr>
      <w:r>
        <w:t>Janela deslizante: forma com 360 pregões, mantém 22, avança 22, reconstruindo o grafo a cada passo (período fora da amostra de 09/08/2023 a 20/10/2025, 550 pregões, 25 rebalanceamentos). Aplica-se custo de 0,3% sobre o giro e 15% de IR sobre ganho de capital. O Índice de Sharpe é calculado sobre o retorno EXCEDENTE ao CDI diário (≈11,6% a.a. no período) — o custo de oportunidade real; usar zero como taxa livre de risco infla artificialmente o Sharpe. A significância segue o teste de Jobson-Korkie (Memmel, 2003) e um intervalo de confiança por bootstrap de blocos. A robustez é checada partindo o período em subperíodos.</w:t>
      </w:r>
    </w:p>
    <w:p>
      <w:pPr>
        <w:pStyle w:val="Heading1"/>
      </w:pPr>
      <w:r>
        <w:rPr>
          <w:color w:val="1F3B73"/>
        </w:rPr>
        <w:t>Resultados</w:t>
      </w:r>
    </w:p>
    <w:p>
      <w:pPr>
        <w:pStyle w:val="Heading2"/>
      </w:pPr>
      <w:r>
        <w:rPr>
          <w:color w:val="1F3B73"/>
        </w:rPr>
        <w:t>Estrutura dos grafos e referência dentro da amostra</w:t>
      </w:r>
    </w:p>
    <w:p>
      <w:pPr>
        <w:jc w:val="both"/>
      </w:pPr>
      <w:r>
        <w:t>O GPMF tem 147 arestas (= 3·51−6), planar e conexo; a AGM tem 50 (= N−1). Dentro da amostra (referência, não conclusiva), todas as carteiras têm Sharpe negativo frente ao CDI, ainda que com retorno nominal positivo — sinal de que os FIIs renderam abaixo da renda fixa no período.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4888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pmf_estat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88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 — GPMF dos FIIs; tamanho e cor dos vértices indicam centralidade de grau.</w:t>
      </w:r>
    </w:p>
    <w:p>
      <w:pPr>
        <w:pStyle w:val="Heading2"/>
      </w:pPr>
      <w:r>
        <w:rPr>
          <w:color w:val="1F3B73"/>
        </w:rPr>
        <w:t>Comparação GPMF × AGM fora da amostra</w:t>
      </w:r>
    </w:p>
    <w:p>
      <w:pPr>
        <w:jc w:val="both"/>
      </w:pPr>
      <w:r>
        <w:t>A Tabela 1 traz o desempenho fora da amostra dos dois filtros, com a mesma regra de seleção. Dois padrões se destacam. Primeiro, no GPMF a Periférica supera a Central em todos os tamanhos (Sharpe menos negativo), sustentando a hipótese de Pozzi; na AGM isso falha no tamanho 5. Segundo, embora todas as carteiras fiquem abaixo do CDI (Sharpe negativo), a Periférica-5 do GPMF (Sharpe líquido -0.52) supera o benchmark passivo (Sharpe -0.91) — a única carteira ativa a fazê-lo —, ainda que seja pequena (5 FIIs) e de giro elevado.</w:t>
      </w:r>
    </w:p>
    <w:p>
      <w:r>
        <w:rPr>
          <w:b/>
          <w:color w:val="1F3B73"/>
        </w:rPr>
        <w:t>Tabela 1 — GPMF × AGM fora da amostra (Sharpe sobre o excesso ao CDI)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carteira</w:t>
            </w:r>
          </w:p>
        </w:tc>
        <w:tc>
          <w:tcPr>
            <w:tcW w:type="dxa" w:w="1440"/>
          </w:tcPr>
          <w:p>
            <w:r>
              <w:t>filtro</w:t>
            </w:r>
          </w:p>
        </w:tc>
        <w:tc>
          <w:tcPr>
            <w:tcW w:type="dxa" w:w="1440"/>
          </w:tcPr>
          <w:p>
            <w:r>
              <w:t>ret_anual_bruto</w:t>
            </w:r>
          </w:p>
        </w:tc>
        <w:tc>
          <w:tcPr>
            <w:tcW w:type="dxa" w:w="1440"/>
          </w:tcPr>
          <w:p>
            <w:r>
              <w:t>sharpe_bruto</w:t>
            </w:r>
          </w:p>
        </w:tc>
        <w:tc>
          <w:tcPr>
            <w:tcW w:type="dxa" w:w="1440"/>
          </w:tcPr>
          <w:p>
            <w:r>
              <w:t>sharpe_liq</w:t>
            </w:r>
          </w:p>
        </w:tc>
        <w:tc>
          <w:tcPr>
            <w:tcW w:type="dxa" w:w="1440"/>
          </w:tcPr>
          <w:p>
            <w:r>
              <w:t>giro_medio</w:t>
            </w:r>
          </w:p>
        </w:tc>
      </w:tr>
      <w:tr>
        <w:tc>
          <w:tcPr>
            <w:tcW w:type="dxa" w:w="1440"/>
          </w:tcPr>
          <w:p>
            <w:r>
              <w:t>central_5</w:t>
            </w:r>
          </w:p>
        </w:tc>
        <w:tc>
          <w:tcPr>
            <w:tcW w:type="dxa" w:w="1440"/>
          </w:tcPr>
          <w:p>
            <w:r>
              <w:t>GPMF</w:t>
            </w:r>
          </w:p>
        </w:tc>
        <w:tc>
          <w:tcPr>
            <w:tcW w:type="dxa" w:w="1440"/>
          </w:tcPr>
          <w:p>
            <w:r>
              <w:t>-0.7%</w:t>
            </w:r>
          </w:p>
        </w:tc>
        <w:tc>
          <w:tcPr>
            <w:tcW w:type="dxa" w:w="1440"/>
          </w:tcPr>
          <w:p>
            <w:r>
              <w:t>-1.283</w:t>
            </w:r>
          </w:p>
        </w:tc>
        <w:tc>
          <w:tcPr>
            <w:tcW w:type="dxa" w:w="1440"/>
          </w:tcPr>
          <w:p>
            <w:r>
              <w:t>-1.605</w:t>
            </w:r>
          </w:p>
        </w:tc>
        <w:tc>
          <w:tcPr>
            <w:tcW w:type="dxa" w:w="1440"/>
          </w:tcPr>
          <w:p>
            <w:r>
              <w:t>33.2%</w:t>
            </w:r>
          </w:p>
        </w:tc>
      </w:tr>
      <w:tr>
        <w:tc>
          <w:tcPr>
            <w:tcW w:type="dxa" w:w="1440"/>
          </w:tcPr>
          <w:p>
            <w:r>
              <w:t>central_10</w:t>
            </w:r>
          </w:p>
        </w:tc>
        <w:tc>
          <w:tcPr>
            <w:tcW w:type="dxa" w:w="1440"/>
          </w:tcPr>
          <w:p>
            <w:r>
              <w:t>GPMF</w:t>
            </w:r>
          </w:p>
        </w:tc>
        <w:tc>
          <w:tcPr>
            <w:tcW w:type="dxa" w:w="1440"/>
          </w:tcPr>
          <w:p>
            <w:r>
              <w:t>-0.1%</w:t>
            </w:r>
          </w:p>
        </w:tc>
        <w:tc>
          <w:tcPr>
            <w:tcW w:type="dxa" w:w="1440"/>
          </w:tcPr>
          <w:p>
            <w:r>
              <w:t>-1.381</w:t>
            </w:r>
          </w:p>
        </w:tc>
        <w:tc>
          <w:tcPr>
            <w:tcW w:type="dxa" w:w="1440"/>
          </w:tcPr>
          <w:p>
            <w:r>
              <w:t>-1.702</w:t>
            </w:r>
          </w:p>
        </w:tc>
        <w:tc>
          <w:tcPr>
            <w:tcW w:type="dxa" w:w="1440"/>
          </w:tcPr>
          <w:p>
            <w:r>
              <w:t>28.4%</w:t>
            </w:r>
          </w:p>
        </w:tc>
      </w:tr>
      <w:tr>
        <w:tc>
          <w:tcPr>
            <w:tcW w:type="dxa" w:w="1440"/>
          </w:tcPr>
          <w:p>
            <w:r>
              <w:t>central_15</w:t>
            </w:r>
          </w:p>
        </w:tc>
        <w:tc>
          <w:tcPr>
            <w:tcW w:type="dxa" w:w="1440"/>
          </w:tcPr>
          <w:p>
            <w:r>
              <w:t>GPMF</w:t>
            </w:r>
          </w:p>
        </w:tc>
        <w:tc>
          <w:tcPr>
            <w:tcW w:type="dxa" w:w="1440"/>
          </w:tcPr>
          <w:p>
            <w:r>
              <w:t>1.7%</w:t>
            </w:r>
          </w:p>
        </w:tc>
        <w:tc>
          <w:tcPr>
            <w:tcW w:type="dxa" w:w="1440"/>
          </w:tcPr>
          <w:p>
            <w:r>
              <w:t>-1.213</w:t>
            </w:r>
          </w:p>
        </w:tc>
        <w:tc>
          <w:tcPr>
            <w:tcW w:type="dxa" w:w="1440"/>
          </w:tcPr>
          <w:p>
            <w:r>
              <w:t>-1.537</w:t>
            </w:r>
          </w:p>
        </w:tc>
        <w:tc>
          <w:tcPr>
            <w:tcW w:type="dxa" w:w="1440"/>
          </w:tcPr>
          <w:p>
            <w:r>
              <w:t>25.2%</w:t>
            </w:r>
          </w:p>
        </w:tc>
      </w:tr>
      <w:tr>
        <w:tc>
          <w:tcPr>
            <w:tcW w:type="dxa" w:w="1440"/>
          </w:tcPr>
          <w:p>
            <w:r>
              <w:t>central_20</w:t>
            </w:r>
          </w:p>
        </w:tc>
        <w:tc>
          <w:tcPr>
            <w:tcW w:type="dxa" w:w="1440"/>
          </w:tcPr>
          <w:p>
            <w:r>
              <w:t>GPMF</w:t>
            </w:r>
          </w:p>
        </w:tc>
        <w:tc>
          <w:tcPr>
            <w:tcW w:type="dxa" w:w="1440"/>
          </w:tcPr>
          <w:p>
            <w:r>
              <w:t>1.1%</w:t>
            </w:r>
          </w:p>
        </w:tc>
        <w:tc>
          <w:tcPr>
            <w:tcW w:type="dxa" w:w="1440"/>
          </w:tcPr>
          <w:p>
            <w:r>
              <w:t>-1.328</w:t>
            </w:r>
          </w:p>
        </w:tc>
        <w:tc>
          <w:tcPr>
            <w:tcW w:type="dxa" w:w="1440"/>
          </w:tcPr>
          <w:p>
            <w:r>
              <w:t>-1.653</w:t>
            </w:r>
          </w:p>
        </w:tc>
        <w:tc>
          <w:tcPr>
            <w:tcW w:type="dxa" w:w="1440"/>
          </w:tcPr>
          <w:p>
            <w:r>
              <w:t>25.8%</w:t>
            </w:r>
          </w:p>
        </w:tc>
      </w:tr>
      <w:tr>
        <w:tc>
          <w:tcPr>
            <w:tcW w:type="dxa" w:w="1440"/>
          </w:tcPr>
          <w:p>
            <w:r>
              <w:t>peripheral_5</w:t>
            </w:r>
          </w:p>
        </w:tc>
        <w:tc>
          <w:tcPr>
            <w:tcW w:type="dxa" w:w="1440"/>
          </w:tcPr>
          <w:p>
            <w:r>
              <w:t>GPMF</w:t>
            </w:r>
          </w:p>
        </w:tc>
        <w:tc>
          <w:tcPr>
            <w:tcW w:type="dxa" w:w="1440"/>
          </w:tcPr>
          <w:p>
            <w:r>
              <w:t>11.9%</w:t>
            </w:r>
          </w:p>
        </w:tc>
        <w:tc>
          <w:tcPr>
            <w:tcW w:type="dxa" w:w="1440"/>
          </w:tcPr>
          <w:p>
            <w:r>
              <w:t>-0.002</w:t>
            </w:r>
          </w:p>
        </w:tc>
        <w:tc>
          <w:tcPr>
            <w:tcW w:type="dxa" w:w="1440"/>
          </w:tcPr>
          <w:p>
            <w:r>
              <w:t>-0.521</w:t>
            </w:r>
          </w:p>
        </w:tc>
        <w:tc>
          <w:tcPr>
            <w:tcW w:type="dxa" w:w="1440"/>
          </w:tcPr>
          <w:p>
            <w:r>
              <w:t>61.2%</w:t>
            </w:r>
          </w:p>
        </w:tc>
      </w:tr>
      <w:tr>
        <w:tc>
          <w:tcPr>
            <w:tcW w:type="dxa" w:w="1440"/>
          </w:tcPr>
          <w:p>
            <w:r>
              <w:t>peripheral_10</w:t>
            </w:r>
          </w:p>
        </w:tc>
        <w:tc>
          <w:tcPr>
            <w:tcW w:type="dxa" w:w="1440"/>
          </w:tcPr>
          <w:p>
            <w:r>
              <w:t>GPMF</w:t>
            </w:r>
          </w:p>
        </w:tc>
        <w:tc>
          <w:tcPr>
            <w:tcW w:type="dxa" w:w="1440"/>
          </w:tcPr>
          <w:p>
            <w:r>
              <w:t>5.5%</w:t>
            </w:r>
          </w:p>
        </w:tc>
        <w:tc>
          <w:tcPr>
            <w:tcW w:type="dxa" w:w="1440"/>
          </w:tcPr>
          <w:p>
            <w:r>
              <w:t>-0.792</w:t>
            </w:r>
          </w:p>
        </w:tc>
        <w:tc>
          <w:tcPr>
            <w:tcW w:type="dxa" w:w="1440"/>
          </w:tcPr>
          <w:p>
            <w:r>
              <w:t>-1.237</w:t>
            </w:r>
          </w:p>
        </w:tc>
        <w:tc>
          <w:tcPr>
            <w:tcW w:type="dxa" w:w="1440"/>
          </w:tcPr>
          <w:p>
            <w:r>
              <w:t>46.0%</w:t>
            </w:r>
          </w:p>
        </w:tc>
      </w:tr>
      <w:tr>
        <w:tc>
          <w:tcPr>
            <w:tcW w:type="dxa" w:w="1440"/>
          </w:tcPr>
          <w:p>
            <w:r>
              <w:t>peripheral_15</w:t>
            </w:r>
          </w:p>
        </w:tc>
        <w:tc>
          <w:tcPr>
            <w:tcW w:type="dxa" w:w="1440"/>
          </w:tcPr>
          <w:p>
            <w:r>
              <w:t>GPMF</w:t>
            </w:r>
          </w:p>
        </w:tc>
        <w:tc>
          <w:tcPr>
            <w:tcW w:type="dxa" w:w="1440"/>
          </w:tcPr>
          <w:p>
            <w:r>
              <w:t>7.0%</w:t>
            </w:r>
          </w:p>
        </w:tc>
        <w:tc>
          <w:tcPr>
            <w:tcW w:type="dxa" w:w="1440"/>
          </w:tcPr>
          <w:p>
            <w:r>
              <w:t>-0.640</w:t>
            </w:r>
          </w:p>
        </w:tc>
        <w:tc>
          <w:tcPr>
            <w:tcW w:type="dxa" w:w="1440"/>
          </w:tcPr>
          <w:p>
            <w:r>
              <w:t>-1.102</w:t>
            </w:r>
          </w:p>
        </w:tc>
        <w:tc>
          <w:tcPr>
            <w:tcW w:type="dxa" w:w="1440"/>
          </w:tcPr>
          <w:p>
            <w:r>
              <w:t>42.8%</w:t>
            </w:r>
          </w:p>
        </w:tc>
      </w:tr>
      <w:tr>
        <w:tc>
          <w:tcPr>
            <w:tcW w:type="dxa" w:w="1440"/>
          </w:tcPr>
          <w:p>
            <w:r>
              <w:t>peripheral_20</w:t>
            </w:r>
          </w:p>
        </w:tc>
        <w:tc>
          <w:tcPr>
            <w:tcW w:type="dxa" w:w="1440"/>
          </w:tcPr>
          <w:p>
            <w:r>
              <w:t>GPMF</w:t>
            </w:r>
          </w:p>
        </w:tc>
        <w:tc>
          <w:tcPr>
            <w:tcW w:type="dxa" w:w="1440"/>
          </w:tcPr>
          <w:p>
            <w:r>
              <w:t>7.1%</w:t>
            </w:r>
          </w:p>
        </w:tc>
        <w:tc>
          <w:tcPr>
            <w:tcW w:type="dxa" w:w="1440"/>
          </w:tcPr>
          <w:p>
            <w:r>
              <w:t>-0.675</w:t>
            </w:r>
          </w:p>
        </w:tc>
        <w:tc>
          <w:tcPr>
            <w:tcW w:type="dxa" w:w="1440"/>
          </w:tcPr>
          <w:p>
            <w:r>
              <w:t>-1.139</w:t>
            </w:r>
          </w:p>
        </w:tc>
        <w:tc>
          <w:tcPr>
            <w:tcW w:type="dxa" w:w="1440"/>
          </w:tcPr>
          <w:p>
            <w:r>
              <w:t>35.6%</w:t>
            </w:r>
          </w:p>
        </w:tc>
      </w:tr>
      <w:tr>
        <w:tc>
          <w:tcPr>
            <w:tcW w:type="dxa" w:w="1440"/>
          </w:tcPr>
          <w:p>
            <w:r>
              <w:t>hybrid_5</w:t>
            </w:r>
          </w:p>
        </w:tc>
        <w:tc>
          <w:tcPr>
            <w:tcW w:type="dxa" w:w="1440"/>
          </w:tcPr>
          <w:p>
            <w:r>
              <w:t>GPMF</w:t>
            </w:r>
          </w:p>
        </w:tc>
        <w:tc>
          <w:tcPr>
            <w:tcW w:type="dxa" w:w="1440"/>
          </w:tcPr>
          <w:p>
            <w:r>
              <w:t>2.9%</w:t>
            </w:r>
          </w:p>
        </w:tc>
        <w:tc>
          <w:tcPr>
            <w:tcW w:type="dxa" w:w="1440"/>
          </w:tcPr>
          <w:p>
            <w:r>
              <w:t>-1.000</w:t>
            </w:r>
          </w:p>
        </w:tc>
        <w:tc>
          <w:tcPr>
            <w:tcW w:type="dxa" w:w="1440"/>
          </w:tcPr>
          <w:p>
            <w:r>
              <w:t>-1.442</w:t>
            </w:r>
          </w:p>
        </w:tc>
        <w:tc>
          <w:tcPr>
            <w:tcW w:type="dxa" w:w="1440"/>
          </w:tcPr>
          <w:p>
            <w:r>
              <w:t>57.2%</w:t>
            </w:r>
          </w:p>
        </w:tc>
      </w:tr>
      <w:tr>
        <w:tc>
          <w:tcPr>
            <w:tcW w:type="dxa" w:w="1440"/>
          </w:tcPr>
          <w:p>
            <w:r>
              <w:t>hybrid_10</w:t>
            </w:r>
          </w:p>
        </w:tc>
        <w:tc>
          <w:tcPr>
            <w:tcW w:type="dxa" w:w="1440"/>
          </w:tcPr>
          <w:p>
            <w:r>
              <w:t>GPMF</w:t>
            </w:r>
          </w:p>
        </w:tc>
        <w:tc>
          <w:tcPr>
            <w:tcW w:type="dxa" w:w="1440"/>
          </w:tcPr>
          <w:p>
            <w:r>
              <w:t>5.5%</w:t>
            </w:r>
          </w:p>
        </w:tc>
        <w:tc>
          <w:tcPr>
            <w:tcW w:type="dxa" w:w="1440"/>
          </w:tcPr>
          <w:p>
            <w:r>
              <w:t>-0.770</w:t>
            </w:r>
          </w:p>
        </w:tc>
        <w:tc>
          <w:tcPr>
            <w:tcW w:type="dxa" w:w="1440"/>
          </w:tcPr>
          <w:p>
            <w:r>
              <w:t>-1.219</w:t>
            </w:r>
          </w:p>
        </w:tc>
        <w:tc>
          <w:tcPr>
            <w:tcW w:type="dxa" w:w="1440"/>
          </w:tcPr>
          <w:p>
            <w:r>
              <w:t>47.2%</w:t>
            </w:r>
          </w:p>
        </w:tc>
      </w:tr>
      <w:tr>
        <w:tc>
          <w:tcPr>
            <w:tcW w:type="dxa" w:w="1440"/>
          </w:tcPr>
          <w:p>
            <w:r>
              <w:t>hybrid_15</w:t>
            </w:r>
          </w:p>
        </w:tc>
        <w:tc>
          <w:tcPr>
            <w:tcW w:type="dxa" w:w="1440"/>
          </w:tcPr>
          <w:p>
            <w:r>
              <w:t>GPMF</w:t>
            </w:r>
          </w:p>
        </w:tc>
        <w:tc>
          <w:tcPr>
            <w:tcW w:type="dxa" w:w="1440"/>
          </w:tcPr>
          <w:p>
            <w:r>
              <w:t>4.5%</w:t>
            </w:r>
          </w:p>
        </w:tc>
        <w:tc>
          <w:tcPr>
            <w:tcW w:type="dxa" w:w="1440"/>
          </w:tcPr>
          <w:p>
            <w:r>
              <w:t>-0.929</w:t>
            </w:r>
          </w:p>
        </w:tc>
        <w:tc>
          <w:tcPr>
            <w:tcW w:type="dxa" w:w="1440"/>
          </w:tcPr>
          <w:p>
            <w:r>
              <w:t>-1.342</w:t>
            </w:r>
          </w:p>
        </w:tc>
        <w:tc>
          <w:tcPr>
            <w:tcW w:type="dxa" w:w="1440"/>
          </w:tcPr>
          <w:p>
            <w:r>
              <w:t>40.1%</w:t>
            </w:r>
          </w:p>
        </w:tc>
      </w:tr>
      <w:tr>
        <w:tc>
          <w:tcPr>
            <w:tcW w:type="dxa" w:w="1440"/>
          </w:tcPr>
          <w:p>
            <w:r>
              <w:t>hybrid_20</w:t>
            </w:r>
          </w:p>
        </w:tc>
        <w:tc>
          <w:tcPr>
            <w:tcW w:type="dxa" w:w="1440"/>
          </w:tcPr>
          <w:p>
            <w:r>
              <w:t>GPMF</w:t>
            </w:r>
          </w:p>
        </w:tc>
        <w:tc>
          <w:tcPr>
            <w:tcW w:type="dxa" w:w="1440"/>
          </w:tcPr>
          <w:p>
            <w:r>
              <w:t>2.7%</w:t>
            </w:r>
          </w:p>
        </w:tc>
        <w:tc>
          <w:tcPr>
            <w:tcW w:type="dxa" w:w="1440"/>
          </w:tcPr>
          <w:p>
            <w:r>
              <w:t>-1.192</w:t>
            </w:r>
          </w:p>
        </w:tc>
        <w:tc>
          <w:tcPr>
            <w:tcW w:type="dxa" w:w="1440"/>
          </w:tcPr>
          <w:p>
            <w:r>
              <w:t>-1.591</w:t>
            </w:r>
          </w:p>
        </w:tc>
        <w:tc>
          <w:tcPr>
            <w:tcW w:type="dxa" w:w="1440"/>
          </w:tcPr>
          <w:p>
            <w:r>
              <w:t>36.8%</w:t>
            </w:r>
          </w:p>
        </w:tc>
      </w:tr>
      <w:tr>
        <w:tc>
          <w:tcPr>
            <w:tcW w:type="dxa" w:w="1440"/>
          </w:tcPr>
          <w:p>
            <w:r>
              <w:t>central_5</w:t>
            </w:r>
          </w:p>
        </w:tc>
        <w:tc>
          <w:tcPr>
            <w:tcW w:type="dxa" w:w="1440"/>
          </w:tcPr>
          <w:p>
            <w:r>
              <w:t>AGM</w:t>
            </w:r>
          </w:p>
        </w:tc>
        <w:tc>
          <w:tcPr>
            <w:tcW w:type="dxa" w:w="1440"/>
          </w:tcPr>
          <w:p>
            <w:r>
              <w:t>2.1%</w:t>
            </w:r>
          </w:p>
        </w:tc>
        <w:tc>
          <w:tcPr>
            <w:tcW w:type="dxa" w:w="1440"/>
          </w:tcPr>
          <w:p>
            <w:r>
              <w:t>-0.939</w:t>
            </w:r>
          </w:p>
        </w:tc>
        <w:tc>
          <w:tcPr>
            <w:tcW w:type="dxa" w:w="1440"/>
          </w:tcPr>
          <w:p>
            <w:r>
              <w:t>-1.261</w:t>
            </w:r>
          </w:p>
        </w:tc>
        <w:tc>
          <w:tcPr>
            <w:tcW w:type="dxa" w:w="1440"/>
          </w:tcPr>
          <w:p>
            <w:r>
              <w:t>32.4%</w:t>
            </w:r>
          </w:p>
        </w:tc>
      </w:tr>
      <w:tr>
        <w:tc>
          <w:tcPr>
            <w:tcW w:type="dxa" w:w="1440"/>
          </w:tcPr>
          <w:p>
            <w:r>
              <w:t>central_10</w:t>
            </w:r>
          </w:p>
        </w:tc>
        <w:tc>
          <w:tcPr>
            <w:tcW w:type="dxa" w:w="1440"/>
          </w:tcPr>
          <w:p>
            <w:r>
              <w:t>AGM</w:t>
            </w:r>
          </w:p>
        </w:tc>
        <w:tc>
          <w:tcPr>
            <w:tcW w:type="dxa" w:w="1440"/>
          </w:tcPr>
          <w:p>
            <w:r>
              <w:t>3.0%</w:t>
            </w:r>
          </w:p>
        </w:tc>
        <w:tc>
          <w:tcPr>
            <w:tcW w:type="dxa" w:w="1440"/>
          </w:tcPr>
          <w:p>
            <w:r>
              <w:t>-0.993</w:t>
            </w:r>
          </w:p>
        </w:tc>
        <w:tc>
          <w:tcPr>
            <w:tcW w:type="dxa" w:w="1440"/>
          </w:tcPr>
          <w:p>
            <w:r>
              <w:t>-1.342</w:t>
            </w:r>
          </w:p>
        </w:tc>
        <w:tc>
          <w:tcPr>
            <w:tcW w:type="dxa" w:w="1440"/>
          </w:tcPr>
          <w:p>
            <w:r>
              <w:t>27.6%</w:t>
            </w:r>
          </w:p>
        </w:tc>
      </w:tr>
      <w:tr>
        <w:tc>
          <w:tcPr>
            <w:tcW w:type="dxa" w:w="1440"/>
          </w:tcPr>
          <w:p>
            <w:r>
              <w:t>central_15</w:t>
            </w:r>
          </w:p>
        </w:tc>
        <w:tc>
          <w:tcPr>
            <w:tcW w:type="dxa" w:w="1440"/>
          </w:tcPr>
          <w:p>
            <w:r>
              <w:t>AGM</w:t>
            </w:r>
          </w:p>
        </w:tc>
        <w:tc>
          <w:tcPr>
            <w:tcW w:type="dxa" w:w="1440"/>
          </w:tcPr>
          <w:p>
            <w:r>
              <w:t>0.5%</w:t>
            </w:r>
          </w:p>
        </w:tc>
        <w:tc>
          <w:tcPr>
            <w:tcW w:type="dxa" w:w="1440"/>
          </w:tcPr>
          <w:p>
            <w:r>
              <w:t>-1.335</w:t>
            </w:r>
          </w:p>
        </w:tc>
        <w:tc>
          <w:tcPr>
            <w:tcW w:type="dxa" w:w="1440"/>
          </w:tcPr>
          <w:p>
            <w:r>
              <w:t>-1.666</w:t>
            </w:r>
          </w:p>
        </w:tc>
        <w:tc>
          <w:tcPr>
            <w:tcW w:type="dxa" w:w="1440"/>
          </w:tcPr>
          <w:p>
            <w:r>
              <w:t>26.8%</w:t>
            </w:r>
          </w:p>
        </w:tc>
      </w:tr>
      <w:tr>
        <w:tc>
          <w:tcPr>
            <w:tcW w:type="dxa" w:w="1440"/>
          </w:tcPr>
          <w:p>
            <w:r>
              <w:t>central_20</w:t>
            </w:r>
          </w:p>
        </w:tc>
        <w:tc>
          <w:tcPr>
            <w:tcW w:type="dxa" w:w="1440"/>
          </w:tcPr>
          <w:p>
            <w:r>
              <w:t>AGM</w:t>
            </w:r>
          </w:p>
        </w:tc>
        <w:tc>
          <w:tcPr>
            <w:tcW w:type="dxa" w:w="1440"/>
          </w:tcPr>
          <w:p>
            <w:r>
              <w:t>1.7%</w:t>
            </w:r>
          </w:p>
        </w:tc>
        <w:tc>
          <w:tcPr>
            <w:tcW w:type="dxa" w:w="1440"/>
          </w:tcPr>
          <w:p>
            <w:r>
              <w:t>-1.244</w:t>
            </w:r>
          </w:p>
        </w:tc>
        <w:tc>
          <w:tcPr>
            <w:tcW w:type="dxa" w:w="1440"/>
          </w:tcPr>
          <w:p>
            <w:r>
              <w:t>-1.591</w:t>
            </w:r>
          </w:p>
        </w:tc>
        <w:tc>
          <w:tcPr>
            <w:tcW w:type="dxa" w:w="1440"/>
          </w:tcPr>
          <w:p>
            <w:r>
              <w:t>25.2%</w:t>
            </w:r>
          </w:p>
        </w:tc>
      </w:tr>
      <w:tr>
        <w:tc>
          <w:tcPr>
            <w:tcW w:type="dxa" w:w="1440"/>
          </w:tcPr>
          <w:p>
            <w:r>
              <w:t>peripheral_5</w:t>
            </w:r>
          </w:p>
        </w:tc>
        <w:tc>
          <w:tcPr>
            <w:tcW w:type="dxa" w:w="1440"/>
          </w:tcPr>
          <w:p>
            <w:r>
              <w:t>AGM</w:t>
            </w:r>
          </w:p>
        </w:tc>
        <w:tc>
          <w:tcPr>
            <w:tcW w:type="dxa" w:w="1440"/>
          </w:tcPr>
          <w:p>
            <w:r>
              <w:t>1.8%</w:t>
            </w:r>
          </w:p>
        </w:tc>
        <w:tc>
          <w:tcPr>
            <w:tcW w:type="dxa" w:w="1440"/>
          </w:tcPr>
          <w:p>
            <w:r>
              <w:t>-1.171</w:t>
            </w:r>
          </w:p>
        </w:tc>
        <w:tc>
          <w:tcPr>
            <w:tcW w:type="dxa" w:w="1440"/>
          </w:tcPr>
          <w:p>
            <w:r>
              <w:t>-1.598</w:t>
            </w:r>
          </w:p>
        </w:tc>
        <w:tc>
          <w:tcPr>
            <w:tcW w:type="dxa" w:w="1440"/>
          </w:tcPr>
          <w:p>
            <w:r>
              <w:t>54.8%</w:t>
            </w:r>
          </w:p>
        </w:tc>
      </w:tr>
      <w:tr>
        <w:tc>
          <w:tcPr>
            <w:tcW w:type="dxa" w:w="1440"/>
          </w:tcPr>
          <w:p>
            <w:r>
              <w:t>peripheral_10</w:t>
            </w:r>
          </w:p>
        </w:tc>
        <w:tc>
          <w:tcPr>
            <w:tcW w:type="dxa" w:w="1440"/>
          </w:tcPr>
          <w:p>
            <w:r>
              <w:t>AGM</w:t>
            </w:r>
          </w:p>
        </w:tc>
        <w:tc>
          <w:tcPr>
            <w:tcW w:type="dxa" w:w="1440"/>
          </w:tcPr>
          <w:p>
            <w:r>
              <w:t>4.6%</w:t>
            </w:r>
          </w:p>
        </w:tc>
        <w:tc>
          <w:tcPr>
            <w:tcW w:type="dxa" w:w="1440"/>
          </w:tcPr>
          <w:p>
            <w:r>
              <w:t>-0.939</w:t>
            </w:r>
          </w:p>
        </w:tc>
        <w:tc>
          <w:tcPr>
            <w:tcW w:type="dxa" w:w="1440"/>
          </w:tcPr>
          <w:p>
            <w:r>
              <w:t>-1.397</w:t>
            </w:r>
          </w:p>
        </w:tc>
        <w:tc>
          <w:tcPr>
            <w:tcW w:type="dxa" w:w="1440"/>
          </w:tcPr>
          <w:p>
            <w:r>
              <w:t>44.4%</w:t>
            </w:r>
          </w:p>
        </w:tc>
      </w:tr>
      <w:tr>
        <w:tc>
          <w:tcPr>
            <w:tcW w:type="dxa" w:w="1440"/>
          </w:tcPr>
          <w:p>
            <w:r>
              <w:t>peripheral_15</w:t>
            </w:r>
          </w:p>
        </w:tc>
        <w:tc>
          <w:tcPr>
            <w:tcW w:type="dxa" w:w="1440"/>
          </w:tcPr>
          <w:p>
            <w:r>
              <w:t>AGM</w:t>
            </w:r>
          </w:p>
        </w:tc>
        <w:tc>
          <w:tcPr>
            <w:tcW w:type="dxa" w:w="1440"/>
          </w:tcPr>
          <w:p>
            <w:r>
              <w:t>4.1%</w:t>
            </w:r>
          </w:p>
        </w:tc>
        <w:tc>
          <w:tcPr>
            <w:tcW w:type="dxa" w:w="1440"/>
          </w:tcPr>
          <w:p>
            <w:r>
              <w:t>-0.971</w:t>
            </w:r>
          </w:p>
        </w:tc>
        <w:tc>
          <w:tcPr>
            <w:tcW w:type="dxa" w:w="1440"/>
          </w:tcPr>
          <w:p>
            <w:r>
              <w:t>-1.378</w:t>
            </w:r>
          </w:p>
        </w:tc>
        <w:tc>
          <w:tcPr>
            <w:tcW w:type="dxa" w:w="1440"/>
          </w:tcPr>
          <w:p>
            <w:r>
              <w:t>34.8%</w:t>
            </w:r>
          </w:p>
        </w:tc>
      </w:tr>
      <w:tr>
        <w:tc>
          <w:tcPr>
            <w:tcW w:type="dxa" w:w="1440"/>
          </w:tcPr>
          <w:p>
            <w:r>
              <w:t>peripheral_20</w:t>
            </w:r>
          </w:p>
        </w:tc>
        <w:tc>
          <w:tcPr>
            <w:tcW w:type="dxa" w:w="1440"/>
          </w:tcPr>
          <w:p>
            <w:r>
              <w:t>AGM</w:t>
            </w:r>
          </w:p>
        </w:tc>
        <w:tc>
          <w:tcPr>
            <w:tcW w:type="dxa" w:w="1440"/>
          </w:tcPr>
          <w:p>
            <w:r>
              <w:t>4.9%</w:t>
            </w:r>
          </w:p>
        </w:tc>
        <w:tc>
          <w:tcPr>
            <w:tcW w:type="dxa" w:w="1440"/>
          </w:tcPr>
          <w:p>
            <w:r>
              <w:t>-0.913</w:t>
            </w:r>
          </w:p>
        </w:tc>
        <w:tc>
          <w:tcPr>
            <w:tcW w:type="dxa" w:w="1440"/>
          </w:tcPr>
          <w:p>
            <w:r>
              <w:t>-1.309</w:t>
            </w:r>
          </w:p>
        </w:tc>
        <w:tc>
          <w:tcPr>
            <w:tcW w:type="dxa" w:w="1440"/>
          </w:tcPr>
          <w:p>
            <w:r>
              <w:t>29.6%</w:t>
            </w:r>
          </w:p>
        </w:tc>
      </w:tr>
      <w:tr>
        <w:tc>
          <w:tcPr>
            <w:tcW w:type="dxa" w:w="1440"/>
          </w:tcPr>
          <w:p>
            <w:r>
              <w:t>hybrid_5</w:t>
            </w:r>
          </w:p>
        </w:tc>
        <w:tc>
          <w:tcPr>
            <w:tcW w:type="dxa" w:w="1440"/>
          </w:tcPr>
          <w:p>
            <w:r>
              <w:t>AGM</w:t>
            </w:r>
          </w:p>
        </w:tc>
        <w:tc>
          <w:tcPr>
            <w:tcW w:type="dxa" w:w="1440"/>
          </w:tcPr>
          <w:p>
            <w:r>
              <w:t>3.9%</w:t>
            </w:r>
          </w:p>
        </w:tc>
        <w:tc>
          <w:tcPr>
            <w:tcW w:type="dxa" w:w="1440"/>
          </w:tcPr>
          <w:p>
            <w:r>
              <w:t>-0.866</w:t>
            </w:r>
          </w:p>
        </w:tc>
        <w:tc>
          <w:tcPr>
            <w:tcW w:type="dxa" w:w="1440"/>
          </w:tcPr>
          <w:p>
            <w:r>
              <w:t>-1.319</w:t>
            </w:r>
          </w:p>
        </w:tc>
        <w:tc>
          <w:tcPr>
            <w:tcW w:type="dxa" w:w="1440"/>
          </w:tcPr>
          <w:p>
            <w:r>
              <w:t>53.2%</w:t>
            </w:r>
          </w:p>
        </w:tc>
      </w:tr>
      <w:tr>
        <w:tc>
          <w:tcPr>
            <w:tcW w:type="dxa" w:w="1440"/>
          </w:tcPr>
          <w:p>
            <w:r>
              <w:t>hybrid_10</w:t>
            </w:r>
          </w:p>
        </w:tc>
        <w:tc>
          <w:tcPr>
            <w:tcW w:type="dxa" w:w="1440"/>
          </w:tcPr>
          <w:p>
            <w:r>
              <w:t>AGM</w:t>
            </w:r>
          </w:p>
        </w:tc>
        <w:tc>
          <w:tcPr>
            <w:tcW w:type="dxa" w:w="1440"/>
          </w:tcPr>
          <w:p>
            <w:r>
              <w:t>2.1%</w:t>
            </w:r>
          </w:p>
        </w:tc>
        <w:tc>
          <w:tcPr>
            <w:tcW w:type="dxa" w:w="1440"/>
          </w:tcPr>
          <w:p>
            <w:r>
              <w:t>-1.203</w:t>
            </w:r>
          </w:p>
        </w:tc>
        <w:tc>
          <w:tcPr>
            <w:tcW w:type="dxa" w:w="1440"/>
          </w:tcPr>
          <w:p>
            <w:r>
              <w:t>-1.621</w:t>
            </w:r>
          </w:p>
        </w:tc>
        <w:tc>
          <w:tcPr>
            <w:tcW w:type="dxa" w:w="1440"/>
          </w:tcPr>
          <w:p>
            <w:r>
              <w:t>43.6%</w:t>
            </w:r>
          </w:p>
        </w:tc>
      </w:tr>
      <w:tr>
        <w:tc>
          <w:tcPr>
            <w:tcW w:type="dxa" w:w="1440"/>
          </w:tcPr>
          <w:p>
            <w:r>
              <w:t>hybrid_15</w:t>
            </w:r>
          </w:p>
        </w:tc>
        <w:tc>
          <w:tcPr>
            <w:tcW w:type="dxa" w:w="1440"/>
          </w:tcPr>
          <w:p>
            <w:r>
              <w:t>AGM</w:t>
            </w:r>
          </w:p>
        </w:tc>
        <w:tc>
          <w:tcPr>
            <w:tcW w:type="dxa" w:w="1440"/>
          </w:tcPr>
          <w:p>
            <w:r>
              <w:t>3.0%</w:t>
            </w:r>
          </w:p>
        </w:tc>
        <w:tc>
          <w:tcPr>
            <w:tcW w:type="dxa" w:w="1440"/>
          </w:tcPr>
          <w:p>
            <w:r>
              <w:t>-1.138</w:t>
            </w:r>
          </w:p>
        </w:tc>
        <w:tc>
          <w:tcPr>
            <w:tcW w:type="dxa" w:w="1440"/>
          </w:tcPr>
          <w:p>
            <w:r>
              <w:t>-1.552</w:t>
            </w:r>
          </w:p>
        </w:tc>
        <w:tc>
          <w:tcPr>
            <w:tcW w:type="dxa" w:w="1440"/>
          </w:tcPr>
          <w:p>
            <w:r>
              <w:t>39.6%</w:t>
            </w:r>
          </w:p>
        </w:tc>
      </w:tr>
      <w:tr>
        <w:tc>
          <w:tcPr>
            <w:tcW w:type="dxa" w:w="1440"/>
          </w:tcPr>
          <w:p>
            <w:r>
              <w:t>hybrid_20</w:t>
            </w:r>
          </w:p>
        </w:tc>
        <w:tc>
          <w:tcPr>
            <w:tcW w:type="dxa" w:w="1440"/>
          </w:tcPr>
          <w:p>
            <w:r>
              <w:t>AGM</w:t>
            </w:r>
          </w:p>
        </w:tc>
        <w:tc>
          <w:tcPr>
            <w:tcW w:type="dxa" w:w="1440"/>
          </w:tcPr>
          <w:p>
            <w:r>
              <w:t>3.8%</w:t>
            </w:r>
          </w:p>
        </w:tc>
        <w:tc>
          <w:tcPr>
            <w:tcW w:type="dxa" w:w="1440"/>
          </w:tcPr>
          <w:p>
            <w:r>
              <w:t>-1.066</w:t>
            </w:r>
          </w:p>
        </w:tc>
        <w:tc>
          <w:tcPr>
            <w:tcW w:type="dxa" w:w="1440"/>
          </w:tcPr>
          <w:p>
            <w:r>
              <w:t>-1.479</w:t>
            </w:r>
          </w:p>
        </w:tc>
        <w:tc>
          <w:tcPr>
            <w:tcW w:type="dxa" w:w="1440"/>
          </w:tcPr>
          <w:p>
            <w:r>
              <w:t>34.8%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925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acao_alinhada_augus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2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 — GPMF vs AGM (mesma regra, dados corrigidos): retorno acumulado líquido das carteiras de tamanho 10.</w:t>
      </w:r>
    </w:p>
    <w:p>
      <w:pPr>
        <w:pStyle w:val="Heading2"/>
      </w:pPr>
      <w:r>
        <w:rPr>
          <w:color w:val="1F3B73"/>
        </w:rPr>
        <w:t>De onde vem a perda: decomposição de custos</w:t>
      </w:r>
    </w:p>
    <w:p>
      <w:pPr>
        <w:jc w:val="both"/>
      </w:pPr>
      <w:r>
        <w:t>A Tabela 2 decompõe o retorno anual: do bruto descontam-se o arrasto de custo de transação (~1–2% a.a., proporcional ao giro) e o arrasto de imposto (~1,7–2,1% a.a.), chegando ao líquido. Para a maioria das carteiras, os dois arrastos juntos transformam o pouco que sobrava em retorno líquido negativo.</w:t>
      </w:r>
    </w:p>
    <w:p>
      <w:r>
        <w:rPr>
          <w:b/>
          <w:color w:val="1F3B73"/>
        </w:rPr>
        <w:t>Tabela 2 — Decomposição do retorno (bruto → custo → imposto → líquido)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carteira</w:t>
            </w:r>
          </w:p>
        </w:tc>
        <w:tc>
          <w:tcPr>
            <w:tcW w:type="dxa" w:w="1234"/>
          </w:tcPr>
          <w:p>
            <w:r>
              <w:t>giro_medio_am</w:t>
            </w:r>
          </w:p>
        </w:tc>
        <w:tc>
          <w:tcPr>
            <w:tcW w:type="dxa" w:w="1234"/>
          </w:tcPr>
          <w:p>
            <w:r>
              <w:t>custo_medio_am</w:t>
            </w:r>
          </w:p>
        </w:tc>
        <w:tc>
          <w:tcPr>
            <w:tcW w:type="dxa" w:w="1234"/>
          </w:tcPr>
          <w:p>
            <w:r>
              <w:t>ret_bruto_aa</w:t>
            </w:r>
          </w:p>
        </w:tc>
        <w:tc>
          <w:tcPr>
            <w:tcW w:type="dxa" w:w="1234"/>
          </w:tcPr>
          <w:p>
            <w:r>
              <w:t>arrasto_custo_aa</w:t>
            </w:r>
          </w:p>
        </w:tc>
        <w:tc>
          <w:tcPr>
            <w:tcW w:type="dxa" w:w="1234"/>
          </w:tcPr>
          <w:p>
            <w:r>
              <w:t>arrasto_imposto_aa</w:t>
            </w:r>
          </w:p>
        </w:tc>
        <w:tc>
          <w:tcPr>
            <w:tcW w:type="dxa" w:w="1234"/>
          </w:tcPr>
          <w:p>
            <w:r>
              <w:t>ret_liq_aa</w:t>
            </w:r>
          </w:p>
        </w:tc>
      </w:tr>
      <w:tr>
        <w:tc>
          <w:tcPr>
            <w:tcW w:type="dxa" w:w="1234"/>
          </w:tcPr>
          <w:p>
            <w:r>
              <w:t>central_10</w:t>
            </w:r>
          </w:p>
        </w:tc>
        <w:tc>
          <w:tcPr>
            <w:tcW w:type="dxa" w:w="1234"/>
          </w:tcPr>
          <w:p>
            <w:r>
              <w:t>28.80%</w:t>
            </w:r>
          </w:p>
        </w:tc>
        <w:tc>
          <w:tcPr>
            <w:tcW w:type="dxa" w:w="1234"/>
          </w:tcPr>
          <w:p>
            <w:r>
              <w:t>0.09%</w:t>
            </w:r>
          </w:p>
        </w:tc>
        <w:tc>
          <w:tcPr>
            <w:tcW w:type="dxa" w:w="1234"/>
          </w:tcPr>
          <w:p>
            <w:r>
              <w:t>-0.06%</w:t>
            </w:r>
          </w:p>
        </w:tc>
        <w:tc>
          <w:tcPr>
            <w:tcW w:type="dxa" w:w="1234"/>
          </w:tcPr>
          <w:p>
            <w:r>
              <w:t>0.99%</w:t>
            </w:r>
          </w:p>
        </w:tc>
        <w:tc>
          <w:tcPr>
            <w:tcW w:type="dxa" w:w="1234"/>
          </w:tcPr>
          <w:p>
            <w:r>
              <w:t>1.71%</w:t>
            </w:r>
          </w:p>
        </w:tc>
        <w:tc>
          <w:tcPr>
            <w:tcW w:type="dxa" w:w="1234"/>
          </w:tcPr>
          <w:p>
            <w:r>
              <w:t>-2.76%</w:t>
            </w:r>
          </w:p>
        </w:tc>
      </w:tr>
      <w:tr>
        <w:tc>
          <w:tcPr>
            <w:tcW w:type="dxa" w:w="1234"/>
          </w:tcPr>
          <w:p>
            <w:r>
              <w:t>central_15</w:t>
            </w:r>
          </w:p>
        </w:tc>
        <w:tc>
          <w:tcPr>
            <w:tcW w:type="dxa" w:w="1234"/>
          </w:tcPr>
          <w:p>
            <w:r>
              <w:t>26.27%</w:t>
            </w:r>
          </w:p>
        </w:tc>
        <w:tc>
          <w:tcPr>
            <w:tcW w:type="dxa" w:w="1234"/>
          </w:tcPr>
          <w:p>
            <w:r>
              <w:t>0.08%</w:t>
            </w:r>
          </w:p>
        </w:tc>
        <w:tc>
          <w:tcPr>
            <w:tcW w:type="dxa" w:w="1234"/>
          </w:tcPr>
          <w:p>
            <w:r>
              <w:t>1.44%</w:t>
            </w:r>
          </w:p>
        </w:tc>
        <w:tc>
          <w:tcPr>
            <w:tcW w:type="dxa" w:w="1234"/>
          </w:tcPr>
          <w:p>
            <w:r>
              <w:t>0.91%</w:t>
            </w:r>
          </w:p>
        </w:tc>
        <w:tc>
          <w:tcPr>
            <w:tcW w:type="dxa" w:w="1234"/>
          </w:tcPr>
          <w:p>
            <w:r>
              <w:t>1.83%</w:t>
            </w:r>
          </w:p>
        </w:tc>
        <w:tc>
          <w:tcPr>
            <w:tcW w:type="dxa" w:w="1234"/>
          </w:tcPr>
          <w:p>
            <w:r>
              <w:t>-1.30%</w:t>
            </w:r>
          </w:p>
        </w:tc>
      </w:tr>
      <w:tr>
        <w:tc>
          <w:tcPr>
            <w:tcW w:type="dxa" w:w="1234"/>
          </w:tcPr>
          <w:p>
            <w:r>
              <w:t>central_20</w:t>
            </w:r>
          </w:p>
        </w:tc>
        <w:tc>
          <w:tcPr>
            <w:tcW w:type="dxa" w:w="1234"/>
          </w:tcPr>
          <w:p>
            <w:r>
              <w:t>27.60%</w:t>
            </w:r>
          </w:p>
        </w:tc>
        <w:tc>
          <w:tcPr>
            <w:tcW w:type="dxa" w:w="1234"/>
          </w:tcPr>
          <w:p>
            <w:r>
              <w:t>0.08%</w:t>
            </w:r>
          </w:p>
        </w:tc>
        <w:tc>
          <w:tcPr>
            <w:tcW w:type="dxa" w:w="1234"/>
          </w:tcPr>
          <w:p>
            <w:r>
              <w:t>1.53%</w:t>
            </w:r>
          </w:p>
        </w:tc>
        <w:tc>
          <w:tcPr>
            <w:tcW w:type="dxa" w:w="1234"/>
          </w:tcPr>
          <w:p>
            <w:r>
              <w:t>0.96%</w:t>
            </w:r>
          </w:p>
        </w:tc>
        <w:tc>
          <w:tcPr>
            <w:tcW w:type="dxa" w:w="1234"/>
          </w:tcPr>
          <w:p>
            <w:r>
              <w:t>1.74%</w:t>
            </w:r>
          </w:p>
        </w:tc>
        <w:tc>
          <w:tcPr>
            <w:tcW w:type="dxa" w:w="1234"/>
          </w:tcPr>
          <w:p>
            <w:r>
              <w:t>-1.17%</w:t>
            </w:r>
          </w:p>
        </w:tc>
      </w:tr>
      <w:tr>
        <w:tc>
          <w:tcPr>
            <w:tcW w:type="dxa" w:w="1234"/>
          </w:tcPr>
          <w:p>
            <w:r>
              <w:t>peripheral_10</w:t>
            </w:r>
          </w:p>
        </w:tc>
        <w:tc>
          <w:tcPr>
            <w:tcW w:type="dxa" w:w="1234"/>
          </w:tcPr>
          <w:p>
            <w:r>
              <w:t>55.60%</w:t>
            </w:r>
          </w:p>
        </w:tc>
        <w:tc>
          <w:tcPr>
            <w:tcW w:type="dxa" w:w="1234"/>
          </w:tcPr>
          <w:p>
            <w:r>
              <w:t>0.17%</w:t>
            </w:r>
          </w:p>
        </w:tc>
        <w:tc>
          <w:tcPr>
            <w:tcW w:type="dxa" w:w="1234"/>
          </w:tcPr>
          <w:p>
            <w:r>
              <w:t>3.77%</w:t>
            </w:r>
          </w:p>
        </w:tc>
        <w:tc>
          <w:tcPr>
            <w:tcW w:type="dxa" w:w="1234"/>
          </w:tcPr>
          <w:p>
            <w:r>
              <w:t>1.97%</w:t>
            </w:r>
          </w:p>
        </w:tc>
        <w:tc>
          <w:tcPr>
            <w:tcW w:type="dxa" w:w="1234"/>
          </w:tcPr>
          <w:p>
            <w:r>
              <w:t>2.12%</w:t>
            </w:r>
          </w:p>
        </w:tc>
        <w:tc>
          <w:tcPr>
            <w:tcW w:type="dxa" w:w="1234"/>
          </w:tcPr>
          <w:p>
            <w:r>
              <w:t>-0.31%</w:t>
            </w:r>
          </w:p>
        </w:tc>
      </w:tr>
      <w:tr>
        <w:tc>
          <w:tcPr>
            <w:tcW w:type="dxa" w:w="1234"/>
          </w:tcPr>
          <w:p>
            <w:r>
              <w:t>peripheral_15</w:t>
            </w:r>
          </w:p>
        </w:tc>
        <w:tc>
          <w:tcPr>
            <w:tcW w:type="dxa" w:w="1234"/>
          </w:tcPr>
          <w:p>
            <w:r>
              <w:t>42.27%</w:t>
            </w:r>
          </w:p>
        </w:tc>
        <w:tc>
          <w:tcPr>
            <w:tcW w:type="dxa" w:w="1234"/>
          </w:tcPr>
          <w:p>
            <w:r>
              <w:t>0.13%</w:t>
            </w:r>
          </w:p>
        </w:tc>
        <w:tc>
          <w:tcPr>
            <w:tcW w:type="dxa" w:w="1234"/>
          </w:tcPr>
          <w:p>
            <w:r>
              <w:t>3.82%</w:t>
            </w:r>
          </w:p>
        </w:tc>
        <w:tc>
          <w:tcPr>
            <w:tcW w:type="dxa" w:w="1234"/>
          </w:tcPr>
          <w:p>
            <w:r>
              <w:t>1.50%</w:t>
            </w:r>
          </w:p>
        </w:tc>
        <w:tc>
          <w:tcPr>
            <w:tcW w:type="dxa" w:w="1234"/>
          </w:tcPr>
          <w:p>
            <w:r>
              <w:t>2.01%</w:t>
            </w:r>
          </w:p>
        </w:tc>
        <w:tc>
          <w:tcPr>
            <w:tcW w:type="dxa" w:w="1234"/>
          </w:tcPr>
          <w:p>
            <w:r>
              <w:t>0.31%</w:t>
            </w:r>
          </w:p>
        </w:tc>
      </w:tr>
      <w:tr>
        <w:tc>
          <w:tcPr>
            <w:tcW w:type="dxa" w:w="1234"/>
          </w:tcPr>
          <w:p>
            <w:r>
              <w:t>peripheral_20</w:t>
            </w:r>
          </w:p>
        </w:tc>
        <w:tc>
          <w:tcPr>
            <w:tcW w:type="dxa" w:w="1234"/>
          </w:tcPr>
          <w:p>
            <w:r>
              <w:t>32.80%</w:t>
            </w:r>
          </w:p>
        </w:tc>
        <w:tc>
          <w:tcPr>
            <w:tcW w:type="dxa" w:w="1234"/>
          </w:tcPr>
          <w:p>
            <w:r>
              <w:t>0.10%</w:t>
            </w:r>
          </w:p>
        </w:tc>
        <w:tc>
          <w:tcPr>
            <w:tcW w:type="dxa" w:w="1234"/>
          </w:tcPr>
          <w:p>
            <w:r>
              <w:t>4.61%</w:t>
            </w:r>
          </w:p>
        </w:tc>
        <w:tc>
          <w:tcPr>
            <w:tcW w:type="dxa" w:w="1234"/>
          </w:tcPr>
          <w:p>
            <w:r>
              <w:t>1.17%</w:t>
            </w:r>
          </w:p>
        </w:tc>
        <w:tc>
          <w:tcPr>
            <w:tcW w:type="dxa" w:w="1234"/>
          </w:tcPr>
          <w:p>
            <w:r>
              <w:t>2.09%</w:t>
            </w:r>
          </w:p>
        </w:tc>
        <w:tc>
          <w:tcPr>
            <w:tcW w:type="dxa" w:w="1234"/>
          </w:tcPr>
          <w:p>
            <w:r>
              <w:t>1.35%</w:t>
            </w:r>
          </w:p>
        </w:tc>
      </w:tr>
      <w:tr>
        <w:tc>
          <w:tcPr>
            <w:tcW w:type="dxa" w:w="1234"/>
          </w:tcPr>
          <w:p>
            <w:r>
              <w:t>hybrid_10</w:t>
            </w:r>
          </w:p>
        </w:tc>
        <w:tc>
          <w:tcPr>
            <w:tcW w:type="dxa" w:w="1234"/>
          </w:tcPr>
          <w:p>
            <w:r>
              <w:t>49.20%</w:t>
            </w:r>
          </w:p>
        </w:tc>
        <w:tc>
          <w:tcPr>
            <w:tcW w:type="dxa" w:w="1234"/>
          </w:tcPr>
          <w:p>
            <w:r>
              <w:t>0.15%</w:t>
            </w:r>
          </w:p>
        </w:tc>
        <w:tc>
          <w:tcPr>
            <w:tcW w:type="dxa" w:w="1234"/>
          </w:tcPr>
          <w:p>
            <w:r>
              <w:t>1.97%</w:t>
            </w:r>
          </w:p>
        </w:tc>
        <w:tc>
          <w:tcPr>
            <w:tcW w:type="dxa" w:w="1234"/>
          </w:tcPr>
          <w:p>
            <w:r>
              <w:t>1.71%</w:t>
            </w:r>
          </w:p>
        </w:tc>
        <w:tc>
          <w:tcPr>
            <w:tcW w:type="dxa" w:w="1234"/>
          </w:tcPr>
          <w:p>
            <w:r>
              <w:t>1.87%</w:t>
            </w:r>
          </w:p>
        </w:tc>
        <w:tc>
          <w:tcPr>
            <w:tcW w:type="dxa" w:w="1234"/>
          </w:tcPr>
          <w:p>
            <w:r>
              <w:t>-1.60%</w:t>
            </w:r>
          </w:p>
        </w:tc>
      </w:tr>
      <w:tr>
        <w:tc>
          <w:tcPr>
            <w:tcW w:type="dxa" w:w="1234"/>
          </w:tcPr>
          <w:p>
            <w:r>
              <w:t>hybrid_15</w:t>
            </w:r>
          </w:p>
        </w:tc>
        <w:tc>
          <w:tcPr>
            <w:tcW w:type="dxa" w:w="1234"/>
          </w:tcPr>
          <w:p>
            <w:r>
              <w:t>44.93%</w:t>
            </w:r>
          </w:p>
        </w:tc>
        <w:tc>
          <w:tcPr>
            <w:tcW w:type="dxa" w:w="1234"/>
          </w:tcPr>
          <w:p>
            <w:r>
              <w:t>0.13%</w:t>
            </w:r>
          </w:p>
        </w:tc>
        <w:tc>
          <w:tcPr>
            <w:tcW w:type="dxa" w:w="1234"/>
          </w:tcPr>
          <w:p>
            <w:r>
              <w:t>3.32%</w:t>
            </w:r>
          </w:p>
        </w:tc>
        <w:tc>
          <w:tcPr>
            <w:tcW w:type="dxa" w:w="1234"/>
          </w:tcPr>
          <w:p>
            <w:r>
              <w:t>1.58%</w:t>
            </w:r>
          </w:p>
        </w:tc>
        <w:tc>
          <w:tcPr>
            <w:tcW w:type="dxa" w:w="1234"/>
          </w:tcPr>
          <w:p>
            <w:r>
              <w:t>1.97%</w:t>
            </w:r>
          </w:p>
        </w:tc>
        <w:tc>
          <w:tcPr>
            <w:tcW w:type="dxa" w:w="1234"/>
          </w:tcPr>
          <w:p>
            <w:r>
              <w:t>-0.23%</w:t>
            </w:r>
          </w:p>
        </w:tc>
      </w:tr>
      <w:tr>
        <w:tc>
          <w:tcPr>
            <w:tcW w:type="dxa" w:w="1234"/>
          </w:tcPr>
          <w:p>
            <w:r>
              <w:t>hybrid_20</w:t>
            </w:r>
          </w:p>
        </w:tc>
        <w:tc>
          <w:tcPr>
            <w:tcW w:type="dxa" w:w="1234"/>
          </w:tcPr>
          <w:p>
            <w:r>
              <w:t>40.80%</w:t>
            </w:r>
          </w:p>
        </w:tc>
        <w:tc>
          <w:tcPr>
            <w:tcW w:type="dxa" w:w="1234"/>
          </w:tcPr>
          <w:p>
            <w:r>
              <w:t>0.12%</w:t>
            </w:r>
          </w:p>
        </w:tc>
        <w:tc>
          <w:tcPr>
            <w:tcW w:type="dxa" w:w="1234"/>
          </w:tcPr>
          <w:p>
            <w:r>
              <w:t>1.90%</w:t>
            </w:r>
          </w:p>
        </w:tc>
        <w:tc>
          <w:tcPr>
            <w:tcW w:type="dxa" w:w="1234"/>
          </w:tcPr>
          <w:p>
            <w:r>
              <w:t>1.42%</w:t>
            </w:r>
          </w:p>
        </w:tc>
        <w:tc>
          <w:tcPr>
            <w:tcW w:type="dxa" w:w="1234"/>
          </w:tcPr>
          <w:p>
            <w:r>
              <w:t>1.86%</w:t>
            </w:r>
          </w:p>
        </w:tc>
        <w:tc>
          <w:tcPr>
            <w:tcW w:type="dxa" w:w="1234"/>
          </w:tcPr>
          <w:p>
            <w:r>
              <w:t>-1.38%</w:t>
            </w:r>
          </w:p>
        </w:tc>
      </w:tr>
    </w:tbl>
    <w:p/>
    <w:p>
      <w:pPr>
        <w:pStyle w:val="Heading2"/>
      </w:pPr>
      <w:r>
        <w:rPr>
          <w:color w:val="1F3B73"/>
        </w:rPr>
        <w:t>Significância estatística</w:t>
      </w:r>
    </w:p>
    <w:p>
      <w:pPr>
        <w:jc w:val="both"/>
      </w:pPr>
      <w:r>
        <w:t>Pelo teste de Jobson-Korkie e pelo bootstrap (Tabela 3), a vantagem da Periférica sobre a Central não é significativa a 5%. A diferença robusta é negativa: a Central-10 é significativamente PIOR que o benchmark (p_bootstrap = 0,01). Ou seja, há evidência de que escolher os ativos centrais destrói valor frente ao índice, mas não de que a periferia o supere.</w:t>
      </w:r>
    </w:p>
    <w:p>
      <w:r>
        <w:rPr>
          <w:b/>
          <w:color w:val="1F3B73"/>
        </w:rPr>
        <w:t>Tabela 3 — Diferença de Sharpe (Jobson-Korkie + IC bootstrap 95%)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carteira A</w:t>
            </w:r>
          </w:p>
        </w:tc>
        <w:tc>
          <w:tcPr>
            <w:tcW w:type="dxa" w:w="1440"/>
          </w:tcPr>
          <w:p>
            <w:r>
              <w:t>carteira B</w:t>
            </w:r>
          </w:p>
        </w:tc>
        <w:tc>
          <w:tcPr>
            <w:tcW w:type="dxa" w:w="1440"/>
          </w:tcPr>
          <w:p>
            <w:r>
              <w:t>ΔSharpe(aa)</w:t>
            </w:r>
          </w:p>
        </w:tc>
        <w:tc>
          <w:tcPr>
            <w:tcW w:type="dxa" w:w="1440"/>
          </w:tcPr>
          <w:p>
            <w:r>
              <w:t>IC95 inf</w:t>
            </w:r>
          </w:p>
        </w:tc>
        <w:tc>
          <w:tcPr>
            <w:tcW w:type="dxa" w:w="1440"/>
          </w:tcPr>
          <w:p>
            <w:r>
              <w:t>IC95 sup</w:t>
            </w:r>
          </w:p>
        </w:tc>
        <w:tc>
          <w:tcPr>
            <w:tcW w:type="dxa" w:w="1440"/>
          </w:tcPr>
          <w:p>
            <w:r>
              <w:t>p (bootstrap)</w:t>
            </w:r>
          </w:p>
        </w:tc>
      </w:tr>
      <w:tr>
        <w:tc>
          <w:tcPr>
            <w:tcW w:type="dxa" w:w="1440"/>
          </w:tcPr>
          <w:p>
            <w:r>
              <w:t>peripheral_10</w:t>
            </w:r>
          </w:p>
        </w:tc>
        <w:tc>
          <w:tcPr>
            <w:tcW w:type="dxa" w:w="1440"/>
          </w:tcPr>
          <w:p>
            <w:r>
              <w:t>central_10</w:t>
            </w:r>
          </w:p>
        </w:tc>
        <w:tc>
          <w:tcPr>
            <w:tcW w:type="dxa" w:w="1440"/>
          </w:tcPr>
          <w:p>
            <w:r>
              <w:t>0.381</w:t>
            </w:r>
          </w:p>
        </w:tc>
        <w:tc>
          <w:tcPr>
            <w:tcW w:type="dxa" w:w="1440"/>
          </w:tcPr>
          <w:p>
            <w:r>
              <w:t>-0.425</w:t>
            </w:r>
          </w:p>
        </w:tc>
        <w:tc>
          <w:tcPr>
            <w:tcW w:type="dxa" w:w="1440"/>
          </w:tcPr>
          <w:p>
            <w:r>
              <w:t>1.425</w:t>
            </w:r>
          </w:p>
        </w:tc>
        <w:tc>
          <w:tcPr>
            <w:tcW w:type="dxa" w:w="1440"/>
          </w:tcPr>
          <w:p>
            <w:r>
              <w:t>0.358</w:t>
            </w:r>
          </w:p>
        </w:tc>
      </w:tr>
      <w:tr>
        <w:tc>
          <w:tcPr>
            <w:tcW w:type="dxa" w:w="1440"/>
          </w:tcPr>
          <w:p>
            <w:r>
              <w:t>hybrid_10</w:t>
            </w:r>
          </w:p>
        </w:tc>
        <w:tc>
          <w:tcPr>
            <w:tcW w:type="dxa" w:w="1440"/>
          </w:tcPr>
          <w:p>
            <w:r>
              <w:t>central_10</w:t>
            </w:r>
          </w:p>
        </w:tc>
        <w:tc>
          <w:tcPr>
            <w:tcW w:type="dxa" w:w="1440"/>
          </w:tcPr>
          <w:p>
            <w:r>
              <w:t>0.078</w:t>
            </w:r>
          </w:p>
        </w:tc>
        <w:tc>
          <w:tcPr>
            <w:tcW w:type="dxa" w:w="1440"/>
          </w:tcPr>
          <w:p>
            <w:r>
              <w:t>-0.420</w:t>
            </w:r>
          </w:p>
        </w:tc>
        <w:tc>
          <w:tcPr>
            <w:tcW w:type="dxa" w:w="1440"/>
          </w:tcPr>
          <w:p>
            <w:r>
              <w:t>0.681</w:t>
            </w:r>
          </w:p>
        </w:tc>
        <w:tc>
          <w:tcPr>
            <w:tcW w:type="dxa" w:w="1440"/>
          </w:tcPr>
          <w:p>
            <w:r>
              <w:t>0.756</w:t>
            </w:r>
          </w:p>
        </w:tc>
      </w:tr>
      <w:tr>
        <w:tc>
          <w:tcPr>
            <w:tcW w:type="dxa" w:w="1440"/>
          </w:tcPr>
          <w:p>
            <w:r>
              <w:t>central_10</w:t>
            </w:r>
          </w:p>
        </w:tc>
        <w:tc>
          <w:tcPr>
            <w:tcW w:type="dxa" w:w="1440"/>
          </w:tcPr>
          <w:p>
            <w:r>
              <w:t>benchmark</w:t>
            </w:r>
          </w:p>
        </w:tc>
        <w:tc>
          <w:tcPr>
            <w:tcW w:type="dxa" w:w="1440"/>
          </w:tcPr>
          <w:p>
            <w:r>
              <w:t>-0.814</w:t>
            </w:r>
          </w:p>
        </w:tc>
        <w:tc>
          <w:tcPr>
            <w:tcW w:type="dxa" w:w="1440"/>
          </w:tcPr>
          <w:p>
            <w:r>
              <w:t>-1.621</w:t>
            </w:r>
          </w:p>
        </w:tc>
        <w:tc>
          <w:tcPr>
            <w:tcW w:type="dxa" w:w="1440"/>
          </w:tcPr>
          <w:p>
            <w:r>
              <w:t>-0.200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</w:tr>
      <w:tr>
        <w:tc>
          <w:tcPr>
            <w:tcW w:type="dxa" w:w="1440"/>
          </w:tcPr>
          <w:p>
            <w:r>
              <w:t>peripheral_10</w:t>
            </w:r>
          </w:p>
        </w:tc>
        <w:tc>
          <w:tcPr>
            <w:tcW w:type="dxa" w:w="1440"/>
          </w:tcPr>
          <w:p>
            <w:r>
              <w:t>benchmark</w:t>
            </w:r>
          </w:p>
        </w:tc>
        <w:tc>
          <w:tcPr>
            <w:tcW w:type="dxa" w:w="1440"/>
          </w:tcPr>
          <w:p>
            <w:r>
              <w:t>-0.433</w:t>
            </w:r>
          </w:p>
        </w:tc>
        <w:tc>
          <w:tcPr>
            <w:tcW w:type="dxa" w:w="1440"/>
          </w:tcPr>
          <w:p>
            <w:r>
              <w:t>-0.987</w:t>
            </w:r>
          </w:p>
        </w:tc>
        <w:tc>
          <w:tcPr>
            <w:tcW w:type="dxa" w:w="1440"/>
          </w:tcPr>
          <w:p>
            <w:r>
              <w:t>0.165</w:t>
            </w:r>
          </w:p>
        </w:tc>
        <w:tc>
          <w:tcPr>
            <w:tcW w:type="dxa" w:w="1440"/>
          </w:tcPr>
          <w:p>
            <w:r>
              <w:t>0.154</w:t>
            </w:r>
          </w:p>
        </w:tc>
      </w:tr>
      <w:tr>
        <w:tc>
          <w:tcPr>
            <w:tcW w:type="dxa" w:w="1440"/>
          </w:tcPr>
          <w:p>
            <w:r>
              <w:t>hybrid_10</w:t>
            </w:r>
          </w:p>
        </w:tc>
        <w:tc>
          <w:tcPr>
            <w:tcW w:type="dxa" w:w="1440"/>
          </w:tcPr>
          <w:p>
            <w:r>
              <w:t>benchmark</w:t>
            </w:r>
          </w:p>
        </w:tc>
        <w:tc>
          <w:tcPr>
            <w:tcW w:type="dxa" w:w="1440"/>
          </w:tcPr>
          <w:p>
            <w:r>
              <w:t>-0.736</w:t>
            </w:r>
          </w:p>
        </w:tc>
        <w:tc>
          <w:tcPr>
            <w:tcW w:type="dxa" w:w="1440"/>
          </w:tcPr>
          <w:p>
            <w:r>
              <w:t>-1.409</w:t>
            </w:r>
          </w:p>
        </w:tc>
        <w:tc>
          <w:tcPr>
            <w:tcW w:type="dxa" w:w="1440"/>
          </w:tcPr>
          <w:p>
            <w:r>
              <w:t>-0.166</w:t>
            </w:r>
          </w:p>
        </w:tc>
        <w:tc>
          <w:tcPr>
            <w:tcW w:type="dxa" w:w="1440"/>
          </w:tcPr>
          <w:p>
            <w:r>
              <w:t>0.008</w:t>
            </w:r>
          </w:p>
        </w:tc>
      </w:tr>
    </w:tbl>
    <w:p/>
    <w:p>
      <w:pPr>
        <w:pStyle w:val="Heading2"/>
      </w:pPr>
      <w:r>
        <w:rPr>
          <w:color w:val="1F3B73"/>
        </w:rPr>
        <w:t>Robustez por subperíodo</w:t>
      </w:r>
    </w:p>
    <w:p>
      <w:pPr>
        <w:jc w:val="both"/>
      </w:pPr>
      <w:r>
        <w:t>A Tabela 4 reavalia a hipótese de Pozzi em dois subperíodos consecutivos. Ela se confirma no primeiro (ago/2023–set/2024) mas se inverte no segundo (set/2024–out/2025): a vantagem da periferia depende do regime de mercado e, portanto, NÃO é robusta na janela disponível.</w:t>
      </w:r>
    </w:p>
    <w:p>
      <w:r>
        <w:rPr>
          <w:b/>
          <w:color w:val="1F3B73"/>
        </w:rPr>
        <w:t>Tabela 4 — Hipótese de Pozzi por subperíodo (tamanho 10, líquido)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periodo</w:t>
            </w:r>
          </w:p>
        </w:tc>
        <w:tc>
          <w:tcPr>
            <w:tcW w:type="dxa" w:w="1234"/>
          </w:tcPr>
          <w:p>
            <w:r>
              <w:t>inicio</w:t>
            </w:r>
          </w:p>
        </w:tc>
        <w:tc>
          <w:tcPr>
            <w:tcW w:type="dxa" w:w="1234"/>
          </w:tcPr>
          <w:p>
            <w:r>
              <w:t>fim</w:t>
            </w:r>
          </w:p>
        </w:tc>
        <w:tc>
          <w:tcPr>
            <w:tcW w:type="dxa" w:w="1234"/>
          </w:tcPr>
          <w:p>
            <w:r>
              <w:t>sharpe_central_10</w:t>
            </w:r>
          </w:p>
        </w:tc>
        <w:tc>
          <w:tcPr>
            <w:tcW w:type="dxa" w:w="1234"/>
          </w:tcPr>
          <w:p>
            <w:r>
              <w:t>sharpe_perif_10</w:t>
            </w:r>
          </w:p>
        </w:tc>
        <w:tc>
          <w:tcPr>
            <w:tcW w:type="dxa" w:w="1234"/>
          </w:tcPr>
          <w:p>
            <w:r>
              <w:t>pozzi_10</w:t>
            </w:r>
          </w:p>
        </w:tc>
        <w:tc>
          <w:tcPr>
            <w:tcW w:type="dxa" w:w="1234"/>
          </w:tcPr>
          <w:p>
            <w:r>
              <w:t>sharpe_benchmark</w:t>
            </w:r>
          </w:p>
        </w:tc>
      </w:tr>
      <w:tr>
        <w:tc>
          <w:tcPr>
            <w:tcW w:type="dxa" w:w="1234"/>
          </w:tcPr>
          <w:p>
            <w:r>
              <w:t>completo</w:t>
            </w:r>
          </w:p>
        </w:tc>
        <w:tc>
          <w:tcPr>
            <w:tcW w:type="dxa" w:w="1234"/>
          </w:tcPr>
          <w:p>
            <w:r>
              <w:t>2023-08-09</w:t>
            </w:r>
          </w:p>
        </w:tc>
        <w:tc>
          <w:tcPr>
            <w:tcW w:type="dxa" w:w="1234"/>
          </w:tcPr>
          <w:p>
            <w:r>
              <w:t>2025-10-20</w:t>
            </w:r>
          </w:p>
        </w:tc>
        <w:tc>
          <w:tcPr>
            <w:tcW w:type="dxa" w:w="1234"/>
          </w:tcPr>
          <w:p>
            <w:r>
              <w:t>-1.720</w:t>
            </w:r>
          </w:p>
        </w:tc>
        <w:tc>
          <w:tcPr>
            <w:tcW w:type="dxa" w:w="1234"/>
          </w:tcPr>
          <w:p>
            <w:r>
              <w:t>-1.340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  <w:tc>
          <w:tcPr>
            <w:tcW w:type="dxa" w:w="1234"/>
          </w:tcPr>
          <w:p>
            <w:r>
              <w:t>-0.907</w:t>
            </w:r>
          </w:p>
        </w:tc>
      </w:tr>
      <w:tr>
        <w:tc>
          <w:tcPr>
            <w:tcW w:type="dxa" w:w="1234"/>
          </w:tcPr>
          <w:p>
            <w:r>
              <w:t>sub1</w:t>
            </w:r>
          </w:p>
        </w:tc>
        <w:tc>
          <w:tcPr>
            <w:tcW w:type="dxa" w:w="1234"/>
          </w:tcPr>
          <w:p>
            <w:r>
              <w:t>2023-08-09</w:t>
            </w:r>
          </w:p>
        </w:tc>
        <w:tc>
          <w:tcPr>
            <w:tcW w:type="dxa" w:w="1234"/>
          </w:tcPr>
          <w:p>
            <w:r>
              <w:t>2024-09-12</w:t>
            </w:r>
          </w:p>
        </w:tc>
        <w:tc>
          <w:tcPr>
            <w:tcW w:type="dxa" w:w="1234"/>
          </w:tcPr>
          <w:p>
            <w:r>
              <w:t>-2.619</w:t>
            </w:r>
          </w:p>
        </w:tc>
        <w:tc>
          <w:tcPr>
            <w:tcW w:type="dxa" w:w="1234"/>
          </w:tcPr>
          <w:p>
            <w:r>
              <w:t>-1.520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  <w:tc>
          <w:tcPr>
            <w:tcW w:type="dxa" w:w="1234"/>
          </w:tcPr>
          <w:p>
            <w:r>
              <w:t>-1.159</w:t>
            </w:r>
          </w:p>
        </w:tc>
      </w:tr>
      <w:tr>
        <w:tc>
          <w:tcPr>
            <w:tcW w:type="dxa" w:w="1234"/>
          </w:tcPr>
          <w:p>
            <w:r>
              <w:t>sub2</w:t>
            </w:r>
          </w:p>
        </w:tc>
        <w:tc>
          <w:tcPr>
            <w:tcW w:type="dxa" w:w="1234"/>
          </w:tcPr>
          <w:p>
            <w:r>
              <w:t>2024-09-13</w:t>
            </w:r>
          </w:p>
        </w:tc>
        <w:tc>
          <w:tcPr>
            <w:tcW w:type="dxa" w:w="1234"/>
          </w:tcPr>
          <w:p>
            <w:r>
              <w:t>2025-10-20</w:t>
            </w:r>
          </w:p>
        </w:tc>
        <w:tc>
          <w:tcPr>
            <w:tcW w:type="dxa" w:w="1234"/>
          </w:tcPr>
          <w:p>
            <w:r>
              <w:t>-1.250</w:t>
            </w:r>
          </w:p>
        </w:tc>
        <w:tc>
          <w:tcPr>
            <w:tcW w:type="dxa" w:w="1234"/>
          </w:tcPr>
          <w:p>
            <w:r>
              <w:t>-1.356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-0.764</w:t>
            </w:r>
          </w:p>
        </w:tc>
      </w:tr>
    </w:tbl>
    <w:p/>
    <w:p>
      <w:pPr>
        <w:pStyle w:val="Heading1"/>
      </w:pPr>
      <w:r>
        <w:rPr>
          <w:color w:val="1F3B73"/>
        </w:rPr>
        <w:t>Discussão e Conclusões</w:t>
      </w:r>
    </w:p>
    <w:p>
      <w:pPr>
        <w:jc w:val="both"/>
      </w:pPr>
      <w:r>
        <w:t>Três conclusões emergem. (1) No período mar/2022–nov/2025, os FIIs — em qualquer das carteiras de grafo e no próprio benchmark — renderam abaixo do CDI; estratégias ativas de grafo não agregaram valor líquido frente à renda fixa. (2) Como filtro, o GPMF é superior à AGM para ordenar centro vs periferia: sustenta a hipótese de Pozzi em todos os tamanhos, enquanto a AGM falha no menor; e apenas no GPMF uma carteira (Periférica-5) supera o benchmark passivo no líquido. (3) Esse efeito-periferia, contudo, não é robusto entre subperíodos nem estatisticamente significativo, e a única diferença significativa é a desvantagem das carteiras centrais frente ao índice.</w:t>
      </w:r>
    </w:p>
    <w:p>
      <w:pPr>
        <w:jc w:val="both"/>
      </w:pPr>
      <w:r>
        <w:t>Limitações: janela fora da amostra de ~2 anos (baixo poder estatístico), viés de sobrevivência (apenas FIIs com histórico completo), benchmark via ETF proxy, e sensibilidade ao giro (custo+imposto decisivos). A reconciliação com o braço AGM exigiu alinhar convenções — sobretudo o tratamento de dividendos.</w:t>
      </w:r>
    </w:p>
    <w:p>
      <w:pPr>
        <w:pStyle w:val="Heading1"/>
      </w:pPr>
      <w:r>
        <w:rPr>
          <w:color w:val="1F3B73"/>
        </w:rPr>
        <w:t>Bibliografia</w:t>
      </w:r>
    </w:p>
    <w:p>
      <w:r>
        <w:t>MANTEGNA, R. N. Hierarchical structure in financial markets. EPJB, 11:193–197, 1999.</w:t>
      </w:r>
    </w:p>
    <w:p>
      <w:r>
        <w:t>TUMMINELLO, M. et al. A tool for filtering information in complex systems. PNAS, 102(30):10421–10426, 2005.</w:t>
      </w:r>
    </w:p>
    <w:p>
      <w:r>
        <w:t>POZZI, F.; DI MATTEO, T.; ASTE, T. Spread of risk across financial markets: better to invest in the peripheries. Scientific Reports, 3:1665, 2013.</w:t>
      </w:r>
    </w:p>
    <w:p>
      <w:r>
        <w:t>PERALTA, G.; ZAREEI, A. A network approach to portfolio selection. JEF, 38:157–180, 2016.</w:t>
      </w:r>
    </w:p>
    <w:p>
      <w:r>
        <w:t>MEMMEL, C. Performance hypothesis testing with the Sharpe ratio. Finance Letters, 1:21–23, 2003.</w:t>
      </w:r>
    </w:p>
    <w:p>
      <w:pPr>
        <w:pStyle w:val="Heading1"/>
      </w:pPr>
      <w:r>
        <w:rPr>
          <w:color w:val="1F3B73"/>
        </w:rPr>
        <w:t>Perspectivas de continuidade</w:t>
      </w:r>
    </w:p>
    <w:p>
      <w:pPr>
        <w:jc w:val="both"/>
      </w:pPr>
      <w:r>
        <w:t>Estender a janela para aumentar o poder estatístico; testar ponderação por risco (inverse-vol) e a centralidade de autovetor na seleção; controlar o giro para reduzir o arrasto de custos; e consolidar a comparação oficial com o braço AGM, redigindo o artigo para o ENIAC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