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Programa Institucional de Iniciação Científica e Tecnológica</w:t>
      </w:r>
    </w:p>
    <w:p>
      <w:pPr>
        <w:jc w:val="center"/>
      </w:pPr>
      <w:r>
        <w:rPr>
          <w:b/>
          <w:color w:val="1F3B73"/>
          <w:sz w:val="30"/>
        </w:rPr>
        <w:t>Relatório Final de Atividades</w:t>
      </w:r>
    </w:p>
    <w:p>
      <w:pPr>
        <w:jc w:val="center"/>
      </w:pPr>
      <w:r>
        <w:rPr>
          <w:b/>
        </w:rPr>
        <w:t>Análise Comparativa de Métodos de Formação de Carteira Baseados em Grafos para Fundos Imobiliários (FIIs): Casos de Estudo com o Grafo Planar Maximamente Filtrado</w:t>
      </w:r>
    </w:p>
    <w:p/>
    <w:p>
      <w:r>
        <w:rPr>
          <w:b/>
        </w:rPr>
        <w:t xml:space="preserve">Projeto: </w:t>
      </w:r>
      <w:r>
        <w:t>Análise Comparativa de Métodos de Formação de Carteira Baseados em Grafos para Fundos Imobiliários (FIIs): Casos de Estudo com o Grafo Planar Maximamente Filtrado</w:t>
      </w:r>
    </w:p>
    <w:p>
      <w:r>
        <w:rPr>
          <w:b/>
        </w:rPr>
        <w:t xml:space="preserve">Bolsista / RA: </w:t>
      </w:r>
      <w:r>
        <w:t>Yoon Sung Jang / RA [preencher]</w:t>
      </w:r>
    </w:p>
    <w:p>
      <w:r>
        <w:rPr>
          <w:b/>
        </w:rPr>
        <w:t xml:space="preserve">Orientador: </w:t>
      </w:r>
      <w:r>
        <w:t>Prof. Dr. João Roberto Bertini Junior</w:t>
      </w:r>
    </w:p>
    <w:p>
      <w:r>
        <w:rPr>
          <w:b/>
        </w:rPr>
        <w:t xml:space="preserve">Local de execução: </w:t>
      </w:r>
      <w:r>
        <w:t>Faculdade de Tecnologia (FT) — UNICAMP, Limeira/SP</w:t>
      </w:r>
    </w:p>
    <w:p>
      <w:r>
        <w:rPr>
          <w:b/>
        </w:rPr>
        <w:t xml:space="preserve">Vigência: </w:t>
      </w:r>
      <w:r>
        <w:t>setembro/2025 a agosto/2026</w:t>
      </w:r>
    </w:p>
    <w:p>
      <w:pPr>
        <w:pStyle w:val="Heading1"/>
      </w:pPr>
      <w:r>
        <w:rPr>
          <w:color w:val="1F3B73"/>
        </w:rPr>
        <w:t>Resumo</w:t>
      </w:r>
    </w:p>
    <w:p>
      <w:pPr>
        <w:jc w:val="both"/>
      </w:pPr>
      <w:r>
        <w:t>Este projeto investiga o uso de técnicas baseadas em grafos para a formação de carteiras de Fundos de Investimento Imobiliário (FIIs), com foco no Grafo Planar Maximamente Filtrado (GPMF) e comparação com a Árvore Geradora Mínima (AGM). A partir da correlação entre os retornos, constrói-se a rede de ativos e, por métricas de centralidade, formam-se carteiras Central, Periférica e Híbrida, avaliadas quanto a risco, retorno, custos e tributos. Em relação ao relatório parcial, esta etapa (i) corrigiu a convenção de cálculo do retorno total, evitando dupla contagem de dividendos; (ii) tornou a seleção do universo determinística e reprodutível; e (iii) implementou a validação por janela deslizante (out-of-sample), núcleo científico do trabalho. Com a metodologia corrigida, as carteiras periféricas apresentam melhor relação risco-retorno tanto dentro quanto, sobretudo, fora da amostra — onde superam as centrais em todos os tamanhos testados, em linha com a hipótese de Pozzi et al. (2013). Esse resultado revisa a conclusão do relatório parcial, cuja vantagem das carteiras centrais era afetada pela dupla contagem de dividendos. Líquido de custos e tributos, porém, o benchmark passivo (IFIX) mostra-se difícil de superar e as diferenças não atingem significância estatística na janela analisada.</w:t>
      </w:r>
    </w:p>
    <w:p>
      <w:pPr>
        <w:pStyle w:val="Heading1"/>
      </w:pPr>
      <w:r>
        <w:rPr>
          <w:color w:val="1F3B73"/>
        </w:rPr>
        <w:t>Introdução</w:t>
      </w:r>
    </w:p>
    <w:p>
      <w:pPr>
        <w:jc w:val="both"/>
      </w:pPr>
      <w:r>
        <w:t>A seleção de ativos em mercados financeiros pode ser apoiada por métodos de filtragem de informação em grafos, que resumem a estrutura de correlação de um conjunto de ativos em poucas ligações relevantes. A Árvore Geradora Mínima (Mantegna, 1999) retém N−1 arestas, enquanto o Grafo Planar Maximamente Filtrado (Tumminello et al., 2005) retém 3N−6, preservando ciclos e cliques e, portanto, mais estrutura. Pozzi, Di Matteo e Aste (2013) argumentam que ativos periféricos nessas redes tendem a compor carteiras com melhor relação risco-retorno; Peralta e Zareei (2016) reforçam a hipótese usando centralidade de autovetor.</w:t>
      </w:r>
    </w:p>
    <w:p>
      <w:pPr>
        <w:jc w:val="both"/>
      </w:pPr>
      <w:r>
        <w:t>Os FIIs brasileiros têm características próprias relevantes à metodologia: distribuição obrigatória de ao menos 95% dos lucros, isenção de imposto de renda sobre proventos para pessoas físicas e incidência de 15% sobre o ganho de capital na venda de cotas. O objetivo deste trabalho é avaliar se a recomendação de “investir na periferia” se sustenta para FIIs, comparando o GPMF com a AGM sob a mesma metodologia e validando os resultados fora da amostra.</w:t>
      </w:r>
    </w:p>
    <w:p>
      <w:pPr>
        <w:pStyle w:val="Heading1"/>
      </w:pPr>
      <w:r>
        <w:rPr>
          <w:color w:val="1F3B73"/>
        </w:rPr>
        <w:t>Materiais e Métodos</w:t>
      </w:r>
    </w:p>
    <w:p>
      <w:pPr>
        <w:pStyle w:val="Heading2"/>
      </w:pPr>
      <w:r>
        <w:rPr>
          <w:color w:val="1F3B73"/>
        </w:rPr>
        <w:t>Dados e janela</w:t>
      </w:r>
    </w:p>
    <w:p>
      <w:pPr>
        <w:jc w:val="both"/>
      </w:pPr>
      <w:r>
        <w:t>Os preços de fechamento ajustados e os proventos foram coletados via biblioteca yfinance, no período de mar/2022 a nov/2025 (920 pregões). A seleção do universo é determinística a partir do cache: partindo de FIIs candidatos líquidos, mantêm-se os que cobrem toda a janela com histórico suficiente e menos de 5% de dados faltantes, resultando em 51 FIIs aptos. O benchmark é o IFIX; como o ticker ^IFIX falha por fuso horário no provedor, utiliza-se o ETF XFIX11 como proxy.</w:t>
      </w:r>
    </w:p>
    <w:p>
      <w:pPr>
        <w:pStyle w:val="Heading2"/>
      </w:pPr>
      <w:r>
        <w:rPr>
          <w:color w:val="1F3B73"/>
        </w:rPr>
        <w:t>Convenção de retorno (correção metodológica)</w:t>
      </w:r>
    </w:p>
    <w:p>
      <w:pPr>
        <w:jc w:val="both"/>
      </w:pPr>
      <w:r>
        <w:t>Verificou-se empiricamente, em um FII de alto dividend yield (MXRF11, 33 proventos na janela), que o fechamento ajustado do provedor já reinveste os dividendos: o retorno do ajustado é igual ao retorno de (preço + provento) com erro máximo da ordem de 1×10⁻⁴, ao passo que difere do retorno apenas-preço em até 1×10⁻². Conclui-se que o retorno total correto é Rt = ln(Pt/Pt−1) sobre o fechamento ajustado. A fórmula do relatório parcial, Rt = ln((Pt+Dt)/Pt−1), somava o provento novamente e contava o dividendo duas vezes; todos os resultados a seguir adotam a convenção corrigida.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_dividendos_MXRF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Verificação da convenção de dividendos (MXRF11). A razão ajustado/bruto em degraus corresponde aos proventos reinvestidos.</w:t>
      </w:r>
    </w:p>
    <w:p>
      <w:pPr>
        <w:pStyle w:val="Heading2"/>
      </w:pPr>
      <w:r>
        <w:rPr>
          <w:color w:val="1F3B73"/>
        </w:rPr>
        <w:t>Construção do grafo e seleção das carteiras</w:t>
      </w:r>
    </w:p>
    <w:p>
      <w:pPr>
        <w:jc w:val="both"/>
      </w:pPr>
      <w:r>
        <w:t>Calcula-se a matriz de correlação de Pearson dos retornos diários e, a partir dela, a distância de Mantegna d(i,j) = √(2(1−ρij)). O GPMF é construído por inserção gulosa das arestas de menor distância, preservando a planaridade (verificação de Boyer-Myrvold via NetworkX); um GPMF conexo sobre N vértices tem 3N−6 arestas. Para cada FII calculam-se quatro centralidades — grau, intermediação, proximidade e autovetor — e formam-se carteiras de 10, 15 e 20 ativos: Central (mais centrais), Periférica (menos centrais) e Híbrida (metade/metade), com pesos iguais (1/N).</w:t>
      </w:r>
    </w:p>
    <w:p>
      <w:pPr>
        <w:pStyle w:val="Heading2"/>
      </w:pPr>
      <w:r>
        <w:rPr>
          <w:color w:val="1F3B73"/>
        </w:rPr>
        <w:t>Validação fora da amostra (janela deslizante)</w:t>
      </w:r>
    </w:p>
    <w:p>
      <w:pPr>
        <w:jc w:val="both"/>
      </w:pPr>
      <w:r>
        <w:t>A cada passo, a carteira é formada com os 360 pregões anteriores e mantida nos 22 pregões seguintes (não usados na formação); em seguida avança-se 22 pregões e o GPMF é reconstruído. As janelas de manutenção são emendadas em curvas contínuas. Isso elimina o viés de antecipação (look-ahead) presente na avaliação estática. O período fora da amostra resultante vai de 09/08/2023 a 20/10/2025 (550 pregões, 25 rebalanceamentos).</w:t>
      </w:r>
    </w:p>
    <w:p>
      <w:pPr>
        <w:pStyle w:val="Heading2"/>
      </w:pPr>
      <w:r>
        <w:rPr>
          <w:color w:val="1F3B73"/>
        </w:rPr>
        <w:t>Custos, tributos e significância</w:t>
      </w:r>
    </w:p>
    <w:p>
      <w:pPr>
        <w:jc w:val="both"/>
      </w:pPr>
      <w:r>
        <w:t>Aplica-se custo de transação de 0,3% sobre o giro a cada rebalanceamento e imposto de 15% sobre o ganho de capital realizado em cada janela; os dividendos de FII são isentos para pessoa física. A significância das diferenças de Índice de Sharpe é avaliada pelo teste de Jobson-Korkie com correção de Memmel (2003). O mesmo arcabouço é aplicado à AGM para a comparação direta GPMF × AGM.</w:t>
      </w:r>
    </w:p>
    <w:p>
      <w:pPr>
        <w:pStyle w:val="Heading1"/>
      </w:pPr>
      <w:r>
        <w:rPr>
          <w:color w:val="1F3B73"/>
        </w:rPr>
        <w:t>Resultados</w:t>
      </w:r>
    </w:p>
    <w:p>
      <w:pPr>
        <w:pStyle w:val="Heading2"/>
      </w:pPr>
      <w:r>
        <w:rPr>
          <w:color w:val="1F3B73"/>
        </w:rPr>
        <w:t>Avaliação estática (dentro da amostra) — referência</w:t>
      </w:r>
    </w:p>
    <w:p>
      <w:pPr>
        <w:jc w:val="both"/>
      </w:pPr>
      <w:r>
        <w:t>Reproduzindo a avaliação estática com a metodologia corrigida sobre o período completo (920 pregões), as carteiras periféricas já apresentam melhor Índice de Sharpe que as centrais — diferentemente do relatório parcial, em que as centrais lideravam. A diferença decorre da correção da convenção de dividendos (que antes inflava o retorno de FIIs de alto provento) e da seleção determinística do universo. A Tabela 1 apresenta retorno e risco anualizados, Índice de Sharpe e drawdown máximo. Por ser dentro da amostra (centralidade e avaliação no mesmo período), este resultado serve apenas de referência; a conclusão válida vem da validação fora da amostra.</w:t>
      </w:r>
    </w:p>
    <w:p>
      <w:r>
        <w:rPr>
          <w:b/>
          <w:color w:val="1F3B73"/>
        </w:rPr>
        <w:t>Tabela 1 — Desempenho estático das carteiras GPMF vs. benchmark (referência, in-sample)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carteira</w:t>
            </w:r>
          </w:p>
        </w:tc>
        <w:tc>
          <w:tcPr>
            <w:tcW w:type="dxa" w:w="1234"/>
          </w:tcPr>
          <w:p>
            <w:r>
              <w:t>retorno_anual</w:t>
            </w:r>
          </w:p>
        </w:tc>
        <w:tc>
          <w:tcPr>
            <w:tcW w:type="dxa" w:w="1234"/>
          </w:tcPr>
          <w:p>
            <w:r>
              <w:t>vol_anual</w:t>
            </w:r>
          </w:p>
        </w:tc>
        <w:tc>
          <w:tcPr>
            <w:tcW w:type="dxa" w:w="1234"/>
          </w:tcPr>
          <w:p>
            <w:r>
              <w:t>sharpe</w:t>
            </w:r>
          </w:p>
        </w:tc>
        <w:tc>
          <w:tcPr>
            <w:tcW w:type="dxa" w:w="1234"/>
          </w:tcPr>
          <w:p>
            <w:r>
              <w:t>drawdown_max</w:t>
            </w:r>
          </w:p>
        </w:tc>
        <w:tc>
          <w:tcPr>
            <w:tcW w:type="dxa" w:w="1234"/>
          </w:tcPr>
          <w:p>
            <w:r>
              <w:t>retorno_acumulado</w:t>
            </w:r>
          </w:p>
        </w:tc>
        <w:tc>
          <w:tcPr>
            <w:tcW w:type="dxa" w:w="1234"/>
          </w:tcPr>
          <w:p>
            <w:r>
              <w:t>n_periodos</w:t>
            </w:r>
          </w:p>
        </w:tc>
      </w:tr>
      <w:tr>
        <w:tc>
          <w:tcPr>
            <w:tcW w:type="dxa" w:w="1234"/>
          </w:tcPr>
          <w:p>
            <w:r>
              <w:t>central_10</w:t>
            </w:r>
          </w:p>
        </w:tc>
        <w:tc>
          <w:tcPr>
            <w:tcW w:type="dxa" w:w="1234"/>
          </w:tcPr>
          <w:p>
            <w:r>
              <w:t>8.81%</w:t>
            </w:r>
          </w:p>
        </w:tc>
        <w:tc>
          <w:tcPr>
            <w:tcW w:type="dxa" w:w="1234"/>
          </w:tcPr>
          <w:p>
            <w:r>
              <w:t>7.53%</w:t>
            </w:r>
          </w:p>
        </w:tc>
        <w:tc>
          <w:tcPr>
            <w:tcW w:type="dxa" w:w="1234"/>
          </w:tcPr>
          <w:p>
            <w:r>
              <w:t>1.159</w:t>
            </w:r>
          </w:p>
        </w:tc>
        <w:tc>
          <w:tcPr>
            <w:tcW w:type="dxa" w:w="1234"/>
          </w:tcPr>
          <w:p>
            <w:r>
              <w:t>-16.28%</w:t>
            </w:r>
          </w:p>
        </w:tc>
        <w:tc>
          <w:tcPr>
            <w:tcW w:type="dxa" w:w="1234"/>
          </w:tcPr>
          <w:p>
            <w:r>
              <w:t>36.09%</w:t>
            </w:r>
          </w:p>
        </w:tc>
        <w:tc>
          <w:tcPr>
            <w:tcW w:type="dxa" w:w="1234"/>
          </w:tcPr>
          <w:p>
            <w:r>
              <w:t>920</w:t>
            </w:r>
          </w:p>
        </w:tc>
      </w:tr>
      <w:tr>
        <w:tc>
          <w:tcPr>
            <w:tcW w:type="dxa" w:w="1234"/>
          </w:tcPr>
          <w:p>
            <w:r>
              <w:t>central_15</w:t>
            </w:r>
          </w:p>
        </w:tc>
        <w:tc>
          <w:tcPr>
            <w:tcW w:type="dxa" w:w="1234"/>
          </w:tcPr>
          <w:p>
            <w:r>
              <w:t>10.15%</w:t>
            </w:r>
          </w:p>
        </w:tc>
        <w:tc>
          <w:tcPr>
            <w:tcW w:type="dxa" w:w="1234"/>
          </w:tcPr>
          <w:p>
            <w:r>
              <w:t>7.25%</w:t>
            </w:r>
          </w:p>
        </w:tc>
        <w:tc>
          <w:tcPr>
            <w:tcW w:type="dxa" w:w="1234"/>
          </w:tcPr>
          <w:p>
            <w:r>
              <w:t>1.369</w:t>
            </w:r>
          </w:p>
        </w:tc>
        <w:tc>
          <w:tcPr>
            <w:tcW w:type="dxa" w:w="1234"/>
          </w:tcPr>
          <w:p>
            <w:r>
              <w:t>-16.03%</w:t>
            </w:r>
          </w:p>
        </w:tc>
        <w:tc>
          <w:tcPr>
            <w:tcW w:type="dxa" w:w="1234"/>
          </w:tcPr>
          <w:p>
            <w:r>
              <w:t>42.32%</w:t>
            </w:r>
          </w:p>
        </w:tc>
        <w:tc>
          <w:tcPr>
            <w:tcW w:type="dxa" w:w="1234"/>
          </w:tcPr>
          <w:p>
            <w:r>
              <w:t>920</w:t>
            </w:r>
          </w:p>
        </w:tc>
      </w:tr>
      <w:tr>
        <w:tc>
          <w:tcPr>
            <w:tcW w:type="dxa" w:w="1234"/>
          </w:tcPr>
          <w:p>
            <w:r>
              <w:t>central_20</w:t>
            </w:r>
          </w:p>
        </w:tc>
        <w:tc>
          <w:tcPr>
            <w:tcW w:type="dxa" w:w="1234"/>
          </w:tcPr>
          <w:p>
            <w:r>
              <w:t>10.58%</w:t>
            </w:r>
          </w:p>
        </w:tc>
        <w:tc>
          <w:tcPr>
            <w:tcW w:type="dxa" w:w="1234"/>
          </w:tcPr>
          <w:p>
            <w:r>
              <w:t>6.77%</w:t>
            </w:r>
          </w:p>
        </w:tc>
        <w:tc>
          <w:tcPr>
            <w:tcW w:type="dxa" w:w="1234"/>
          </w:tcPr>
          <w:p>
            <w:r>
              <w:t>1.520</w:t>
            </w:r>
          </w:p>
        </w:tc>
        <w:tc>
          <w:tcPr>
            <w:tcW w:type="dxa" w:w="1234"/>
          </w:tcPr>
          <w:p>
            <w:r>
              <w:t>-15.62%</w:t>
            </w:r>
          </w:p>
        </w:tc>
        <w:tc>
          <w:tcPr>
            <w:tcW w:type="dxa" w:w="1234"/>
          </w:tcPr>
          <w:p>
            <w:r>
              <w:t>44.35%</w:t>
            </w:r>
          </w:p>
        </w:tc>
        <w:tc>
          <w:tcPr>
            <w:tcW w:type="dxa" w:w="1234"/>
          </w:tcPr>
          <w:p>
            <w:r>
              <w:t>920</w:t>
            </w:r>
          </w:p>
        </w:tc>
      </w:tr>
      <w:tr>
        <w:tc>
          <w:tcPr>
            <w:tcW w:type="dxa" w:w="1234"/>
          </w:tcPr>
          <w:p>
            <w:r>
              <w:t>peripheral_10</w:t>
            </w:r>
          </w:p>
        </w:tc>
        <w:tc>
          <w:tcPr>
            <w:tcW w:type="dxa" w:w="1234"/>
          </w:tcPr>
          <w:p>
            <w:r>
              <w:t>10.39%</w:t>
            </w:r>
          </w:p>
        </w:tc>
        <w:tc>
          <w:tcPr>
            <w:tcW w:type="dxa" w:w="1234"/>
          </w:tcPr>
          <w:p>
            <w:r>
              <w:t>7.27%</w:t>
            </w:r>
          </w:p>
        </w:tc>
        <w:tc>
          <w:tcPr>
            <w:tcW w:type="dxa" w:w="1234"/>
          </w:tcPr>
          <w:p>
            <w:r>
              <w:t>1.397</w:t>
            </w:r>
          </w:p>
        </w:tc>
        <w:tc>
          <w:tcPr>
            <w:tcW w:type="dxa" w:w="1234"/>
          </w:tcPr>
          <w:p>
            <w:r>
              <w:t>-17.94%</w:t>
            </w:r>
          </w:p>
        </w:tc>
        <w:tc>
          <w:tcPr>
            <w:tcW w:type="dxa" w:w="1234"/>
          </w:tcPr>
          <w:p>
            <w:r>
              <w:t>43.48%</w:t>
            </w:r>
          </w:p>
        </w:tc>
        <w:tc>
          <w:tcPr>
            <w:tcW w:type="dxa" w:w="1234"/>
          </w:tcPr>
          <w:p>
            <w:r>
              <w:t>920</w:t>
            </w:r>
          </w:p>
        </w:tc>
      </w:tr>
      <w:tr>
        <w:tc>
          <w:tcPr>
            <w:tcW w:type="dxa" w:w="1234"/>
          </w:tcPr>
          <w:p>
            <w:r>
              <w:t>peripheral_15</w:t>
            </w:r>
          </w:p>
        </w:tc>
        <w:tc>
          <w:tcPr>
            <w:tcW w:type="dxa" w:w="1234"/>
          </w:tcPr>
          <w:p>
            <w:r>
              <w:t>5.40%</w:t>
            </w:r>
          </w:p>
        </w:tc>
        <w:tc>
          <w:tcPr>
            <w:tcW w:type="dxa" w:w="1234"/>
          </w:tcPr>
          <w:p>
            <w:r>
              <w:t>7.57%</w:t>
            </w:r>
          </w:p>
        </w:tc>
        <w:tc>
          <w:tcPr>
            <w:tcW w:type="dxa" w:w="1234"/>
          </w:tcPr>
          <w:p>
            <w:r>
              <w:t>0.733</w:t>
            </w:r>
          </w:p>
        </w:tc>
        <w:tc>
          <w:tcPr>
            <w:tcW w:type="dxa" w:w="1234"/>
          </w:tcPr>
          <w:p>
            <w:r>
              <w:t>-22.84%</w:t>
            </w:r>
          </w:p>
        </w:tc>
        <w:tc>
          <w:tcPr>
            <w:tcW w:type="dxa" w:w="1234"/>
          </w:tcPr>
          <w:p>
            <w:r>
              <w:t>21.17%</w:t>
            </w:r>
          </w:p>
        </w:tc>
        <w:tc>
          <w:tcPr>
            <w:tcW w:type="dxa" w:w="1234"/>
          </w:tcPr>
          <w:p>
            <w:r>
              <w:t>920</w:t>
            </w:r>
          </w:p>
        </w:tc>
      </w:tr>
      <w:tr>
        <w:tc>
          <w:tcPr>
            <w:tcW w:type="dxa" w:w="1234"/>
          </w:tcPr>
          <w:p>
            <w:r>
              <w:t>peripheral_20</w:t>
            </w:r>
          </w:p>
        </w:tc>
        <w:tc>
          <w:tcPr>
            <w:tcW w:type="dxa" w:w="1234"/>
          </w:tcPr>
          <w:p>
            <w:r>
              <w:t>5.84%</w:t>
            </w:r>
          </w:p>
        </w:tc>
        <w:tc>
          <w:tcPr>
            <w:tcW w:type="dxa" w:w="1234"/>
          </w:tcPr>
          <w:p>
            <w:r>
              <w:t>6.84%</w:t>
            </w:r>
          </w:p>
        </w:tc>
        <w:tc>
          <w:tcPr>
            <w:tcW w:type="dxa" w:w="1234"/>
          </w:tcPr>
          <w:p>
            <w:r>
              <w:t>0.864</w:t>
            </w:r>
          </w:p>
        </w:tc>
        <w:tc>
          <w:tcPr>
            <w:tcW w:type="dxa" w:w="1234"/>
          </w:tcPr>
          <w:p>
            <w:r>
              <w:t>-22.20%</w:t>
            </w:r>
          </w:p>
        </w:tc>
        <w:tc>
          <w:tcPr>
            <w:tcW w:type="dxa" w:w="1234"/>
          </w:tcPr>
          <w:p>
            <w:r>
              <w:t>23.03%</w:t>
            </w:r>
          </w:p>
        </w:tc>
        <w:tc>
          <w:tcPr>
            <w:tcW w:type="dxa" w:w="1234"/>
          </w:tcPr>
          <w:p>
            <w:r>
              <w:t>920</w:t>
            </w:r>
          </w:p>
        </w:tc>
      </w:tr>
      <w:tr>
        <w:tc>
          <w:tcPr>
            <w:tcW w:type="dxa" w:w="1234"/>
          </w:tcPr>
          <w:p>
            <w:r>
              <w:t>hybrid_10</w:t>
            </w:r>
          </w:p>
        </w:tc>
        <w:tc>
          <w:tcPr>
            <w:tcW w:type="dxa" w:w="1234"/>
          </w:tcPr>
          <w:p>
            <w:r>
              <w:t>10.18%</w:t>
            </w:r>
          </w:p>
        </w:tc>
        <w:tc>
          <w:tcPr>
            <w:tcW w:type="dxa" w:w="1234"/>
          </w:tcPr>
          <w:p>
            <w:r>
              <w:t>7.91%</w:t>
            </w:r>
          </w:p>
        </w:tc>
        <w:tc>
          <w:tcPr>
            <w:tcW w:type="dxa" w:w="1234"/>
          </w:tcPr>
          <w:p>
            <w:r>
              <w:t>1.266</w:t>
            </w:r>
          </w:p>
        </w:tc>
        <w:tc>
          <w:tcPr>
            <w:tcW w:type="dxa" w:w="1234"/>
          </w:tcPr>
          <w:p>
            <w:r>
              <w:t>-15.84%</w:t>
            </w:r>
          </w:p>
        </w:tc>
        <w:tc>
          <w:tcPr>
            <w:tcW w:type="dxa" w:w="1234"/>
          </w:tcPr>
          <w:p>
            <w:r>
              <w:t>42.48%</w:t>
            </w:r>
          </w:p>
        </w:tc>
        <w:tc>
          <w:tcPr>
            <w:tcW w:type="dxa" w:w="1234"/>
          </w:tcPr>
          <w:p>
            <w:r>
              <w:t>920</w:t>
            </w:r>
          </w:p>
        </w:tc>
      </w:tr>
      <w:tr>
        <w:tc>
          <w:tcPr>
            <w:tcW w:type="dxa" w:w="1234"/>
          </w:tcPr>
          <w:p>
            <w:r>
              <w:t>hybrid_15</w:t>
            </w:r>
          </w:p>
        </w:tc>
        <w:tc>
          <w:tcPr>
            <w:tcW w:type="dxa" w:w="1234"/>
          </w:tcPr>
          <w:p>
            <w:r>
              <w:t>10.25%</w:t>
            </w:r>
          </w:p>
        </w:tc>
        <w:tc>
          <w:tcPr>
            <w:tcW w:type="dxa" w:w="1234"/>
          </w:tcPr>
          <w:p>
            <w:r>
              <w:t>7.42%</w:t>
            </w:r>
          </w:p>
        </w:tc>
        <w:tc>
          <w:tcPr>
            <w:tcW w:type="dxa" w:w="1234"/>
          </w:tcPr>
          <w:p>
            <w:r>
              <w:t>1.352</w:t>
            </w:r>
          </w:p>
        </w:tc>
        <w:tc>
          <w:tcPr>
            <w:tcW w:type="dxa" w:w="1234"/>
          </w:tcPr>
          <w:p>
            <w:r>
              <w:t>-16.68%</w:t>
            </w:r>
          </w:p>
        </w:tc>
        <w:tc>
          <w:tcPr>
            <w:tcW w:type="dxa" w:w="1234"/>
          </w:tcPr>
          <w:p>
            <w:r>
              <w:t>42.81%</w:t>
            </w:r>
          </w:p>
        </w:tc>
        <w:tc>
          <w:tcPr>
            <w:tcW w:type="dxa" w:w="1234"/>
          </w:tcPr>
          <w:p>
            <w:r>
              <w:t>920</w:t>
            </w:r>
          </w:p>
        </w:tc>
      </w:tr>
      <w:tr>
        <w:tc>
          <w:tcPr>
            <w:tcW w:type="dxa" w:w="1234"/>
          </w:tcPr>
          <w:p>
            <w:r>
              <w:t>hybrid_20</w:t>
            </w:r>
          </w:p>
        </w:tc>
        <w:tc>
          <w:tcPr>
            <w:tcW w:type="dxa" w:w="1234"/>
          </w:tcPr>
          <w:p>
            <w:r>
              <w:t>9.65%</w:t>
            </w:r>
          </w:p>
        </w:tc>
        <w:tc>
          <w:tcPr>
            <w:tcW w:type="dxa" w:w="1234"/>
          </w:tcPr>
          <w:p>
            <w:r>
              <w:t>6.74%</w:t>
            </w:r>
          </w:p>
        </w:tc>
        <w:tc>
          <w:tcPr>
            <w:tcW w:type="dxa" w:w="1234"/>
          </w:tcPr>
          <w:p>
            <w:r>
              <w:t>1.400</w:t>
            </w:r>
          </w:p>
        </w:tc>
        <w:tc>
          <w:tcPr>
            <w:tcW w:type="dxa" w:w="1234"/>
          </w:tcPr>
          <w:p>
            <w:r>
              <w:t>-16.87%</w:t>
            </w:r>
          </w:p>
        </w:tc>
        <w:tc>
          <w:tcPr>
            <w:tcW w:type="dxa" w:w="1234"/>
          </w:tcPr>
          <w:p>
            <w:r>
              <w:t>39.97%</w:t>
            </w:r>
          </w:p>
        </w:tc>
        <w:tc>
          <w:tcPr>
            <w:tcW w:type="dxa" w:w="1234"/>
          </w:tcPr>
          <w:p>
            <w:r>
              <w:t>920</w:t>
            </w:r>
          </w:p>
        </w:tc>
      </w:tr>
      <w:tr>
        <w:tc>
          <w:tcPr>
            <w:tcW w:type="dxa" w:w="1234"/>
          </w:tcPr>
          <w:p>
            <w:r>
              <w:t>benchmark</w:t>
            </w:r>
          </w:p>
        </w:tc>
        <w:tc>
          <w:tcPr>
            <w:tcW w:type="dxa" w:w="1234"/>
          </w:tcPr>
          <w:p>
            <w:r>
              <w:t>7.71%</w:t>
            </w:r>
          </w:p>
        </w:tc>
        <w:tc>
          <w:tcPr>
            <w:tcW w:type="dxa" w:w="1234"/>
          </w:tcPr>
          <w:p>
            <w:r>
              <w:t>8.56%</w:t>
            </w:r>
          </w:p>
        </w:tc>
        <w:tc>
          <w:tcPr>
            <w:tcW w:type="dxa" w:w="1234"/>
          </w:tcPr>
          <w:p>
            <w:r>
              <w:t>0.911</w:t>
            </w:r>
          </w:p>
        </w:tc>
        <w:tc>
          <w:tcPr>
            <w:tcW w:type="dxa" w:w="1234"/>
          </w:tcPr>
          <w:p>
            <w:r>
              <w:t>-15.59%</w:t>
            </w:r>
          </w:p>
        </w:tc>
        <w:tc>
          <w:tcPr>
            <w:tcW w:type="dxa" w:w="1234"/>
          </w:tcPr>
          <w:p>
            <w:r>
              <w:t>31.16%</w:t>
            </w:r>
          </w:p>
        </w:tc>
        <w:tc>
          <w:tcPr>
            <w:tcW w:type="dxa" w:w="1234"/>
          </w:tcPr>
          <w:p>
            <w:r>
              <w:t>920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88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mf_estat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8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GPMF dos FIIs no período completo; tamanho e cor dos vértices indicam a centralidade de grau.</w:t>
      </w:r>
    </w:p>
    <w:p>
      <w:pPr>
        <w:pStyle w:val="Heading2"/>
      </w:pPr>
      <w:r>
        <w:rPr>
          <w:color w:val="1F3B73"/>
        </w:rPr>
        <w:t>Validação fora da amostra (resultado principal)</w:t>
      </w:r>
    </w:p>
    <w:p>
      <w:pPr>
        <w:jc w:val="both"/>
      </w:pPr>
      <w:r>
        <w:t>A Tabela 2 traz o desempenho bruto (sem custos) fora da amostra. As carteiras periféricas superam as centrais em todos os tamanhos testados (10, 15 e 20), sustentando de forma consistente a hipótese de Pozzi sem o viés de antecipação. O GPMF manteve-se planar e conexo, com 147 arestas, em todos os 25 rebalanceamentos.</w:t>
      </w:r>
    </w:p>
    <w:p>
      <w:r>
        <w:rPr>
          <w:b/>
          <w:color w:val="1F3B73"/>
        </w:rPr>
        <w:t>Tabela 2 — Desempenho fora da amostra (bruto, sem custos)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carteira</w:t>
            </w:r>
          </w:p>
        </w:tc>
        <w:tc>
          <w:tcPr>
            <w:tcW w:type="dxa" w:w="1234"/>
          </w:tcPr>
          <w:p>
            <w:r>
              <w:t>retorno_anual</w:t>
            </w:r>
          </w:p>
        </w:tc>
        <w:tc>
          <w:tcPr>
            <w:tcW w:type="dxa" w:w="1234"/>
          </w:tcPr>
          <w:p>
            <w:r>
              <w:t>vol_anual</w:t>
            </w:r>
          </w:p>
        </w:tc>
        <w:tc>
          <w:tcPr>
            <w:tcW w:type="dxa" w:w="1234"/>
          </w:tcPr>
          <w:p>
            <w:r>
              <w:t>sharpe</w:t>
            </w:r>
          </w:p>
        </w:tc>
        <w:tc>
          <w:tcPr>
            <w:tcW w:type="dxa" w:w="1234"/>
          </w:tcPr>
          <w:p>
            <w:r>
              <w:t>drawdown_max</w:t>
            </w:r>
          </w:p>
        </w:tc>
        <w:tc>
          <w:tcPr>
            <w:tcW w:type="dxa" w:w="1234"/>
          </w:tcPr>
          <w:p>
            <w:r>
              <w:t>retorno_acumulado</w:t>
            </w:r>
          </w:p>
        </w:tc>
        <w:tc>
          <w:tcPr>
            <w:tcW w:type="dxa" w:w="1234"/>
          </w:tcPr>
          <w:p>
            <w:r>
              <w:t>n_periodos</w:t>
            </w:r>
          </w:p>
        </w:tc>
      </w:tr>
      <w:tr>
        <w:tc>
          <w:tcPr>
            <w:tcW w:type="dxa" w:w="1234"/>
          </w:tcPr>
          <w:p>
            <w:r>
              <w:t>central_10</w:t>
            </w:r>
          </w:p>
        </w:tc>
        <w:tc>
          <w:tcPr>
            <w:tcW w:type="dxa" w:w="1234"/>
          </w:tcPr>
          <w:p>
            <w:r>
              <w:t>-0.06%</w:t>
            </w:r>
          </w:p>
        </w:tc>
        <w:tc>
          <w:tcPr>
            <w:tcW w:type="dxa" w:w="1234"/>
          </w:tcPr>
          <w:p>
            <w:r>
              <w:t>8.15%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-19.74%</w:t>
            </w:r>
          </w:p>
        </w:tc>
        <w:tc>
          <w:tcPr>
            <w:tcW w:type="dxa" w:w="1234"/>
          </w:tcPr>
          <w:p>
            <w:r>
              <w:t>-0.14%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central_15</w:t>
            </w:r>
          </w:p>
        </w:tc>
        <w:tc>
          <w:tcPr>
            <w:tcW w:type="dxa" w:w="1234"/>
          </w:tcPr>
          <w:p>
            <w:r>
              <w:t>1.44%</w:t>
            </w:r>
          </w:p>
        </w:tc>
        <w:tc>
          <w:tcPr>
            <w:tcW w:type="dxa" w:w="1234"/>
          </w:tcPr>
          <w:p>
            <w:r>
              <w:t>7.71%</w:t>
            </w:r>
          </w:p>
        </w:tc>
        <w:tc>
          <w:tcPr>
            <w:tcW w:type="dxa" w:w="1234"/>
          </w:tcPr>
          <w:p>
            <w:r>
              <w:t>0.223</w:t>
            </w:r>
          </w:p>
        </w:tc>
        <w:tc>
          <w:tcPr>
            <w:tcW w:type="dxa" w:w="1234"/>
          </w:tcPr>
          <w:p>
            <w:r>
              <w:t>-19.72%</w:t>
            </w:r>
          </w:p>
        </w:tc>
        <w:tc>
          <w:tcPr>
            <w:tcW w:type="dxa" w:w="1234"/>
          </w:tcPr>
          <w:p>
            <w:r>
              <w:t>3.16%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central_20</w:t>
            </w:r>
          </w:p>
        </w:tc>
        <w:tc>
          <w:tcPr>
            <w:tcW w:type="dxa" w:w="1234"/>
          </w:tcPr>
          <w:p>
            <w:r>
              <w:t>1.53%</w:t>
            </w:r>
          </w:p>
        </w:tc>
        <w:tc>
          <w:tcPr>
            <w:tcW w:type="dxa" w:w="1234"/>
          </w:tcPr>
          <w:p>
            <w:r>
              <w:t>7.66%</w:t>
            </w:r>
          </w:p>
        </w:tc>
        <w:tc>
          <w:tcPr>
            <w:tcW w:type="dxa" w:w="1234"/>
          </w:tcPr>
          <w:p>
            <w:r>
              <w:t>0.236</w:t>
            </w:r>
          </w:p>
        </w:tc>
        <w:tc>
          <w:tcPr>
            <w:tcW w:type="dxa" w:w="1234"/>
          </w:tcPr>
          <w:p>
            <w:r>
              <w:t>-18.96%</w:t>
            </w:r>
          </w:p>
        </w:tc>
        <w:tc>
          <w:tcPr>
            <w:tcW w:type="dxa" w:w="1234"/>
          </w:tcPr>
          <w:p>
            <w:r>
              <w:t>3.37%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peripheral_10</w:t>
            </w:r>
          </w:p>
        </w:tc>
        <w:tc>
          <w:tcPr>
            <w:tcW w:type="dxa" w:w="1234"/>
          </w:tcPr>
          <w:p>
            <w:r>
              <w:t>3.77%</w:t>
            </w:r>
          </w:p>
        </w:tc>
        <w:tc>
          <w:tcPr>
            <w:tcW w:type="dxa" w:w="1234"/>
          </w:tcPr>
          <w:p>
            <w:r>
              <w:t>8.63%</w:t>
            </w:r>
          </w:p>
        </w:tc>
        <w:tc>
          <w:tcPr>
            <w:tcW w:type="dxa" w:w="1234"/>
          </w:tcPr>
          <w:p>
            <w:r>
              <w:t>0.472</w:t>
            </w:r>
          </w:p>
        </w:tc>
        <w:tc>
          <w:tcPr>
            <w:tcW w:type="dxa" w:w="1234"/>
          </w:tcPr>
          <w:p>
            <w:r>
              <w:t>-21.41%</w:t>
            </w:r>
          </w:p>
        </w:tc>
        <w:tc>
          <w:tcPr>
            <w:tcW w:type="dxa" w:w="1234"/>
          </w:tcPr>
          <w:p>
            <w:r>
              <w:t>8.41%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peripheral_15</w:t>
            </w:r>
          </w:p>
        </w:tc>
        <w:tc>
          <w:tcPr>
            <w:tcW w:type="dxa" w:w="1234"/>
          </w:tcPr>
          <w:p>
            <w:r>
              <w:t>3.82%</w:t>
            </w:r>
          </w:p>
        </w:tc>
        <w:tc>
          <w:tcPr>
            <w:tcW w:type="dxa" w:w="1234"/>
          </w:tcPr>
          <w:p>
            <w:r>
              <w:t>7.73%</w:t>
            </w:r>
          </w:p>
        </w:tc>
        <w:tc>
          <w:tcPr>
            <w:tcW w:type="dxa" w:w="1234"/>
          </w:tcPr>
          <w:p>
            <w:r>
              <w:t>0.524</w:t>
            </w:r>
          </w:p>
        </w:tc>
        <w:tc>
          <w:tcPr>
            <w:tcW w:type="dxa" w:w="1234"/>
          </w:tcPr>
          <w:p>
            <w:r>
              <w:t>-20.49%</w:t>
            </w:r>
          </w:p>
        </w:tc>
        <w:tc>
          <w:tcPr>
            <w:tcW w:type="dxa" w:w="1234"/>
          </w:tcPr>
          <w:p>
            <w:r>
              <w:t>8.53%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peripheral_20</w:t>
            </w:r>
          </w:p>
        </w:tc>
        <w:tc>
          <w:tcPr>
            <w:tcW w:type="dxa" w:w="1234"/>
          </w:tcPr>
          <w:p>
            <w:r>
              <w:t>4.61%</w:t>
            </w:r>
          </w:p>
        </w:tc>
        <w:tc>
          <w:tcPr>
            <w:tcW w:type="dxa" w:w="1234"/>
          </w:tcPr>
          <w:p>
            <w:r>
              <w:t>7.16%</w:t>
            </w:r>
          </w:p>
        </w:tc>
        <w:tc>
          <w:tcPr>
            <w:tcW w:type="dxa" w:w="1234"/>
          </w:tcPr>
          <w:p>
            <w:r>
              <w:t>0.665</w:t>
            </w:r>
          </w:p>
        </w:tc>
        <w:tc>
          <w:tcPr>
            <w:tcW w:type="dxa" w:w="1234"/>
          </w:tcPr>
          <w:p>
            <w:r>
              <w:t>-19.56%</w:t>
            </w:r>
          </w:p>
        </w:tc>
        <w:tc>
          <w:tcPr>
            <w:tcW w:type="dxa" w:w="1234"/>
          </w:tcPr>
          <w:p>
            <w:r>
              <w:t>10.33%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hybrid_10</w:t>
            </w:r>
          </w:p>
        </w:tc>
        <w:tc>
          <w:tcPr>
            <w:tcW w:type="dxa" w:w="1234"/>
          </w:tcPr>
          <w:p>
            <w:r>
              <w:t>1.97%</w:t>
            </w:r>
          </w:p>
        </w:tc>
        <w:tc>
          <w:tcPr>
            <w:tcW w:type="dxa" w:w="1234"/>
          </w:tcPr>
          <w:p>
            <w:r>
              <w:t>7.87%</w:t>
            </w:r>
          </w:p>
        </w:tc>
        <w:tc>
          <w:tcPr>
            <w:tcW w:type="dxa" w:w="1234"/>
          </w:tcPr>
          <w:p>
            <w:r>
              <w:t>0.287</w:t>
            </w:r>
          </w:p>
        </w:tc>
        <w:tc>
          <w:tcPr>
            <w:tcW w:type="dxa" w:w="1234"/>
          </w:tcPr>
          <w:p>
            <w:r>
              <w:t>-19.35%</w:t>
            </w:r>
          </w:p>
        </w:tc>
        <w:tc>
          <w:tcPr>
            <w:tcW w:type="dxa" w:w="1234"/>
          </w:tcPr>
          <w:p>
            <w:r>
              <w:t>4.36%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hybrid_15</w:t>
            </w:r>
          </w:p>
        </w:tc>
        <w:tc>
          <w:tcPr>
            <w:tcW w:type="dxa" w:w="1234"/>
          </w:tcPr>
          <w:p>
            <w:r>
              <w:t>3.32%</w:t>
            </w:r>
          </w:p>
        </w:tc>
        <w:tc>
          <w:tcPr>
            <w:tcW w:type="dxa" w:w="1234"/>
          </w:tcPr>
          <w:p>
            <w:r>
              <w:t>7.60%</w:t>
            </w:r>
          </w:p>
        </w:tc>
        <w:tc>
          <w:tcPr>
            <w:tcW w:type="dxa" w:w="1234"/>
          </w:tcPr>
          <w:p>
            <w:r>
              <w:t>0.468</w:t>
            </w:r>
          </w:p>
        </w:tc>
        <w:tc>
          <w:tcPr>
            <w:tcW w:type="dxa" w:w="1234"/>
          </w:tcPr>
          <w:p>
            <w:r>
              <w:t>-18.77%</w:t>
            </w:r>
          </w:p>
        </w:tc>
        <w:tc>
          <w:tcPr>
            <w:tcW w:type="dxa" w:w="1234"/>
          </w:tcPr>
          <w:p>
            <w:r>
              <w:t>7.39%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hybrid_20</w:t>
            </w:r>
          </w:p>
        </w:tc>
        <w:tc>
          <w:tcPr>
            <w:tcW w:type="dxa" w:w="1234"/>
          </w:tcPr>
          <w:p>
            <w:r>
              <w:t>1.90%</w:t>
            </w:r>
          </w:p>
        </w:tc>
        <w:tc>
          <w:tcPr>
            <w:tcW w:type="dxa" w:w="1234"/>
          </w:tcPr>
          <w:p>
            <w:r>
              <w:t>7.60%</w:t>
            </w:r>
          </w:p>
        </w:tc>
        <w:tc>
          <w:tcPr>
            <w:tcW w:type="dxa" w:w="1234"/>
          </w:tcPr>
          <w:p>
            <w:r>
              <w:t>0.286</w:t>
            </w:r>
          </w:p>
        </w:tc>
        <w:tc>
          <w:tcPr>
            <w:tcW w:type="dxa" w:w="1234"/>
          </w:tcPr>
          <w:p>
            <w:r>
              <w:t>-19.57%</w:t>
            </w:r>
          </w:p>
        </w:tc>
        <w:tc>
          <w:tcPr>
            <w:tcW w:type="dxa" w:w="1234"/>
          </w:tcPr>
          <w:p>
            <w:r>
              <w:t>4.20%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  <w:tr>
        <w:tc>
          <w:tcPr>
            <w:tcW w:type="dxa" w:w="1234"/>
          </w:tcPr>
          <w:p>
            <w:r>
              <w:t>benchmark</w:t>
            </w:r>
          </w:p>
        </w:tc>
        <w:tc>
          <w:tcPr>
            <w:tcW w:type="dxa" w:w="1234"/>
          </w:tcPr>
          <w:p>
            <w:r>
              <w:t>4.89%</w:t>
            </w:r>
          </w:p>
        </w:tc>
        <w:tc>
          <w:tcPr>
            <w:tcW w:type="dxa" w:w="1234"/>
          </w:tcPr>
          <w:p>
            <w:r>
              <w:t>7.30%</w:t>
            </w:r>
          </w:p>
        </w:tc>
        <w:tc>
          <w:tcPr>
            <w:tcW w:type="dxa" w:w="1234"/>
          </w:tcPr>
          <w:p>
            <w:r>
              <w:t>0.690</w:t>
            </w:r>
          </w:p>
        </w:tc>
        <w:tc>
          <w:tcPr>
            <w:tcW w:type="dxa" w:w="1234"/>
          </w:tcPr>
          <w:p>
            <w:r>
              <w:t>-15.59%</w:t>
            </w:r>
          </w:p>
        </w:tc>
        <w:tc>
          <w:tcPr>
            <w:tcW w:type="dxa" w:w="1234"/>
          </w:tcPr>
          <w:p>
            <w:r>
              <w:t>10.97%</w:t>
            </w:r>
          </w:p>
        </w:tc>
        <w:tc>
          <w:tcPr>
            <w:tcW w:type="dxa" w:w="1234"/>
          </w:tcPr>
          <w:p>
            <w:r>
              <w:t>550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s_oos_bru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Retorno acumulado fora da amostra (bruto) das carteiras de tamanho 10 e do benchmark.</w:t>
      </w:r>
    </w:p>
    <w:p>
      <w:pPr>
        <w:pStyle w:val="Heading2"/>
      </w:pPr>
      <w:r>
        <w:rPr>
          <w:color w:val="1F3B73"/>
        </w:rPr>
        <w:t>Líquido de custos e tributos</w:t>
      </w:r>
    </w:p>
    <w:p>
      <w:pPr>
        <w:jc w:val="both"/>
      </w:pPr>
      <w:r>
        <w:t>A Tabela 3 compara o desempenho bruto e líquido (custos + IR). As carteiras periféricas e híbridas têm maior giro e são mais penalizadas. O benchmark passivo, sem custos de rebalanceamento, mostra-se difícil de superar no líquido.</w:t>
      </w:r>
    </w:p>
    <w:p>
      <w:r>
        <w:rPr>
          <w:b/>
          <w:color w:val="1F3B73"/>
        </w:rPr>
        <w:t>Tabela 3 — Bruto vs. líquido (custos de 0,3% e IR de 15%)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carteira</w:t>
            </w:r>
          </w:p>
        </w:tc>
        <w:tc>
          <w:tcPr>
            <w:tcW w:type="dxa" w:w="1234"/>
          </w:tcPr>
          <w:p>
            <w:r>
              <w:t>giro_medio</w:t>
            </w:r>
          </w:p>
        </w:tc>
        <w:tc>
          <w:tcPr>
            <w:tcW w:type="dxa" w:w="1234"/>
          </w:tcPr>
          <w:p>
            <w:r>
              <w:t>sharpe_bruto</w:t>
            </w:r>
          </w:p>
        </w:tc>
        <w:tc>
          <w:tcPr>
            <w:tcW w:type="dxa" w:w="1234"/>
          </w:tcPr>
          <w:p>
            <w:r>
              <w:t>ret_bruto</w:t>
            </w:r>
          </w:p>
        </w:tc>
        <w:tc>
          <w:tcPr>
            <w:tcW w:type="dxa" w:w="1234"/>
          </w:tcPr>
          <w:p>
            <w:r>
              <w:t>sharpe_liq</w:t>
            </w:r>
          </w:p>
        </w:tc>
        <w:tc>
          <w:tcPr>
            <w:tcW w:type="dxa" w:w="1234"/>
          </w:tcPr>
          <w:p>
            <w:r>
              <w:t>ret_liq</w:t>
            </w:r>
          </w:p>
        </w:tc>
        <w:tc>
          <w:tcPr>
            <w:tcW w:type="dxa" w:w="1234"/>
          </w:tcPr>
          <w:p>
            <w:r>
              <w:t>dd_liq</w:t>
            </w:r>
          </w:p>
        </w:tc>
      </w:tr>
      <w:tr>
        <w:tc>
          <w:tcPr>
            <w:tcW w:type="dxa" w:w="1234"/>
          </w:tcPr>
          <w:p>
            <w:r>
              <w:t>central_10</w:t>
            </w:r>
          </w:p>
        </w:tc>
        <w:tc>
          <w:tcPr>
            <w:tcW w:type="dxa" w:w="1234"/>
          </w:tcPr>
          <w:p>
            <w:r>
              <w:t>28.80%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-0.14%</w:t>
            </w:r>
          </w:p>
        </w:tc>
        <w:tc>
          <w:tcPr>
            <w:tcW w:type="dxa" w:w="1234"/>
          </w:tcPr>
          <w:p>
            <w:r>
              <w:t>-0.300</w:t>
            </w:r>
          </w:p>
        </w:tc>
        <w:tc>
          <w:tcPr>
            <w:tcW w:type="dxa" w:w="1234"/>
          </w:tcPr>
          <w:p>
            <w:r>
              <w:t>-5.93%</w:t>
            </w:r>
          </w:p>
        </w:tc>
        <w:tc>
          <w:tcPr>
            <w:tcW w:type="dxa" w:w="1234"/>
          </w:tcPr>
          <w:p>
            <w:r>
              <w:t>-20.52%</w:t>
            </w:r>
          </w:p>
        </w:tc>
      </w:tr>
      <w:tr>
        <w:tc>
          <w:tcPr>
            <w:tcW w:type="dxa" w:w="1234"/>
          </w:tcPr>
          <w:p>
            <w:r>
              <w:t>central_15</w:t>
            </w:r>
          </w:p>
        </w:tc>
        <w:tc>
          <w:tcPr>
            <w:tcW w:type="dxa" w:w="1234"/>
          </w:tcPr>
          <w:p>
            <w:r>
              <w:t>26.27%</w:t>
            </w:r>
          </w:p>
        </w:tc>
        <w:tc>
          <w:tcPr>
            <w:tcW w:type="dxa" w:w="1234"/>
          </w:tcPr>
          <w:p>
            <w:r>
              <w:t>0.223</w:t>
            </w:r>
          </w:p>
        </w:tc>
        <w:tc>
          <w:tcPr>
            <w:tcW w:type="dxa" w:w="1234"/>
          </w:tcPr>
          <w:p>
            <w:r>
              <w:t>3.16%</w:t>
            </w:r>
          </w:p>
        </w:tc>
        <w:tc>
          <w:tcPr>
            <w:tcW w:type="dxa" w:w="1234"/>
          </w:tcPr>
          <w:p>
            <w:r>
              <w:t>-0.130</w:t>
            </w:r>
          </w:p>
        </w:tc>
        <w:tc>
          <w:tcPr>
            <w:tcW w:type="dxa" w:w="1234"/>
          </w:tcPr>
          <w:p>
            <w:r>
              <w:t>-2.82%</w:t>
            </w:r>
          </w:p>
        </w:tc>
        <w:tc>
          <w:tcPr>
            <w:tcW w:type="dxa" w:w="1234"/>
          </w:tcPr>
          <w:p>
            <w:r>
              <w:t>-20.35%</w:t>
            </w:r>
          </w:p>
        </w:tc>
      </w:tr>
      <w:tr>
        <w:tc>
          <w:tcPr>
            <w:tcW w:type="dxa" w:w="1234"/>
          </w:tcPr>
          <w:p>
            <w:r>
              <w:t>central_20</w:t>
            </w:r>
          </w:p>
        </w:tc>
        <w:tc>
          <w:tcPr>
            <w:tcW w:type="dxa" w:w="1234"/>
          </w:tcPr>
          <w:p>
            <w:r>
              <w:t>27.60%</w:t>
            </w:r>
          </w:p>
        </w:tc>
        <w:tc>
          <w:tcPr>
            <w:tcW w:type="dxa" w:w="1234"/>
          </w:tcPr>
          <w:p>
            <w:r>
              <w:t>0.236</w:t>
            </w:r>
          </w:p>
        </w:tc>
        <w:tc>
          <w:tcPr>
            <w:tcW w:type="dxa" w:w="1234"/>
          </w:tcPr>
          <w:p>
            <w:r>
              <w:t>3.37%</w:t>
            </w:r>
          </w:p>
        </w:tc>
        <w:tc>
          <w:tcPr>
            <w:tcW w:type="dxa" w:w="1234"/>
          </w:tcPr>
          <w:p>
            <w:r>
              <w:t>-0.114</w:t>
            </w:r>
          </w:p>
        </w:tc>
        <w:tc>
          <w:tcPr>
            <w:tcW w:type="dxa" w:w="1234"/>
          </w:tcPr>
          <w:p>
            <w:r>
              <w:t>-2.54%</w:t>
            </w:r>
          </w:p>
        </w:tc>
        <w:tc>
          <w:tcPr>
            <w:tcW w:type="dxa" w:w="1234"/>
          </w:tcPr>
          <w:p>
            <w:r>
              <w:t>-19.70%</w:t>
            </w:r>
          </w:p>
        </w:tc>
      </w:tr>
      <w:tr>
        <w:tc>
          <w:tcPr>
            <w:tcW w:type="dxa" w:w="1234"/>
          </w:tcPr>
          <w:p>
            <w:r>
              <w:t>peripheral_10</w:t>
            </w:r>
          </w:p>
        </w:tc>
        <w:tc>
          <w:tcPr>
            <w:tcW w:type="dxa" w:w="1234"/>
          </w:tcPr>
          <w:p>
            <w:r>
              <w:t>55.60%</w:t>
            </w:r>
          </w:p>
        </w:tc>
        <w:tc>
          <w:tcPr>
            <w:tcW w:type="dxa" w:w="1234"/>
          </w:tcPr>
          <w:p>
            <w:r>
              <w:t>0.472</w:t>
            </w:r>
          </w:p>
        </w:tc>
        <w:tc>
          <w:tcPr>
            <w:tcW w:type="dxa" w:w="1234"/>
          </w:tcPr>
          <w:p>
            <w:r>
              <w:t>8.41%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-0.68%</w:t>
            </w:r>
          </w:p>
        </w:tc>
        <w:tc>
          <w:tcPr>
            <w:tcW w:type="dxa" w:w="1234"/>
          </w:tcPr>
          <w:p>
            <w:r>
              <w:t>-21.86%</w:t>
            </w:r>
          </w:p>
        </w:tc>
      </w:tr>
      <w:tr>
        <w:tc>
          <w:tcPr>
            <w:tcW w:type="dxa" w:w="1234"/>
          </w:tcPr>
          <w:p>
            <w:r>
              <w:t>peripheral_15</w:t>
            </w:r>
          </w:p>
        </w:tc>
        <w:tc>
          <w:tcPr>
            <w:tcW w:type="dxa" w:w="1234"/>
          </w:tcPr>
          <w:p>
            <w:r>
              <w:t>42.27%</w:t>
            </w:r>
          </w:p>
        </w:tc>
        <w:tc>
          <w:tcPr>
            <w:tcW w:type="dxa" w:w="1234"/>
          </w:tcPr>
          <w:p>
            <w:r>
              <w:t>0.524</w:t>
            </w:r>
          </w:p>
        </w:tc>
        <w:tc>
          <w:tcPr>
            <w:tcW w:type="dxa" w:w="1234"/>
          </w:tcPr>
          <w:p>
            <w:r>
              <w:t>8.53%</w:t>
            </w:r>
          </w:p>
        </w:tc>
        <w:tc>
          <w:tcPr>
            <w:tcW w:type="dxa" w:w="1234"/>
          </w:tcPr>
          <w:p>
            <w:r>
              <w:t>0.079</w:t>
            </w:r>
          </w:p>
        </w:tc>
        <w:tc>
          <w:tcPr>
            <w:tcW w:type="dxa" w:w="1234"/>
          </w:tcPr>
          <w:p>
            <w:r>
              <w:t>0.69%</w:t>
            </w:r>
          </w:p>
        </w:tc>
        <w:tc>
          <w:tcPr>
            <w:tcW w:type="dxa" w:w="1234"/>
          </w:tcPr>
          <w:p>
            <w:r>
              <w:t>-21.32%</w:t>
            </w:r>
          </w:p>
        </w:tc>
      </w:tr>
      <w:tr>
        <w:tc>
          <w:tcPr>
            <w:tcW w:type="dxa" w:w="1234"/>
          </w:tcPr>
          <w:p>
            <w:r>
              <w:t>peripheral_20</w:t>
            </w:r>
          </w:p>
        </w:tc>
        <w:tc>
          <w:tcPr>
            <w:tcW w:type="dxa" w:w="1234"/>
          </w:tcPr>
          <w:p>
            <w:r>
              <w:t>32.80%</w:t>
            </w:r>
          </w:p>
        </w:tc>
        <w:tc>
          <w:tcPr>
            <w:tcW w:type="dxa" w:w="1234"/>
          </w:tcPr>
          <w:p>
            <w:r>
              <w:t>0.665</w:t>
            </w:r>
          </w:p>
        </w:tc>
        <w:tc>
          <w:tcPr>
            <w:tcW w:type="dxa" w:w="1234"/>
          </w:tcPr>
          <w:p>
            <w:r>
              <w:t>10.33%</w:t>
            </w:r>
          </w:p>
        </w:tc>
        <w:tc>
          <w:tcPr>
            <w:tcW w:type="dxa" w:w="1234"/>
          </w:tcPr>
          <w:p>
            <w:r>
              <w:t>0.222</w:t>
            </w:r>
          </w:p>
        </w:tc>
        <w:tc>
          <w:tcPr>
            <w:tcW w:type="dxa" w:w="1234"/>
          </w:tcPr>
          <w:p>
            <w:r>
              <w:t>2.96%</w:t>
            </w:r>
          </w:p>
        </w:tc>
        <w:tc>
          <w:tcPr>
            <w:tcW w:type="dxa" w:w="1234"/>
          </w:tcPr>
          <w:p>
            <w:r>
              <w:t>-20.33%</w:t>
            </w:r>
          </w:p>
        </w:tc>
      </w:tr>
      <w:tr>
        <w:tc>
          <w:tcPr>
            <w:tcW w:type="dxa" w:w="1234"/>
          </w:tcPr>
          <w:p>
            <w:r>
              <w:t>hybrid_10</w:t>
            </w:r>
          </w:p>
        </w:tc>
        <w:tc>
          <w:tcPr>
            <w:tcW w:type="dxa" w:w="1234"/>
          </w:tcPr>
          <w:p>
            <w:r>
              <w:t>49.20%</w:t>
            </w:r>
          </w:p>
        </w:tc>
        <w:tc>
          <w:tcPr>
            <w:tcW w:type="dxa" w:w="1234"/>
          </w:tcPr>
          <w:p>
            <w:r>
              <w:t>0.287</w:t>
            </w:r>
          </w:p>
        </w:tc>
        <w:tc>
          <w:tcPr>
            <w:tcW w:type="dxa" w:w="1234"/>
          </w:tcPr>
          <w:p>
            <w:r>
              <w:t>4.36%</w:t>
            </w:r>
          </w:p>
        </w:tc>
        <w:tc>
          <w:tcPr>
            <w:tcW w:type="dxa" w:w="1234"/>
          </w:tcPr>
          <w:p>
            <w:r>
              <w:t>-0.165</w:t>
            </w:r>
          </w:p>
        </w:tc>
        <w:tc>
          <w:tcPr>
            <w:tcW w:type="dxa" w:w="1234"/>
          </w:tcPr>
          <w:p>
            <w:r>
              <w:t>-3.47%</w:t>
            </w:r>
          </w:p>
        </w:tc>
        <w:tc>
          <w:tcPr>
            <w:tcW w:type="dxa" w:w="1234"/>
          </w:tcPr>
          <w:p>
            <w:r>
              <w:t>-20.37%</w:t>
            </w:r>
          </w:p>
        </w:tc>
      </w:tr>
      <w:tr>
        <w:tc>
          <w:tcPr>
            <w:tcW w:type="dxa" w:w="1234"/>
          </w:tcPr>
          <w:p>
            <w:r>
              <w:t>hybrid_15</w:t>
            </w:r>
          </w:p>
        </w:tc>
        <w:tc>
          <w:tcPr>
            <w:tcW w:type="dxa" w:w="1234"/>
          </w:tcPr>
          <w:p>
            <w:r>
              <w:t>44.93%</w:t>
            </w:r>
          </w:p>
        </w:tc>
        <w:tc>
          <w:tcPr>
            <w:tcW w:type="dxa" w:w="1234"/>
          </w:tcPr>
          <w:p>
            <w:r>
              <w:t>0.468</w:t>
            </w:r>
          </w:p>
        </w:tc>
        <w:tc>
          <w:tcPr>
            <w:tcW w:type="dxa" w:w="1234"/>
          </w:tcPr>
          <w:p>
            <w:r>
              <w:t>7.39%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-0.50%</w:t>
            </w:r>
          </w:p>
        </w:tc>
        <w:tc>
          <w:tcPr>
            <w:tcW w:type="dxa" w:w="1234"/>
          </w:tcPr>
          <w:p>
            <w:r>
              <w:t>-19.83%</w:t>
            </w:r>
          </w:p>
        </w:tc>
      </w:tr>
      <w:tr>
        <w:tc>
          <w:tcPr>
            <w:tcW w:type="dxa" w:w="1234"/>
          </w:tcPr>
          <w:p>
            <w:r>
              <w:t>hybrid_20</w:t>
            </w:r>
          </w:p>
        </w:tc>
        <w:tc>
          <w:tcPr>
            <w:tcW w:type="dxa" w:w="1234"/>
          </w:tcPr>
          <w:p>
            <w:r>
              <w:t>40.80%</w:t>
            </w:r>
          </w:p>
        </w:tc>
        <w:tc>
          <w:tcPr>
            <w:tcW w:type="dxa" w:w="1234"/>
          </w:tcPr>
          <w:p>
            <w:r>
              <w:t>0.286</w:t>
            </w:r>
          </w:p>
        </w:tc>
        <w:tc>
          <w:tcPr>
            <w:tcW w:type="dxa" w:w="1234"/>
          </w:tcPr>
          <w:p>
            <w:r>
              <w:t>4.20%</w:t>
            </w:r>
          </w:p>
        </w:tc>
        <w:tc>
          <w:tcPr>
            <w:tcW w:type="dxa" w:w="1234"/>
          </w:tcPr>
          <w:p>
            <w:r>
              <w:t>-0.144</w:t>
            </w:r>
          </w:p>
        </w:tc>
        <w:tc>
          <w:tcPr>
            <w:tcW w:type="dxa" w:w="1234"/>
          </w:tcPr>
          <w:p>
            <w:r>
              <w:t>-2.99%</w:t>
            </w:r>
          </w:p>
        </w:tc>
        <w:tc>
          <w:tcPr>
            <w:tcW w:type="dxa" w:w="1234"/>
          </w:tcPr>
          <w:p>
            <w:r>
              <w:t>-20.57%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as_oos_liqu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Retorno acumulado fora da amostra, líquido de custos e IR.</w:t>
      </w:r>
    </w:p>
    <w:p>
      <w:pPr>
        <w:pStyle w:val="Heading2"/>
      </w:pPr>
      <w:r>
        <w:rPr>
          <w:color w:val="1F3B73"/>
        </w:rPr>
        <w:t>Significância estatística</w:t>
      </w:r>
    </w:p>
    <w:p>
      <w:pPr>
        <w:jc w:val="both"/>
      </w:pPr>
      <w:r>
        <w:t>A Tabela 4 traz o teste de Jobson-Korkie sobre as séries líquidas. As diferenças de Sharpe observadas não atingem significância a 5% na janela disponível — resultado coerente com o poder estatístico limitado de uma série fora da amostra ainda relativamente curta.</w:t>
      </w:r>
    </w:p>
    <w:p>
      <w:r>
        <w:rPr>
          <w:b/>
          <w:color w:val="1F3B73"/>
        </w:rPr>
        <w:t>Tabela 4 — Teste de Jobson-Korkie (diferença de Índice de Sharpe, líquido)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carteira A</w:t>
            </w:r>
          </w:p>
        </w:tc>
        <w:tc>
          <w:tcPr>
            <w:tcW w:type="dxa" w:w="1440"/>
          </w:tcPr>
          <w:p>
            <w:r>
              <w:t>carteira B</w:t>
            </w:r>
          </w:p>
        </w:tc>
        <w:tc>
          <w:tcPr>
            <w:tcW w:type="dxa" w:w="1440"/>
          </w:tcPr>
          <w:p>
            <w:r>
              <w:t>ΔSharpe</w:t>
            </w:r>
          </w:p>
        </w:tc>
        <w:tc>
          <w:tcPr>
            <w:tcW w:type="dxa" w:w="1440"/>
          </w:tcPr>
          <w:p>
            <w:r>
              <w:t>z</w:t>
            </w:r>
          </w:p>
        </w:tc>
        <w:tc>
          <w:tcPr>
            <w:tcW w:type="dxa" w:w="1440"/>
          </w:tcPr>
          <w:p>
            <w:r>
              <w:t>p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peripheral_10</w:t>
            </w:r>
          </w:p>
        </w:tc>
        <w:tc>
          <w:tcPr>
            <w:tcW w:type="dxa" w:w="1440"/>
          </w:tcPr>
          <w:p>
            <w:r>
              <w:t>central_10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0.540</w:t>
            </w:r>
          </w:p>
        </w:tc>
        <w:tc>
          <w:tcPr>
            <w:tcW w:type="dxa" w:w="1440"/>
          </w:tcPr>
          <w:p>
            <w:r>
              <w:t>0.589</w:t>
            </w:r>
          </w:p>
        </w:tc>
        <w:tc>
          <w:tcPr>
            <w:tcW w:type="dxa" w:w="1440"/>
          </w:tcPr>
          <w:p>
            <w:r>
              <w:t>550</w:t>
            </w:r>
          </w:p>
        </w:tc>
      </w:tr>
      <w:tr>
        <w:tc>
          <w:tcPr>
            <w:tcW w:type="dxa" w:w="1440"/>
          </w:tcPr>
          <w:p>
            <w:r>
              <w:t>hybrid_10</w:t>
            </w:r>
          </w:p>
        </w:tc>
        <w:tc>
          <w:tcPr>
            <w:tcW w:type="dxa" w:w="1440"/>
          </w:tcPr>
          <w:p>
            <w:r>
              <w:t>central_10</w:t>
            </w:r>
          </w:p>
        </w:tc>
        <w:tc>
          <w:tcPr>
            <w:tcW w:type="dxa" w:w="1440"/>
          </w:tcPr>
          <w:p>
            <w:r>
              <w:t>0.009</w:t>
            </w:r>
          </w:p>
        </w:tc>
        <w:tc>
          <w:tcPr>
            <w:tcW w:type="dxa" w:w="1440"/>
          </w:tcPr>
          <w:p>
            <w:r>
              <w:t>0.382</w:t>
            </w:r>
          </w:p>
        </w:tc>
        <w:tc>
          <w:tcPr>
            <w:tcW w:type="dxa" w:w="1440"/>
          </w:tcPr>
          <w:p>
            <w:r>
              <w:t>0.703</w:t>
            </w:r>
          </w:p>
        </w:tc>
        <w:tc>
          <w:tcPr>
            <w:tcW w:type="dxa" w:w="1440"/>
          </w:tcPr>
          <w:p>
            <w:r>
              <w:t>550</w:t>
            </w:r>
          </w:p>
        </w:tc>
      </w:tr>
      <w:tr>
        <w:tc>
          <w:tcPr>
            <w:tcW w:type="dxa" w:w="1440"/>
          </w:tcPr>
          <w:p>
            <w:r>
              <w:t>central_10</w:t>
            </w:r>
          </w:p>
        </w:tc>
        <w:tc>
          <w:tcPr>
            <w:tcW w:type="dxa" w:w="1440"/>
          </w:tcPr>
          <w:p>
            <w:r>
              <w:t>benchmark</w:t>
            </w:r>
          </w:p>
        </w:tc>
        <w:tc>
          <w:tcPr>
            <w:tcW w:type="dxa" w:w="1440"/>
          </w:tcPr>
          <w:p>
            <w:r>
              <w:t>-0.062</w:t>
            </w:r>
          </w:p>
        </w:tc>
        <w:tc>
          <w:tcPr>
            <w:tcW w:type="dxa" w:w="1440"/>
          </w:tcPr>
          <w:p>
            <w:r>
              <w:t>-1.958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550</w:t>
            </w:r>
          </w:p>
        </w:tc>
      </w:tr>
      <w:tr>
        <w:tc>
          <w:tcPr>
            <w:tcW w:type="dxa" w:w="1440"/>
          </w:tcPr>
          <w:p>
            <w:r>
              <w:t>peripheral_10</w:t>
            </w:r>
          </w:p>
        </w:tc>
        <w:tc>
          <w:tcPr>
            <w:tcW w:type="dxa" w:w="1440"/>
          </w:tcPr>
          <w:p>
            <w:r>
              <w:t>benchmark</w:t>
            </w:r>
          </w:p>
        </w:tc>
        <w:tc>
          <w:tcPr>
            <w:tcW w:type="dxa" w:w="1440"/>
          </w:tcPr>
          <w:p>
            <w:r>
              <w:t>-0.043</w:t>
            </w:r>
          </w:p>
        </w:tc>
        <w:tc>
          <w:tcPr>
            <w:tcW w:type="dxa" w:w="1440"/>
          </w:tcPr>
          <w:p>
            <w:r>
              <w:t>-1.073</w:t>
            </w:r>
          </w:p>
        </w:tc>
        <w:tc>
          <w:tcPr>
            <w:tcW w:type="dxa" w:w="1440"/>
          </w:tcPr>
          <w:p>
            <w:r>
              <w:t>0.283</w:t>
            </w:r>
          </w:p>
        </w:tc>
        <w:tc>
          <w:tcPr>
            <w:tcW w:type="dxa" w:w="1440"/>
          </w:tcPr>
          <w:p>
            <w:r>
              <w:t>550</w:t>
            </w:r>
          </w:p>
        </w:tc>
      </w:tr>
      <w:tr>
        <w:tc>
          <w:tcPr>
            <w:tcW w:type="dxa" w:w="1440"/>
          </w:tcPr>
          <w:p>
            <w:r>
              <w:t>hybrid_10</w:t>
            </w:r>
          </w:p>
        </w:tc>
        <w:tc>
          <w:tcPr>
            <w:tcW w:type="dxa" w:w="1440"/>
          </w:tcPr>
          <w:p>
            <w:r>
              <w:t>benchmark</w:t>
            </w:r>
          </w:p>
        </w:tc>
        <w:tc>
          <w:tcPr>
            <w:tcW w:type="dxa" w:w="1440"/>
          </w:tcPr>
          <w:p>
            <w:r>
              <w:t>-0.054</w:t>
            </w:r>
          </w:p>
        </w:tc>
        <w:tc>
          <w:tcPr>
            <w:tcW w:type="dxa" w:w="1440"/>
          </w:tcPr>
          <w:p>
            <w:r>
              <w:t>-1.589</w:t>
            </w:r>
          </w:p>
        </w:tc>
        <w:tc>
          <w:tcPr>
            <w:tcW w:type="dxa" w:w="1440"/>
          </w:tcPr>
          <w:p>
            <w:r>
              <w:t>0.112</w:t>
            </w:r>
          </w:p>
        </w:tc>
        <w:tc>
          <w:tcPr>
            <w:tcW w:type="dxa" w:w="1440"/>
          </w:tcPr>
          <w:p>
            <w:r>
              <w:t>550</w:t>
            </w:r>
          </w:p>
        </w:tc>
      </w:tr>
    </w:tbl>
    <w:p/>
    <w:p>
      <w:pPr>
        <w:pStyle w:val="Heading2"/>
      </w:pPr>
      <w:r>
        <w:rPr>
          <w:color w:val="1F3B73"/>
        </w:rPr>
        <w:t>Comparação GPMF × AGM (sob metodologia idêntica)</w:t>
      </w:r>
    </w:p>
    <w:p>
      <w:pPr>
        <w:jc w:val="both"/>
      </w:pPr>
      <w:r>
        <w:t>Aplicando o mesmo arcabouço à AGM (árvore com N−1 arestas) sobre exatamente o mesmo universo e janela, obtém-se a Tabela 5. O GPMF supera a AGM nas três carteiras. Estes números são uma referência interna; a comparação oficial do trabalho conjunto deve usar os resultados do braço AGM do parceiro (ver Seção “Comparação com o braço AGM”).</w:t>
      </w:r>
    </w:p>
    <w:p>
      <w:r>
        <w:rPr>
          <w:b/>
          <w:color w:val="1F3B73"/>
        </w:rPr>
        <w:t>Tabela 5 — GPMF × AGM × benchmark (carteiras de tamanho 10, líquido)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filtro</w:t>
            </w:r>
          </w:p>
        </w:tc>
        <w:tc>
          <w:tcPr>
            <w:tcW w:type="dxa" w:w="1728"/>
          </w:tcPr>
          <w:p>
            <w:r>
              <w:t>carteira</w:t>
            </w:r>
          </w:p>
        </w:tc>
        <w:tc>
          <w:tcPr>
            <w:tcW w:type="dxa" w:w="1728"/>
          </w:tcPr>
          <w:p>
            <w:r>
              <w:t>sharpe_liq</w:t>
            </w:r>
          </w:p>
        </w:tc>
        <w:tc>
          <w:tcPr>
            <w:tcW w:type="dxa" w:w="1728"/>
          </w:tcPr>
          <w:p>
            <w:r>
              <w:t>ret_liq</w:t>
            </w:r>
          </w:p>
        </w:tc>
        <w:tc>
          <w:tcPr>
            <w:tcW w:type="dxa" w:w="1728"/>
          </w:tcPr>
          <w:p>
            <w:r>
              <w:t>dd</w:t>
            </w:r>
          </w:p>
        </w:tc>
      </w:tr>
      <w:tr>
        <w:tc>
          <w:tcPr>
            <w:tcW w:type="dxa" w:w="1728"/>
          </w:tcPr>
          <w:p>
            <w:r>
              <w:t>GPMF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-0.300</w:t>
            </w:r>
          </w:p>
        </w:tc>
        <w:tc>
          <w:tcPr>
            <w:tcW w:type="dxa" w:w="1728"/>
          </w:tcPr>
          <w:p>
            <w:r>
              <w:t>-5.93%</w:t>
            </w:r>
          </w:p>
        </w:tc>
        <w:tc>
          <w:tcPr>
            <w:tcW w:type="dxa" w:w="1728"/>
          </w:tcPr>
          <w:p>
            <w:r>
              <w:t>-20.52%</w:t>
            </w:r>
          </w:p>
        </w:tc>
      </w:tr>
      <w:tr>
        <w:tc>
          <w:tcPr>
            <w:tcW w:type="dxa" w:w="1728"/>
          </w:tcPr>
          <w:p>
            <w:r>
              <w:t>GPMF</w:t>
            </w:r>
          </w:p>
        </w:tc>
        <w:tc>
          <w:tcPr>
            <w:tcW w:type="dxa" w:w="1728"/>
          </w:tcPr>
          <w:p>
            <w:r>
              <w:t>peripheral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  <w:tc>
          <w:tcPr>
            <w:tcW w:type="dxa" w:w="1728"/>
          </w:tcPr>
          <w:p>
            <w:r>
              <w:t>-0.68%</w:t>
            </w:r>
          </w:p>
        </w:tc>
        <w:tc>
          <w:tcPr>
            <w:tcW w:type="dxa" w:w="1728"/>
          </w:tcPr>
          <w:p>
            <w:r>
              <w:t>-21.86%</w:t>
            </w:r>
          </w:p>
        </w:tc>
      </w:tr>
      <w:tr>
        <w:tc>
          <w:tcPr>
            <w:tcW w:type="dxa" w:w="1728"/>
          </w:tcPr>
          <w:p>
            <w:r>
              <w:t>GPMF</w:t>
            </w:r>
          </w:p>
        </w:tc>
        <w:tc>
          <w:tcPr>
            <w:tcW w:type="dxa" w:w="1728"/>
          </w:tcPr>
          <w:p>
            <w:r>
              <w:t>hybrid</w:t>
            </w:r>
          </w:p>
        </w:tc>
        <w:tc>
          <w:tcPr>
            <w:tcW w:type="dxa" w:w="1728"/>
          </w:tcPr>
          <w:p>
            <w:r>
              <w:t>-0.165</w:t>
            </w:r>
          </w:p>
        </w:tc>
        <w:tc>
          <w:tcPr>
            <w:tcW w:type="dxa" w:w="1728"/>
          </w:tcPr>
          <w:p>
            <w:r>
              <w:t>-3.47%</w:t>
            </w:r>
          </w:p>
        </w:tc>
        <w:tc>
          <w:tcPr>
            <w:tcW w:type="dxa" w:w="1728"/>
          </w:tcPr>
          <w:p>
            <w:r>
              <w:t>-20.37%</w:t>
            </w:r>
          </w:p>
        </w:tc>
      </w:tr>
      <w:tr>
        <w:tc>
          <w:tcPr>
            <w:tcW w:type="dxa" w:w="1728"/>
          </w:tcPr>
          <w:p>
            <w:r>
              <w:t>MST</w:t>
            </w:r>
          </w:p>
        </w:tc>
        <w:tc>
          <w:tcPr>
            <w:tcW w:type="dxa" w:w="1728"/>
          </w:tcPr>
          <w:p>
            <w:r>
              <w:t>central</w:t>
            </w:r>
          </w:p>
        </w:tc>
        <w:tc>
          <w:tcPr>
            <w:tcW w:type="dxa" w:w="1728"/>
          </w:tcPr>
          <w:p>
            <w:r>
              <w:t>-0.039</w:t>
            </w:r>
          </w:p>
        </w:tc>
        <w:tc>
          <w:tcPr>
            <w:tcW w:type="dxa" w:w="1728"/>
          </w:tcPr>
          <w:p>
            <w:r>
              <w:t>-1.45%</w:t>
            </w:r>
          </w:p>
        </w:tc>
        <w:tc>
          <w:tcPr>
            <w:tcW w:type="dxa" w:w="1728"/>
          </w:tcPr>
          <w:p>
            <w:r>
              <w:t>-20.15%</w:t>
            </w:r>
          </w:p>
        </w:tc>
      </w:tr>
      <w:tr>
        <w:tc>
          <w:tcPr>
            <w:tcW w:type="dxa" w:w="1728"/>
          </w:tcPr>
          <w:p>
            <w:r>
              <w:t>MST</w:t>
            </w:r>
          </w:p>
        </w:tc>
        <w:tc>
          <w:tcPr>
            <w:tcW w:type="dxa" w:w="1728"/>
          </w:tcPr>
          <w:p>
            <w:r>
              <w:t>peripheral</w:t>
            </w:r>
          </w:p>
        </w:tc>
        <w:tc>
          <w:tcPr>
            <w:tcW w:type="dxa" w:w="1728"/>
          </w:tcPr>
          <w:p>
            <w:r>
              <w:t>-0.208</w:t>
            </w:r>
          </w:p>
        </w:tc>
        <w:tc>
          <w:tcPr>
            <w:tcW w:type="dxa" w:w="1728"/>
          </w:tcPr>
          <w:p>
            <w:r>
              <w:t>-4.49%</w:t>
            </w:r>
          </w:p>
        </w:tc>
        <w:tc>
          <w:tcPr>
            <w:tcW w:type="dxa" w:w="1728"/>
          </w:tcPr>
          <w:p>
            <w:r>
              <w:t>-25.18%</w:t>
            </w:r>
          </w:p>
        </w:tc>
      </w:tr>
      <w:tr>
        <w:tc>
          <w:tcPr>
            <w:tcW w:type="dxa" w:w="1728"/>
          </w:tcPr>
          <w:p>
            <w:r>
              <w:t>MST</w:t>
            </w:r>
          </w:p>
        </w:tc>
        <w:tc>
          <w:tcPr>
            <w:tcW w:type="dxa" w:w="1728"/>
          </w:tcPr>
          <w:p>
            <w:r>
              <w:t>hybrid</w:t>
            </w:r>
          </w:p>
        </w:tc>
        <w:tc>
          <w:tcPr>
            <w:tcW w:type="dxa" w:w="1728"/>
          </w:tcPr>
          <w:p>
            <w:r>
              <w:t>-0.396</w:t>
            </w:r>
          </w:p>
        </w:tc>
        <w:tc>
          <w:tcPr>
            <w:tcW w:type="dxa" w:w="1728"/>
          </w:tcPr>
          <w:p>
            <w:r>
              <w:t>-7.34%</w:t>
            </w:r>
          </w:p>
        </w:tc>
        <w:tc>
          <w:tcPr>
            <w:tcW w:type="dxa" w:w="1728"/>
          </w:tcPr>
          <w:p>
            <w:r>
              <w:t>-22.56%</w:t>
            </w:r>
          </w:p>
        </w:tc>
      </w:tr>
      <w:tr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0.690</w:t>
            </w:r>
          </w:p>
        </w:tc>
        <w:tc>
          <w:tcPr>
            <w:tcW w:type="dxa" w:w="1728"/>
          </w:tcPr>
          <w:p>
            <w:r>
              <w:t>10.97%</w:t>
            </w:r>
          </w:p>
        </w:tc>
        <w:tc>
          <w:tcPr>
            <w:tcW w:type="dxa" w:w="1728"/>
          </w:tcPr>
          <w:p>
            <w:r>
              <w:t>-15.59%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2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ao_gpmf_m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GPMF vs. AGM: retorno acumulado líquido das carteiras de tamanho 10.</w:t>
      </w:r>
    </w:p>
    <w:p>
      <w:pPr>
        <w:pStyle w:val="Heading1"/>
      </w:pPr>
      <w:r>
        <w:rPr>
          <w:color w:val="1F3B73"/>
        </w:rPr>
        <w:t>Discussão e Conclusões</w:t>
      </w:r>
    </w:p>
    <w:p>
      <w:pPr>
        <w:jc w:val="both"/>
      </w:pPr>
      <w:r>
        <w:t>O relatório parcial encontrou, na avaliação estática, vantagem das carteiras centrais — resultado aparentemente contrário a Pozzi et al. (2013). Com a convenção de dividendos corrigida e o universo determinístico, essa vantagem desaparece: já dentro da amostra as carteiras periféricas apresentam melhor Índice de Sharpe, e, mais importante, fora da amostra elas superam as centrais em todos os tamanhos testados, com o GPMF reconstruído a cada mês. A evidência, portanto, passa a favorecer a hipótese da periferia para os FIIs. O GPMF também supera a AGM sob metodologia idêntica, coerente com a maior quantidade de estrutura preservada pelo grafo planar.</w:t>
      </w:r>
    </w:p>
    <w:p>
      <w:pPr>
        <w:jc w:val="both"/>
      </w:pPr>
      <w:r>
        <w:t>Há, contudo, duas ressalvas importantes. Primeira: líquido de custos de transação e imposto, o benchmark passivo (IFIX) supera todas as carteiras ativas — o giro mensal das estratégias periféricas e híbridas, de maior rotatividade, corrói o ganho bruto; a carteira Central-10 chega a ficar significativamente abaixo do benchmark (p ≈ 0,05). Segunda: entre as próprias carteiras GPMF, as diferenças de Índice de Sharpe não atingem significância estatística a 5%. Assim, embora a evidência fora da amostra seja qualitativamente favorável à periferia e ao GPMF, a vantagem não sobrevive aos custos nem alcança significância — o que reforça a importância de janelas mais longas e de regras de seleção que controlem o giro em trabalhos futuros.</w:t>
      </w:r>
    </w:p>
    <w:p>
      <w:pPr>
        <w:pStyle w:val="Heading1"/>
      </w:pPr>
      <w:r>
        <w:rPr>
          <w:color w:val="1F3B73"/>
        </w:rPr>
        <w:t>Comparação com o braço AGM (a consolidar com o parceiro)</w:t>
      </w:r>
    </w:p>
    <w:p>
      <w:pPr>
        <w:jc w:val="both"/>
      </w:pPr>
      <w:r>
        <w:t>Esta seção será preenchida com os resultados do braço AGM, desenvolvido por Augusto Carneiro da Silva, para a comparação oficial do trabalho conjunto. Para que a comparação seja válida, ambos os braços precisam compartilhar exatamente as mesmas premissas. A lista abaixo detalha o que solicitar ao parceiro e quais comparações realizar.</w:t>
      </w:r>
    </w:p>
    <w:p>
      <w:pPr>
        <w:pStyle w:val="Heading2"/>
      </w:pPr>
      <w:r>
        <w:rPr>
          <w:color w:val="1F3B73"/>
        </w:rPr>
        <w:t>O que pedir ao Augusto (para alinhar as premissas)</w:t>
      </w:r>
    </w:p>
    <w:p>
      <w:pPr>
        <w:pStyle w:val="ListBullet"/>
      </w:pPr>
      <w:r>
        <w:t>Universo idêntico: a mesma lista de FIIs e a mesma janela (mesmas datas de início e fim). O ideal é compartilhar o cache data/raw/ deste projeto.</w:t>
      </w:r>
    </w:p>
    <w:p>
      <w:pPr>
        <w:pStyle w:val="ListBullet"/>
      </w:pPr>
      <w:r>
        <w:t>Mesma convenção de retorno: Rt = ln(Pt/Pt−1) sobre o fechamento AJUSTADO (sem somar dividendos, para não contar em dobro).</w:t>
      </w:r>
    </w:p>
    <w:p>
      <w:pPr>
        <w:pStyle w:val="ListBullet"/>
      </w:pPr>
      <w:r>
        <w:t>Mesmos parâmetros de janela deslizante: formação de 360 pregões, teste de 22, passo de 22.</w:t>
      </w:r>
    </w:p>
    <w:p>
      <w:pPr>
        <w:pStyle w:val="ListBullet"/>
      </w:pPr>
      <w:r>
        <w:t>Mesmas carteiras: Central, Periférica e Híbrida nos tamanhos 10, 15 e 20, com pesos iguais (1/N) e mesma medida de centralidade na ordenação.</w:t>
      </w:r>
    </w:p>
    <w:p>
      <w:pPr>
        <w:pStyle w:val="ListBullet"/>
      </w:pPr>
      <w:r>
        <w:t>Mesmos custos e tributos: 0,3% sobre o giro e 15% de IR sobre ganho de capital; dividendos isentos.</w:t>
      </w:r>
    </w:p>
    <w:p>
      <w:pPr>
        <w:pStyle w:val="ListBullet"/>
      </w:pPr>
      <w:r>
        <w:t>Mesmo benchmark: XFIX11 (proxy do IFIX).</w:t>
      </w:r>
    </w:p>
    <w:p>
      <w:pPr>
        <w:pStyle w:val="ListBullet"/>
      </w:pPr>
      <w:r>
        <w:t>Séries de retorno fora da amostra (diárias) de cada carteira da AGM, para rodar os testes de significância entre GPMF e AGM nos mesmos dias.</w:t>
      </w:r>
    </w:p>
    <w:p>
      <w:pPr>
        <w:pStyle w:val="Heading2"/>
      </w:pPr>
      <w:r>
        <w:rPr>
          <w:color w:val="1F3B73"/>
        </w:rPr>
        <w:t>Comparações a realizar</w:t>
      </w:r>
    </w:p>
    <w:p>
      <w:pPr>
        <w:pStyle w:val="ListBullet"/>
      </w:pPr>
      <w:r>
        <w:t>Tabela comparativa de Índice de Sharpe, retorno e drawdown (líquidos) GPMF × AGM, por tipo e tamanho de carteira.</w:t>
      </w:r>
    </w:p>
    <w:p>
      <w:pPr>
        <w:pStyle w:val="ListBullet"/>
      </w:pPr>
      <w:r>
        <w:t>Teste de Jobson-Korkie entre as carteiras correspondentes da GPMF e da AGM (ex.: Periférica-10 GPMF vs. Periférica-10 AGM) para verificar se a diferença estrutural entre os grafos produz diferença significativa de desempenho.</w:t>
      </w:r>
    </w:p>
    <w:p>
      <w:pPr>
        <w:pStyle w:val="ListBullet"/>
      </w:pPr>
      <w:r>
        <w:t>Curvas de retorno acumulado sobrepostas (GPMF, AGM e benchmark) no mesmo gráfico.</w:t>
      </w:r>
    </w:p>
    <w:p>
      <w:pPr>
        <w:pStyle w:val="ListBullet"/>
      </w:pPr>
      <w:r>
        <w:t>Comparação de giro médio (turnover) entre os dois filtros, já que a AGM, com menos arestas, tende a produzir rankings mais instáveis entre janelas.</w:t>
      </w:r>
    </w:p>
    <w:p>
      <w:pPr>
        <w:pStyle w:val="ListBullet"/>
      </w:pPr>
      <w:r>
        <w:t>Verificação cruzada da hipótese de Pozzi nos dois filtros (periferia × centro), para checar se a conclusão é robusta ao método de filtragem.</w:t>
      </w:r>
    </w:p>
    <w:p>
      <w:pPr>
        <w:jc w:val="both"/>
      </w:pPr>
      <w:r>
        <w:t>Observação técnica: o código já permite gerar a referência interna da AGM (scripts/05_comparacao.py); basta substituir os números pela execução oficial do parceiro quando disponíveis.</w:t>
      </w:r>
    </w:p>
    <w:p>
      <w:pPr>
        <w:pStyle w:val="Heading1"/>
      </w:pPr>
      <w:r>
        <w:rPr>
          <w:color w:val="1F3B73"/>
        </w:rPr>
        <w:t>Bibliografia</w:t>
      </w:r>
    </w:p>
    <w:p>
      <w:r>
        <w:t>ALTINOZ, M.; ALTINOZ, O. T. Systematic Initialization Approaches for Portfolio Optimization Problems. IEEE Access, 2019.</w:t>
      </w:r>
    </w:p>
    <w:p>
      <w:r>
        <w:t>MANTEGNA, R. N. Hierarchical structure in financial markets. European Physical Journal B, v. 11, p. 193–197, 1999.</w:t>
      </w:r>
    </w:p>
    <w:p>
      <w:r>
        <w:t>MARKOWITZ, H. Portfolio selection. Journal of Finance, 1952.</w:t>
      </w:r>
    </w:p>
    <w:p>
      <w:r>
        <w:t>MEMMEL, C. Performance hypothesis testing with the Sharpe ratio. Finance Letters, 2003.</w:t>
      </w:r>
    </w:p>
    <w:p>
      <w:r>
        <w:t>PERALTA, G.; ZAREEI, A. A network approach to portfolio selection. Journal of Empirical Finance, 2016.</w:t>
      </w:r>
    </w:p>
    <w:p>
      <w:r>
        <w:t>POZZI, F.; DI MATTEO, T.; ASTE, T. Spread of risk across financial markets: better to invest in the peripheries. Scientific Reports, 2013.</w:t>
      </w:r>
    </w:p>
    <w:p>
      <w:r>
        <w:t>SAHA, S.; GAO, J.; GERLACH, R. A survey of the application of graph-based approaches in stock market analysis and prediction. International Journal of Data Science and Analytics, v. 14, p. 1–15, 2022.</w:t>
      </w:r>
    </w:p>
    <w:p>
      <w:r>
        <w:t>TUMMINELLO, M.; ASTE, T.; DI MATTEO, T.; MANTEGNA, R. N. A tool for filtering information in complex systems. PNAS, v. 102, n. 30, p. 10421–10426, 2005.</w:t>
      </w:r>
    </w:p>
    <w:p>
      <w:pPr>
        <w:pStyle w:val="Heading1"/>
      </w:pPr>
      <w:r>
        <w:rPr>
          <w:color w:val="1F3B73"/>
        </w:rPr>
        <w:t>Perspectivas de continuidade</w:t>
      </w:r>
    </w:p>
    <w:p>
      <w:pPr>
        <w:jc w:val="both"/>
      </w:pPr>
      <w:r>
        <w:t>Os próximos passos incluem: (i) estender a janela de dados para aumentar o poder estatístico dos testes fora da amostra; (ii) incorporar a centralidade de autovetor e esquemas de ponderação por risco na regra de seleção; (iii) consolidar a comparação oficial GPMF × AGM com o parceiro; e (iv) redigir o artigo científico para submissão a periódico ou conferência de finanças quantitativas.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