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40"/>
        <w:jc w:val="center"/>
      </w:pPr>
      <w:r>
        <w:rPr>
          <w:b/>
          <w:bCs/>
          <w:color w:val="1F4E79"/>
          <w:sz w:val="52"/>
          <w:szCs w:val="52"/>
        </w:rPr>
        <w:t xml:space="preserve">AI 발전의 현황과 과제</w:t>
      </w:r>
    </w:p>
    <w:p>
      <w:pPr>
        <w:spacing w:after="1200"/>
        <w:jc w:val="center"/>
      </w:pPr>
      <w:r>
        <w:rPr>
          <w:color w:val="404040"/>
          <w:sz w:val="28"/>
          <w:szCs w:val="28"/>
        </w:rPr>
        <w:t xml:space="preserve">기술·경제·사회·규제 측면에서 본 2026년 인공지능</w:t>
      </w:r>
    </w:p>
    <w:p>
      <w:pPr>
        <w:jc w:val="center"/>
      </w:pPr>
      <w:r>
        <w:rPr>
          <w:sz w:val="22"/>
          <w:szCs w:val="22"/>
        </w:rPr>
        <w:t xml:space="preserve">작성일: 2026년 10월 4일</w:t>
      </w:r>
    </w:p>
    <w:p>
      <w:pPr>
        <w:jc w:val="center"/>
      </w:pPr>
      <w:r>
        <w:rPr>
          <w:color w:val="595959"/>
          <w:sz w:val="22"/>
          <w:szCs w:val="22"/>
        </w:rPr>
        <w:t xml:space="preserve">자료 출처: research 폴더 자료조사 정리본 3종</w:t>
      </w:r>
    </w:p>
    <w:p>
      <w:r>
        <w:br w:type="page"/>
      </w:r>
    </w:p>
    <w:p>
      <w:pPr>
        <w:pStyle w:val="Heading1"/>
      </w:pPr>
      <w:r>
        <w:t xml:space="preserve">Ⅰ. 서론</w:t>
      </w:r>
    </w:p>
    <w:p>
      <w:pPr>
        <w:pStyle w:val="Heading2"/>
      </w:pPr>
      <w:r>
        <w:t xml:space="preserve">1. 연구 배경</w:t>
      </w:r>
    </w:p>
    <w:p>
      <w:pPr>
        <w:spacing w:after="160" w:line="360"/>
        <w:jc w:val="both"/>
      </w:pPr>
      <w:r>
        <w:t xml:space="preserve">인공지능(AI)은 2020년대 들어 가장 빠르게 발전하는 기술 분야가 되었다. 생성형 AI가 대중에게 알려진 지 불과 몇 년 만에 AI는 연구실의 실험 대상에서 기업의 핵심 인프라이자 일상의 도구로 자리 잡았다. 스탠퍼드 HAI의 「AI Index 2026」에 따르면 조직의 88%가 AI를 도입했고, 생성형 AI는 인구의 53%에 보급되어 PC나 인터넷보다 빠른 확산 속도를 보이고 있다.</w:t>
      </w:r>
    </w:p>
    <w:p>
      <w:pPr>
        <w:spacing w:after="160" w:line="360"/>
        <w:jc w:val="both"/>
      </w:pPr>
      <w:r>
        <w:t xml:space="preserve">그러나 기술의 속도가 빨라질수록 고용, 에너지, 안전, 규제 등 사회 전반에 미치는 파급 효과도 커지고 있다. AI 발전을 기술적 성과만으로 평가하기보다, 그것이 경제와 사회에 어떤 기회와 과제를 동시에 던지는지 균형 있게 살펴볼 필요가 있다.</w:t>
      </w:r>
    </w:p>
    <w:p>
      <w:pPr>
        <w:pStyle w:val="Heading2"/>
      </w:pPr>
      <w:r>
        <w:t xml:space="preserve">2. 연구 목적 및 범위</w:t>
      </w:r>
    </w:p>
    <w:p>
      <w:pPr>
        <w:spacing w:after="160" w:line="360"/>
        <w:jc w:val="both"/>
      </w:pPr>
      <w:r>
        <w:t xml:space="preserve">본 보고서는 2026년 10월 기준으로 공개된 자료를 바탕으로 AI 발전의 현황을 정리하고, 그 의미와 과제를 도출하는 것을 목적으로 한다. 분석 범위는 다음 네 가지 영역이다.</w:t>
      </w:r>
    </w:p>
    <w:p>
      <w:pPr>
        <w:pStyle w:val="ListParagraph"/>
        <w:numPr>
          <w:ilvl w:val="0"/>
          <w:numId w:val="2"/>
        </w:numPr>
        <w:spacing w:after="80" w:line="340"/>
      </w:pPr>
      <w:r>
        <w:t xml:space="preserve">기술 동향: 모델 성능, 프런티어 경쟁, 에이전트형 AI</w:t>
      </w:r>
    </w:p>
    <w:p>
      <w:pPr>
        <w:pStyle w:val="ListParagraph"/>
        <w:numPr>
          <w:ilvl w:val="0"/>
          <w:numId w:val="2"/>
        </w:numPr>
        <w:spacing w:after="80" w:line="340"/>
      </w:pPr>
      <w:r>
        <w:t xml:space="preserve">산업·투자: 글로벌 AI 투자 규모와 도입 현황</w:t>
      </w:r>
    </w:p>
    <w:p>
      <w:pPr>
        <w:pStyle w:val="ListParagraph"/>
        <w:numPr>
          <w:ilvl w:val="0"/>
          <w:numId w:val="2"/>
        </w:numPr>
        <w:spacing w:after="80" w:line="340"/>
      </w:pPr>
      <w:r>
        <w:t xml:space="preserve">사회·경제적 영향: 고용, 에너지, 과학·의료, 안전</w:t>
      </w:r>
    </w:p>
    <w:p>
      <w:pPr>
        <w:pStyle w:val="ListParagraph"/>
        <w:numPr>
          <w:ilvl w:val="0"/>
          <w:numId w:val="2"/>
        </w:numPr>
        <w:spacing w:after="80" w:line="340"/>
      </w:pPr>
      <w:r>
        <w:t xml:space="preserve">규제·거버넌스: 한국 인공지능 기본법과 EU AI Act</w:t>
      </w:r>
    </w:p>
    <w:p>
      <w:pPr>
        <w:pStyle w:val="Heading1"/>
      </w:pPr>
      <w:r>
        <w:t xml:space="preserve">Ⅱ. 본론</w:t>
      </w:r>
    </w:p>
    <w:p>
      <w:pPr>
        <w:pStyle w:val="Heading2"/>
      </w:pPr>
      <w:r>
        <w:t xml:space="preserve">1. 기술 발전 동향</w:t>
      </w:r>
    </w:p>
    <w:p>
      <w:pPr>
        <w:pStyle w:val="Heading3"/>
      </w:pPr>
      <w:r>
        <w:t xml:space="preserve">1) 정체가 아닌 가속</w:t>
      </w:r>
    </w:p>
    <w:p>
      <w:pPr>
        <w:spacing w:after="160" w:line="360"/>
        <w:jc w:val="both"/>
      </w:pPr>
      <w:r>
        <w:t xml:space="preserve">AI Index 2026은 AI 역량이 "정체가 아니라 가속 중"이라고 진단한다. 대표적으로 실제 소프트웨어 문제 해결 능력을 측정하는 코딩 벤치마크 SWE-bench 점수가 1년 사이 약 60%에서 100%에 가까운 수준으로 뛰어올랐다. 박사급 과학 문제, 멀티모달 추론, 경시대회 수학 등에서도 AI는 인간 수준과 같거나 이를 넘어섰다.</w:t>
      </w:r>
    </w:p>
    <w:p>
      <w:pPr>
        <w:spacing w:after="160" w:line="360"/>
        <w:jc w:val="both"/>
      </w:pPr>
      <w:r>
        <w:t xml:space="preserve">다만 능력이 고르게 발전한 것은 아니다. 국제수학올림피아드에서 금메달 수준의 성과를 내는 모델이 아날로그 시계를 읽는 문제에서는 50.1%의 정답률에 그쳤다. 이처럼 영역별로 성능 편차가 큰 현상을 </w:t>
      </w:r>
      <w:r>
        <w:rPr>
          <w:b/>
          <w:bCs/>
        </w:rPr>
        <w:t xml:space="preserve">"들쭉날쭉한 프런티어(Jagged Frontier)"</w:t>
      </w:r>
      <w:r>
        <w:t xml:space="preserve">라고 부르며, 이는 AI를 실제 업무에 투입할 때 신중한 검증이 여전히 필요함을 보여준다.</w:t>
      </w:r>
    </w:p>
    <w:p>
      <w:pPr>
        <w:pStyle w:val="Heading3"/>
      </w:pPr>
      <w:r>
        <w:t xml:space="preserve">2) 프런티어 모델 경쟁의 평준화</w:t>
      </w:r>
    </w:p>
    <w:p>
      <w:pPr>
        <w:spacing w:after="160" w:line="360"/>
        <w:jc w:val="both"/>
      </w:pPr>
      <w:r>
        <w:t xml:space="preserve">2025년 GPT-5, Claude Opus 계열, Gemini 2.5 Pro 등의 출시가 2026년 경쟁 구도를 형성했으며, 선도 연구소 간 성능 격차는 한 자릿수 %포인트 수준으로 좁혀졌다. 특히 미국과 중국 간 모델 성능 격차는 사실상 해소되어 2025년 초 이후 선두가 여러 차례 뒤바뀌었다. 중국은 논문 수·인용·특허 건수에서 앞서고, 미국은 영향력 높은 특허와 최상위 모델 수에서 우위를 유지하고 있다. 기술적으로는 전문가 혼합(MoE) 구조와 수백만 토큰 규모의 긴 컨텍스트가 주요 방향으로 꼽힌다.</w:t>
      </w:r>
    </w:p>
    <w:p>
      <w:pPr>
        <w:pStyle w:val="Heading3"/>
      </w:pPr>
      <w:r>
        <w:t xml:space="preserve">3) 에이전트형 AI의 실전 투입</w:t>
      </w:r>
    </w:p>
    <w:p>
      <w:pPr>
        <w:spacing w:after="160" w:line="360"/>
        <w:jc w:val="both"/>
      </w:pPr>
      <w:r>
        <w:t xml:space="preserve">2026년 AI 논의의 중심은 "AI가 콘텐츠를 생성할 수 있는가"에서 "자율 에이전트가 여러 단계의 업무를 끝까지 완수할 수 있는가"로 이동했다. AI 에이전트는 고객지원 티켓 처리, 데이터 조회, 환불 처리, CRM 갱신, 코드 변경 제출 등 실제 업무를 점점 적은 사람의 감독으로 수행하고 있다. 2025년까지는 시연 수준에 머물렀던 에이전트 기술이 2026년 중반에는 좁은 업무 영역에서 실용화 단계에 도달했다. 다음 과제로는 서로 다른 에이전트가 표준 프로토콜로 소통하는 상호운용성, 즉 "에이전트 경제"의 구축이 거론된다.</w:t>
      </w:r>
    </w:p>
    <w:p>
      <w:pPr>
        <w:pStyle w:val="Heading2"/>
      </w:pPr>
      <w:r>
        <w:t xml:space="preserve">2. 투자 및 산업 도입 현황</w:t>
      </w:r>
    </w:p>
    <w:p>
      <w:pPr>
        <w:spacing w:after="160" w:line="360"/>
        <w:jc w:val="both"/>
      </w:pPr>
      <w:r>
        <w:t xml:space="preserve">기술 발전은 막대한 자본 유입과 맞물려 있다. AI Index 2026에 따르면 2025년 글로벌 기업 AI 투자는 전년 대비 두 배 이상 증가했으며, 그중 생성형 AI가 민간 투자의 약 절반을 차지했다.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항목 (2025년 기준)</w:t>
            </w:r>
          </w:p>
        </w:tc>
        <w:tc>
          <w:tcPr>
            <w:tcW w:type="dxa" w:w="48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수치</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글로벌 기업 AI 투자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5,816.9억 달러 (전년 대비 +129.9%)</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민간 AI 투자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3,447억 달러 (+127.5%)</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생성형 AI 민간 투자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1,709억 달러 (200% 이상 증가)</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미국 민간 AI 투자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2,859억 달러 (중국 124억 달러의 23배 이상)</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조직의 AI 도입률</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88%</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생성형 AI 인구 보급률</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53%</w:t>
            </w:r>
          </w:p>
        </w:tc>
      </w:tr>
    </w:tbl>
    <w:p>
      <w:pPr>
        <w:spacing w:after="240" w:before="80"/>
        <w:jc w:val="center"/>
      </w:pPr>
      <w:r>
        <w:rPr>
          <w:color w:val="595959"/>
          <w:sz w:val="18"/>
          <w:szCs w:val="18"/>
        </w:rPr>
        <w:t xml:space="preserve">[표 1] AI 투자 및 도입 주요 지표 (출처: Stanford AI Index 2026)</w:t>
      </w:r>
    </w:p>
    <w:p>
      <w:pPr>
        <w:spacing w:after="160" w:line="360"/>
        <w:jc w:val="both"/>
      </w:pPr>
      <w:r>
        <w:t xml:space="preserve">신규 투자를 유치한 AI 기업 수는 71% 늘었고 10억 달러 이상 대형 투자 건수도 약 두 배가 되었다. 모델 성능에서는 미·중 격차가 좁혀졌지만, 투자 규모에서는 미국이 압도적 우위를 보인다는 점이 대조적이다.</w:t>
      </w:r>
    </w:p>
    <w:p>
      <w:pPr>
        <w:pStyle w:val="Heading2"/>
      </w:pPr>
      <w:r>
        <w:t xml:space="preserve">3. 사회·경제적 영향</w:t>
      </w:r>
    </w:p>
    <w:p>
      <w:pPr>
        <w:pStyle w:val="Heading3"/>
      </w:pPr>
      <w:r>
        <w:t xml:space="preserve">1) 고용과 노동시장</w:t>
      </w:r>
    </w:p>
    <w:p>
      <w:pPr>
        <w:spacing w:after="160" w:line="360"/>
        <w:jc w:val="both"/>
      </w:pPr>
      <w:r>
        <w:t xml:space="preserve">AI가 일자리에 미치는 영향은 "대량 실업"보다는 "채용 둔화"의 형태로 나타나고 있다. 2026년 1~8월 미국 기업이 발표한 감원 중 AI를 사유로 든 것은 116,175건으로 전체의 약 22%였지만, 리치먼드 연준의 CFO 설문에서 기업들이 보고한 인원 감축 효과는 평균적으로 0에 가까웠다. 즉 기존 인력을 대규모로 해고하기보다 신규 채용을 줄이는 방식으로 영향이 누적되고 있다.</w:t>
      </w:r>
    </w:p>
    <w:p>
      <w:pPr>
        <w:spacing w:after="160" w:line="360"/>
        <w:jc w:val="both"/>
      </w:pPr>
      <w:r>
        <w:t xml:space="preserve">근로자의 인식은 양면적이다. 2026년 2월 Gallup 조사(미국 근로자 23,717명)에서 18%는 5년 내 AI로 일자리가 사라질 수 있다고 우려했지만, AI 도입 조직 근로자의 65%는 AI가 생산성 향상에 도움이 되었다고 답했다. 기업의 AI 도입 목적 역시 프로세스 효율화(64%)와 직원 생산성(59%)이 인력 감축(24%)보다 훨씬 높았다. 한편 전문가와 일반 대중은 "AI가 업무에 도움이 될 것인가"에 대해 50%포인트나 인식 차이를 보여, 사회적 공감대 형성이 과제로 남아 있다.</w:t>
      </w:r>
    </w:p>
    <w:p>
      <w:pPr>
        <w:pStyle w:val="Heading3"/>
      </w:pPr>
      <w:r>
        <w:t xml:space="preserve">2) 에너지와 환경</w:t>
      </w:r>
    </w:p>
    <w:p>
      <w:pPr>
        <w:spacing w:after="160" w:line="360"/>
        <w:jc w:val="both"/>
      </w:pPr>
      <w:r>
        <w:t xml:space="preserve">AI 확산의 물리적 비용은 전력 수요로 드러난다. 국제에너지기구(IEA)에 따르면 2025년 데이터센터 전력 수요는 17% 증가해 전 세계 전체 전력 수요 증가율(3%)의 5배를 넘었다. 빅테크의 AI 인프라 투자는 2025년 4,000억 달러를 넘었고 2026년 약 75% 더 늘어날 수 있다. IEA는 2030년까지 데이터센터 전력 수요가 두 배, AI 관련 수요는 세 배로 늘어날 것으로 전망한다. 작업당 에너지 효율은 개선되고 있지만 전체 사용량이 그보다 빠르게 증가하고 있어, 전력망 확충과 탄소중립 목표 사이의 조율이 중요한 정책 과제가 되었다.</w:t>
      </w:r>
    </w:p>
    <w:p>
      <w:pPr>
        <w:pStyle w:val="Heading3"/>
      </w:pPr>
      <w:r>
        <w:t xml:space="preserve">3) 과학과 의료</w:t>
      </w:r>
    </w:p>
    <w:p>
      <w:pPr>
        <w:spacing w:after="160" w:line="360"/>
        <w:jc w:val="both"/>
      </w:pPr>
      <w:r>
        <w:t xml:space="preserve">AI는 과학 연구와 의료 분야에서도 실질적 성과를 내기 시작했다. 2026년 ASCO 분석에 따르면 63개 기업의 AI 기반 치료제 후보 117건이 인체 임상에 진입했고, Insilico Medicine의 렌토서팁은 2026년 7월 특발성 폐섬유증 치료제로 임상 3상에 들어갔다. 다만 2026년 7월 기준 AI로 설계된 신약 중 FDA 최종 승인을 받은 사례는 아직 없다. 의료기기 분야에서는 FDA 승인 AI 의료기기가 400건을 넘어섰고, FDA는 2026년 8월 생성형 AI 의료기기에 대한 위험 비례 규제 논의안을 공개했다.</w:t>
      </w:r>
    </w:p>
    <w:p>
      <w:pPr>
        <w:pStyle w:val="Heading3"/>
      </w:pPr>
      <w:r>
        <w:t xml:space="preserve">4) 안전과 신뢰</w:t>
      </w:r>
    </w:p>
    <w:p>
      <w:pPr>
        <w:spacing w:after="160" w:line="360"/>
        <w:jc w:val="both"/>
      </w:pPr>
      <w:r>
        <w:t xml:space="preserve">기술의 속도에 비해 안전 체계는 뒤처지고 있다. AI Index 2026에 기록된 AI 사고 건수는 233건에서 362건으로 늘었고, 미국 중·고등학교 가운데 AI 정책을 갖춘 곳은 절반 수준에 불과하다. 보고서는 이를 "거버넌스 지연"으로 요약한다.</w:t>
      </w:r>
    </w:p>
    <w:p>
      <w:pPr>
        <w:pStyle w:val="Heading2"/>
      </w:pPr>
      <w:r>
        <w:t xml:space="preserve">4. 규제와 거버넌스</w:t>
      </w:r>
    </w:p>
    <w:p>
      <w:pPr>
        <w:spacing w:after="160" w:line="360"/>
        <w:jc w:val="both"/>
      </w:pPr>
      <w:r>
        <w:t xml:space="preserve">주요국은 AI 규제 체계를 마련하고 있으나 그 속도와 방향은 엇갈린다. 한국의 「인공지능 기본법」은 2026년 1월 22일 시행되었고, 7월 21일 시행령과 함께 본격 적용되었다. 이는 아시아 최초의 포괄적 AI 법률로, 신용·의료·채용처럼 사람을 평가하는 "고영향 AI"에 실제 의무를 부과한 첫 사례다. 사업자는 안전성·신뢰성 확보 조치를 문서화해 5년간 보관하고, AI와 학습 데이터의 설명가능성을 확보해야 한다.</w:t>
      </w:r>
    </w:p>
    <w:p>
      <w:pPr>
        <w:spacing w:after="160" w:line="360"/>
        <w:jc w:val="both"/>
      </w:pPr>
      <w:r>
        <w:t xml:space="preserve">반면 EU는 2026년 6월 고위험 AI 의무 적용 시점을 2026년 8월에서 2027년 12월로 연기했다. 한국 법의 "고영향 AI" 정의는 EU AI Act의 "고위험 시스템"과 사실상 동일하지만, 제재를 통한 강제력이 약하고 출시 전 의무 인증 절차가 없다는 차이가 있다. 결과적으로 한국은 "빠르게, 그러나 유연하게", EU는 "엄격하게, 그러나 늦게"라는 서로 다른 경로를 택한 셈이며, 글로벌 기업은 복수의 규제 체계에 동시에 대응해야 하는 부담을 안게 되었다.</w:t>
      </w:r>
    </w:p>
    <w:p>
      <w:pPr>
        <w:pStyle w:val="Heading1"/>
      </w:pPr>
      <w:r>
        <w:t xml:space="preserve">Ⅲ. 결론</w:t>
      </w:r>
    </w:p>
    <w:p>
      <w:pPr>
        <w:pStyle w:val="Heading2"/>
      </w:pPr>
      <w:r>
        <w:t xml:space="preserve">1. 요약</w:t>
      </w:r>
    </w:p>
    <w:p>
      <w:pPr>
        <w:spacing w:after="160" w:line="360"/>
        <w:jc w:val="both"/>
      </w:pPr>
      <w:r>
        <w:t xml:space="preserve">2026년의 AI는 성능 향상이 가속되는 가운데 생성 도구에서 실제 업무를 수행하는 에이전트로 진화하고 있다. 막대한 투자와 빠른 보급이 이를 뒷받침하고 있으며, 과학·의료 분야에서도 구체적 성과가 나타나고 있다. 동시에 고용 구조의 변화, 급증하는 전력 수요, 늘어나는 AI 사고, 국가별로 엇갈리는 규제 등 해결해야 할 과제도 분명해졌다.</w:t>
      </w:r>
    </w:p>
    <w:p>
      <w:pPr>
        <w:pStyle w:val="Heading2"/>
      </w:pPr>
      <w:r>
        <w:t xml:space="preserve">2. 시사점 및 제언</w:t>
      </w:r>
    </w:p>
    <w:p>
      <w:pPr>
        <w:pStyle w:val="ListParagraph"/>
        <w:numPr>
          <w:ilvl w:val="0"/>
          <w:numId w:val="2"/>
        </w:numPr>
        <w:spacing w:after="80" w:line="340"/>
      </w:pPr>
      <w:r>
        <w:t xml:space="preserve">검증 중심의 도입: 성능이 고르지 않은 "들쭉날쭉한 프런티어"를 고려해, AI를 업무에 적용할 때 영역별 검증과 사람의 감독 체계를 함께 설계해야 한다.</w:t>
      </w:r>
    </w:p>
    <w:p>
      <w:pPr>
        <w:pStyle w:val="ListParagraph"/>
        <w:numPr>
          <w:ilvl w:val="0"/>
          <w:numId w:val="2"/>
        </w:numPr>
        <w:spacing w:after="80" w:line="340"/>
      </w:pPr>
      <w:r>
        <w:t xml:space="preserve">인적 역량 전환: 영향이 채용 둔화로 나타나는 만큼, 신규 진입 인력과 재직자를 위한 AI 활용 교육·재교육 투자를 확대해야 한다.</w:t>
      </w:r>
    </w:p>
    <w:p>
      <w:pPr>
        <w:pStyle w:val="ListParagraph"/>
        <w:numPr>
          <w:ilvl w:val="0"/>
          <w:numId w:val="2"/>
        </w:numPr>
        <w:spacing w:after="80" w:line="340"/>
      </w:pPr>
      <w:r>
        <w:t xml:space="preserve">지속 가능한 인프라: 데이터센터 전력 수요 급증에 대응해 재생에너지 연계와 에너지 효율 기준을 AI 인프라 정책에 포함해야 한다.</w:t>
      </w:r>
    </w:p>
    <w:p>
      <w:pPr>
        <w:pStyle w:val="ListParagraph"/>
        <w:numPr>
          <w:ilvl w:val="0"/>
          <w:numId w:val="2"/>
        </w:numPr>
        <w:spacing w:after="80" w:line="340"/>
      </w:pPr>
      <w:r>
        <w:t xml:space="preserve">실효성 있는 거버넌스: 한국은 인공지능 기본법의 조기 시행 경험을 살려 고영향 AI 관리 체계를 정교화하고, EU 등 주요국 규제와의 상호 호환성을 확보해야 한다.</w:t>
      </w:r>
    </w:p>
    <w:p>
      <w:pPr>
        <w:pStyle w:val="Heading2"/>
      </w:pPr>
      <w:r>
        <w:t xml:space="preserve">3. 맺음말</w:t>
      </w:r>
    </w:p>
    <w:p>
      <w:pPr>
        <w:spacing w:after="160" w:line="360"/>
        <w:jc w:val="both"/>
      </w:pPr>
      <w:r>
        <w:t xml:space="preserve">AI 발전은 더 이상 "가능한가"의 문제가 아니라 "어떻게 활용하고 관리할 것인가"의 문제가 되었다. 기술의 속도를 사회의 준비 속도와 맞추는 일, 즉 혁신과 신뢰의 균형을 찾는 것이 앞으로 AI 시대의 핵심 과제가 될 것이다.</w:t>
      </w:r>
    </w:p>
    <w:p>
      <w:pPr>
        <w:pStyle w:val="Heading1"/>
      </w:pPr>
      <w:r>
        <w:t xml:space="preserve">참고문헌</w:t>
      </w:r>
    </w:p>
    <w:p>
      <w:pPr>
        <w:pStyle w:val="ListParagraph"/>
        <w:numPr>
          <w:ilvl w:val="0"/>
          <w:numId w:val="2"/>
        </w:numPr>
        <w:spacing w:after="80" w:line="340"/>
      </w:pPr>
      <w:r>
        <w:t xml:space="preserve">Stanford HAI, AI Index Report 2026 (2026.04)</w:t>
      </w:r>
    </w:p>
    <w:p>
      <w:pPr>
        <w:pStyle w:val="ListParagraph"/>
        <w:numPr>
          <w:ilvl w:val="0"/>
          <w:numId w:val="2"/>
        </w:numPr>
        <w:spacing w:after="80" w:line="340"/>
      </w:pPr>
      <w:r>
        <w:t xml:space="preserve">Burges Salmon, "AI in 2026: what does Stanford's AI Index tell us" / "AI and the economy"</w:t>
      </w:r>
    </w:p>
    <w:p>
      <w:pPr>
        <w:pStyle w:val="ListParagraph"/>
        <w:numPr>
          <w:ilvl w:val="0"/>
          <w:numId w:val="2"/>
        </w:numPr>
        <w:spacing w:after="80" w:line="340"/>
      </w:pPr>
      <w:r>
        <w:t xml:space="preserve">Federal Reserve Bank of Richmond, "How Might AI Change the Workplace?" (2026.03)</w:t>
      </w:r>
    </w:p>
    <w:p>
      <w:pPr>
        <w:pStyle w:val="ListParagraph"/>
        <w:numPr>
          <w:ilvl w:val="0"/>
          <w:numId w:val="2"/>
        </w:numPr>
        <w:spacing w:after="80" w:line="340"/>
      </w:pPr>
      <w:r>
        <w:t xml:space="preserve">S&amp;P Global, The AI and Labor Landscape 2026</w:t>
      </w:r>
    </w:p>
    <w:p>
      <w:pPr>
        <w:pStyle w:val="ListParagraph"/>
        <w:numPr>
          <w:ilvl w:val="0"/>
          <w:numId w:val="2"/>
        </w:numPr>
        <w:spacing w:after="80" w:line="340"/>
      </w:pPr>
      <w:r>
        <w:t xml:space="preserve">Cognizant, New Work, New World 2026 (2026.01)</w:t>
      </w:r>
    </w:p>
    <w:p>
      <w:pPr>
        <w:pStyle w:val="ListParagraph"/>
        <w:numPr>
          <w:ilvl w:val="0"/>
          <w:numId w:val="2"/>
        </w:numPr>
        <w:spacing w:after="80" w:line="340"/>
      </w:pPr>
      <w:r>
        <w:t xml:space="preserve">IEA 관련 보도: W.Media, Enlit, David Mytton (2026)</w:t>
      </w:r>
    </w:p>
    <w:p>
      <w:pPr>
        <w:pStyle w:val="ListParagraph"/>
        <w:numPr>
          <w:ilvl w:val="0"/>
          <w:numId w:val="2"/>
        </w:numPr>
        <w:spacing w:after="80" w:line="340"/>
      </w:pPr>
      <w:r>
        <w:t xml:space="preserve">IntuitionLabs, "AI-discovered drugs in clinical trials 2026" / "AI drug discovery FDA approvals"</w:t>
      </w:r>
    </w:p>
    <w:p>
      <w:pPr>
        <w:pStyle w:val="ListParagraph"/>
        <w:numPr>
          <w:ilvl w:val="0"/>
          <w:numId w:val="2"/>
        </w:numPr>
        <w:spacing w:after="80" w:line="340"/>
      </w:pPr>
      <w:r>
        <w:t xml:space="preserve">Cooley, Linklaters, Law.asia, "South Korea's AI Basic Act" 분석 자료</w:t>
      </w:r>
    </w:p>
    <w:p>
      <w:pPr>
        <w:pStyle w:val="ListParagraph"/>
        <w:numPr>
          <w:ilvl w:val="0"/>
          <w:numId w:val="2"/>
        </w:numPr>
        <w:spacing w:after="80" w:line="340"/>
      </w:pPr>
      <w:r>
        <w:t xml:space="preserve">InfoWorld, Future AGI, Hexaware, 2026 AI 트렌드 리포트</w:t>
      </w:r>
    </w:p>
    <w:p>
      <w:pPr>
        <w:spacing w:after="160" w:line="360"/>
        <w:jc w:val="both"/>
      </w:pPr>
      <w:r>
        <w:rPr>
          <w:color w:val="595959"/>
          <w:sz w:val="18"/>
          <w:szCs w:val="18"/>
        </w:rPr>
        <w:t xml:space="preserve">※ 세부 출처 URL은 research 폴더의 자료조사 정리본에 수록되어 있다.</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480"/>
      <w:outlineLvl w:val="0"/>
    </w:pPr>
    <w:rPr>
      <w:rFonts w:ascii="맑은 고딕" w:cs="맑은 고딕" w:eastAsia="맑은 고딕" w:hAnsi="맑은 고딕"/>
      <w:b/>
      <w:bCs/>
      <w:color w:val="1F4E79"/>
      <w:sz w:val="34"/>
      <w:szCs w:val="34"/>
    </w:rPr>
  </w:style>
  <w:style w:type="paragraph" w:styleId="Heading2">
    <w:name w:val="Heading 2"/>
    <w:basedOn w:val="Normal"/>
    <w:next w:val="Normal"/>
    <w:qFormat/>
    <w:pPr>
      <w:spacing w:after="160" w:before="320"/>
      <w:outlineLvl w:val="1"/>
    </w:pPr>
    <w:rPr>
      <w:rFonts w:ascii="맑은 고딕" w:cs="맑은 고딕" w:eastAsia="맑은 고딕" w:hAnsi="맑은 고딕"/>
      <w:b/>
      <w:bCs/>
      <w:color w:val="262626"/>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2026-10-04T06:41:34.656Z</dcterms:created>
  <dcterms:modified xsi:type="dcterms:W3CDTF">2026-10-04T06:41:34.658Z</dcterms:modified>
</cp:coreProperties>
</file>

<file path=docProps/custom.xml><?xml version="1.0" encoding="utf-8"?>
<Properties xmlns="http://schemas.openxmlformats.org/officeDocument/2006/custom-properties" xmlns:vt="http://schemas.openxmlformats.org/officeDocument/2006/docPropsVTypes"/>
</file>