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DD0" w:rsidRDefault="00294271" w:rsidP="00294271">
      <w:pPr>
        <w:rPr>
          <w:b/>
          <w:sz w:val="28"/>
        </w:rPr>
      </w:pPr>
      <w:r w:rsidRPr="00CF3FF0">
        <w:rPr>
          <w:rFonts w:hint="eastAsia"/>
          <w:b/>
          <w:sz w:val="28"/>
        </w:rPr>
        <w:t>■</w:t>
      </w:r>
      <w:r>
        <w:rPr>
          <w:rFonts w:hint="eastAsia"/>
          <w:b/>
          <w:sz w:val="28"/>
        </w:rPr>
        <w:t xml:space="preserve"> UI 웹 콘텐츠 접근성 지침 확인</w:t>
      </w:r>
    </w:p>
    <w:p w:rsidR="00190F7C" w:rsidRPr="000A354E" w:rsidRDefault="00190F7C" w:rsidP="00294271">
      <w:pPr>
        <w:rPr>
          <w:b/>
        </w:rPr>
      </w:pPr>
    </w:p>
    <w:tbl>
      <w:tblPr>
        <w:tblStyle w:val="a4"/>
        <w:tblW w:w="9322" w:type="dxa"/>
        <w:tblLook w:val="04A0"/>
      </w:tblPr>
      <w:tblGrid>
        <w:gridCol w:w="1537"/>
        <w:gridCol w:w="3074"/>
        <w:gridCol w:w="1537"/>
        <w:gridCol w:w="3174"/>
      </w:tblGrid>
      <w:tr w:rsidR="000A354E" w:rsidTr="000A354E">
        <w:tc>
          <w:tcPr>
            <w:tcW w:w="1537" w:type="dxa"/>
            <w:shd w:val="clear" w:color="auto" w:fill="D9D9D9" w:themeFill="background1" w:themeFillShade="D9"/>
          </w:tcPr>
          <w:p w:rsidR="000A354E" w:rsidRPr="000A354E" w:rsidRDefault="000A354E" w:rsidP="000A354E">
            <w:pPr>
              <w:jc w:val="center"/>
              <w:rPr>
                <w:b/>
              </w:rPr>
            </w:pPr>
            <w:r w:rsidRPr="000A354E">
              <w:rPr>
                <w:rFonts w:hint="eastAsia"/>
                <w:b/>
              </w:rPr>
              <w:t>시행날짜</w:t>
            </w:r>
          </w:p>
        </w:tc>
        <w:tc>
          <w:tcPr>
            <w:tcW w:w="3074" w:type="dxa"/>
          </w:tcPr>
          <w:p w:rsidR="000A354E" w:rsidRPr="000A354E" w:rsidRDefault="0081258E" w:rsidP="00294271">
            <w:r>
              <w:rPr>
                <w:rFonts w:hint="eastAsia"/>
              </w:rPr>
              <w:t>2019-</w:t>
            </w:r>
            <w:r w:rsidR="000A354E" w:rsidRPr="000A354E">
              <w:rPr>
                <w:rFonts w:hint="eastAsia"/>
              </w:rPr>
              <w:t>0</w:t>
            </w:r>
            <w:r>
              <w:rPr>
                <w:rFonts w:hint="eastAsia"/>
              </w:rPr>
              <w:t>6-</w:t>
            </w:r>
            <w:r w:rsidR="000A354E" w:rsidRPr="000A354E">
              <w:rPr>
                <w:rFonts w:hint="eastAsia"/>
              </w:rPr>
              <w:t>0</w:t>
            </w:r>
            <w:r>
              <w:rPr>
                <w:rFonts w:hint="eastAsia"/>
              </w:rPr>
              <w:t>5</w:t>
            </w:r>
          </w:p>
        </w:tc>
        <w:tc>
          <w:tcPr>
            <w:tcW w:w="1537" w:type="dxa"/>
            <w:shd w:val="clear" w:color="auto" w:fill="D9D9D9" w:themeFill="background1" w:themeFillShade="D9"/>
          </w:tcPr>
          <w:p w:rsidR="000A354E" w:rsidRPr="000A354E" w:rsidRDefault="000A354E" w:rsidP="000A354E">
            <w:pPr>
              <w:jc w:val="center"/>
              <w:rPr>
                <w:b/>
              </w:rPr>
            </w:pPr>
            <w:r w:rsidRPr="000A354E">
              <w:rPr>
                <w:rFonts w:hint="eastAsia"/>
                <w:b/>
              </w:rPr>
              <w:t>담당자</w:t>
            </w:r>
          </w:p>
        </w:tc>
        <w:tc>
          <w:tcPr>
            <w:tcW w:w="3174" w:type="dxa"/>
          </w:tcPr>
          <w:p w:rsidR="000A354E" w:rsidRPr="000A354E" w:rsidRDefault="0081258E" w:rsidP="00294271">
            <w:r>
              <w:rPr>
                <w:rFonts w:hint="eastAsia"/>
              </w:rPr>
              <w:t>유성진</w:t>
            </w:r>
          </w:p>
        </w:tc>
      </w:tr>
    </w:tbl>
    <w:p w:rsidR="000A354E" w:rsidRPr="000A354E" w:rsidRDefault="000A354E" w:rsidP="00294271">
      <w:pPr>
        <w:rPr>
          <w:b/>
        </w:rPr>
      </w:pPr>
    </w:p>
    <w:tbl>
      <w:tblPr>
        <w:tblStyle w:val="a4"/>
        <w:tblW w:w="9322" w:type="dxa"/>
        <w:tblLook w:val="04A0"/>
      </w:tblPr>
      <w:tblGrid>
        <w:gridCol w:w="1335"/>
        <w:gridCol w:w="2175"/>
        <w:gridCol w:w="4820"/>
        <w:gridCol w:w="992"/>
      </w:tblGrid>
      <w:tr w:rsidR="00DC3F67" w:rsidRPr="00A93A24" w:rsidTr="00DC3F67">
        <w:tc>
          <w:tcPr>
            <w:tcW w:w="3510" w:type="dxa"/>
            <w:gridSpan w:val="2"/>
            <w:shd w:val="clear" w:color="auto" w:fill="D9D9D9" w:themeFill="background1" w:themeFillShade="D9"/>
            <w:vAlign w:val="center"/>
          </w:tcPr>
          <w:p w:rsidR="00DC3F67" w:rsidRPr="00184062" w:rsidRDefault="00DC3F67" w:rsidP="00184062">
            <w:pPr>
              <w:jc w:val="center"/>
              <w:rPr>
                <w:b/>
                <w:szCs w:val="20"/>
              </w:rPr>
            </w:pPr>
            <w:r w:rsidRPr="008C78EF">
              <w:rPr>
                <w:b/>
                <w:szCs w:val="20"/>
              </w:rPr>
              <w:t>KWCAG 2.0 지침</w:t>
            </w:r>
          </w:p>
        </w:tc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DC3F67" w:rsidRPr="00184062" w:rsidRDefault="00DC3F67" w:rsidP="0018406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지침</w:t>
            </w:r>
            <w:r w:rsidRPr="00184062">
              <w:rPr>
                <w:rFonts w:hint="eastAsia"/>
                <w:b/>
                <w:szCs w:val="20"/>
              </w:rPr>
              <w:t xml:space="preserve"> 내용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DC3F67" w:rsidRPr="00184062" w:rsidRDefault="00DC3F67" w:rsidP="00184062">
            <w:pPr>
              <w:jc w:val="center"/>
              <w:rPr>
                <w:b/>
                <w:szCs w:val="20"/>
              </w:rPr>
            </w:pPr>
            <w:r w:rsidRPr="00184062">
              <w:rPr>
                <w:rFonts w:hint="eastAsia"/>
                <w:b/>
                <w:szCs w:val="20"/>
              </w:rPr>
              <w:t>결과</w:t>
            </w:r>
          </w:p>
        </w:tc>
      </w:tr>
      <w:tr w:rsidR="00DC3F67" w:rsidRPr="00A93A24" w:rsidTr="009B69BF">
        <w:trPr>
          <w:trHeight w:val="645"/>
        </w:trPr>
        <w:tc>
          <w:tcPr>
            <w:tcW w:w="1335" w:type="dxa"/>
            <w:vMerge w:val="restart"/>
            <w:vAlign w:val="center"/>
          </w:tcPr>
          <w:p w:rsidR="00DC3F67" w:rsidRPr="008C78EF" w:rsidRDefault="00DC3F67" w:rsidP="008C78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8C78EF">
              <w:rPr>
                <w:rFonts w:ascii="맑은 고딕" w:eastAsia="맑은 고딕" w:hAnsi="맑은 고딕" w:hint="eastAsia"/>
                <w:szCs w:val="20"/>
              </w:rPr>
              <w:t>인식의</w:t>
            </w:r>
            <w:r w:rsidRPr="008C78EF">
              <w:rPr>
                <w:rFonts w:ascii="맑은 고딕" w:eastAsia="맑은 고딕" w:hAnsi="맑은 고딕"/>
                <w:szCs w:val="20"/>
              </w:rPr>
              <w:t xml:space="preserve"> </w:t>
            </w:r>
          </w:p>
          <w:p w:rsidR="00DC3F67" w:rsidRPr="00A401A7" w:rsidRDefault="00DC3F67" w:rsidP="008C78EF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8C78EF">
              <w:rPr>
                <w:rFonts w:ascii="맑은 고딕" w:eastAsia="맑은 고딕" w:hAnsi="맑은 고딕" w:hint="eastAsia"/>
                <w:szCs w:val="20"/>
              </w:rPr>
              <w:t>용이성</w:t>
            </w: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1.1 대체 텍스트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>텍스트</w:t>
            </w: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 xml:space="preserve"> 아닌 콘텐츠에는 대체 텍스트를 제공해야 한다.</w:t>
            </w:r>
          </w:p>
        </w:tc>
        <w:tc>
          <w:tcPr>
            <w:tcW w:w="992" w:type="dxa"/>
            <w:vAlign w:val="center"/>
          </w:tcPr>
          <w:p w:rsidR="00DC3F67" w:rsidRPr="00A401A7" w:rsidRDefault="00711023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DC3F67" w:rsidRPr="00A93A24" w:rsidTr="009B69BF">
        <w:trPr>
          <w:trHeight w:val="980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1.2 멀티미디어</w:t>
            </w:r>
          </w:p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rFonts w:hint="eastAsia"/>
                <w:sz w:val="18"/>
              </w:rPr>
              <w:t>대체</w:t>
            </w:r>
            <w:r w:rsidRPr="002D3797">
              <w:rPr>
                <w:sz w:val="18"/>
              </w:rPr>
              <w:t xml:space="preserve"> 수단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>동영상</w:t>
            </w: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>, 음성 등 멀티미디어 콘텐츠를 이해할 수 있도록 대체 수단을 제공해야 한다.</w:t>
            </w:r>
          </w:p>
        </w:tc>
        <w:tc>
          <w:tcPr>
            <w:tcW w:w="992" w:type="dxa"/>
            <w:vAlign w:val="center"/>
          </w:tcPr>
          <w:p w:rsidR="00DC3F67" w:rsidRPr="00E408AB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E408AB">
              <w:rPr>
                <w:rFonts w:ascii="맑은 고딕" w:eastAsia="맑은 고딕" w:hAnsi="맑은 고딕" w:hint="eastAsia"/>
                <w:szCs w:val="20"/>
              </w:rPr>
              <w:t>N</w:t>
            </w:r>
          </w:p>
        </w:tc>
      </w:tr>
      <w:tr w:rsidR="00DC3F67" w:rsidRPr="00A93A24" w:rsidTr="009B69BF">
        <w:trPr>
          <w:trHeight w:val="787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1.3 명료성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>콘텐츠는</w:t>
            </w: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 xml:space="preserve"> 명확하게 전달되어야 한다</w:t>
            </w: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623"/>
        </w:trPr>
        <w:tc>
          <w:tcPr>
            <w:tcW w:w="1335" w:type="dxa"/>
            <w:vMerge w:val="restart"/>
            <w:vAlign w:val="center"/>
          </w:tcPr>
          <w:p w:rsidR="00DC3F67" w:rsidRPr="00190F7C" w:rsidRDefault="00DC3F67" w:rsidP="00190F7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190F7C">
              <w:rPr>
                <w:rFonts w:ascii="맑은 고딕" w:eastAsia="맑은 고딕" w:hAnsi="맑은 고딕" w:hint="eastAsia"/>
                <w:szCs w:val="20"/>
              </w:rPr>
              <w:t>운용의</w:t>
            </w:r>
          </w:p>
          <w:p w:rsidR="00DC3F67" w:rsidRPr="00A401A7" w:rsidRDefault="00DC3F67" w:rsidP="00190F7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190F7C">
              <w:rPr>
                <w:rFonts w:ascii="맑은 고딕" w:eastAsia="맑은 고딕" w:hAnsi="맑은 고딕" w:hint="eastAsia"/>
                <w:szCs w:val="20"/>
              </w:rPr>
              <w:t>용이성</w:t>
            </w: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2.1 키보드 접근성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콘텐츠는 키보드로 접근할 수 있어야 한다.</w:t>
            </w:r>
          </w:p>
        </w:tc>
        <w:tc>
          <w:tcPr>
            <w:tcW w:w="992" w:type="dxa"/>
            <w:vAlign w:val="center"/>
          </w:tcPr>
          <w:p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830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2.2 충분한 시간 제공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콘텐츠를 읽고 사용하는 데 충분한 시간을 제공해야 한다.</w:t>
            </w:r>
          </w:p>
        </w:tc>
        <w:tc>
          <w:tcPr>
            <w:tcW w:w="992" w:type="dxa"/>
            <w:vAlign w:val="center"/>
          </w:tcPr>
          <w:p w:rsidR="00DC3F67" w:rsidRDefault="00090ADE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843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2.3 광과민성 발작 예방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광과민성 발작을 일으킬 수 있는 콘텐츠를 제공하지 않아야 한다.</w:t>
            </w:r>
          </w:p>
        </w:tc>
        <w:tc>
          <w:tcPr>
            <w:tcW w:w="992" w:type="dxa"/>
            <w:vAlign w:val="center"/>
          </w:tcPr>
          <w:p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557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2.4 쉬운 내비게이션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콘텐츠는 쉽게 내비게이션할 수 있어야 한다.</w:t>
            </w:r>
          </w:p>
        </w:tc>
        <w:tc>
          <w:tcPr>
            <w:tcW w:w="992" w:type="dxa"/>
            <w:vAlign w:val="center"/>
          </w:tcPr>
          <w:p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551"/>
        </w:trPr>
        <w:tc>
          <w:tcPr>
            <w:tcW w:w="1335" w:type="dxa"/>
            <w:vMerge w:val="restart"/>
            <w:vAlign w:val="center"/>
          </w:tcPr>
          <w:p w:rsidR="00DC3F67" w:rsidRPr="00190F7C" w:rsidRDefault="00DC3F67" w:rsidP="00190F7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190F7C">
              <w:rPr>
                <w:rFonts w:ascii="맑은 고딕" w:eastAsia="맑은 고딕" w:hAnsi="맑은 고딕" w:hint="eastAsia"/>
                <w:szCs w:val="20"/>
              </w:rPr>
              <w:t>이해의</w:t>
            </w:r>
          </w:p>
          <w:p w:rsidR="00DC3F67" w:rsidRPr="00A401A7" w:rsidRDefault="00DC3F67" w:rsidP="00190F7C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190F7C">
              <w:rPr>
                <w:rFonts w:ascii="맑은 고딕" w:eastAsia="맑은 고딕" w:hAnsi="맑은 고딕" w:hint="eastAsia"/>
                <w:szCs w:val="20"/>
              </w:rPr>
              <w:t>용이성</w:t>
            </w: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3.1 가독성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콘텐츠는 읽고 이해하기 쉬워야 한다.</w:t>
            </w:r>
          </w:p>
        </w:tc>
        <w:tc>
          <w:tcPr>
            <w:tcW w:w="992" w:type="dxa"/>
            <w:vAlign w:val="center"/>
          </w:tcPr>
          <w:p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559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3.2 예측가능성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콘텐츠의 기능과 실행결과는 예측 가능해야 한다.</w:t>
            </w:r>
          </w:p>
        </w:tc>
        <w:tc>
          <w:tcPr>
            <w:tcW w:w="992" w:type="dxa"/>
            <w:vAlign w:val="center"/>
          </w:tcPr>
          <w:p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553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3.3 콘텐츠 논리성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콘텐츠는 논리적으로 구성해야 한다.</w:t>
            </w:r>
          </w:p>
        </w:tc>
        <w:tc>
          <w:tcPr>
            <w:tcW w:w="992" w:type="dxa"/>
            <w:vAlign w:val="center"/>
          </w:tcPr>
          <w:p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561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3.4 입력 도움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sz w:val="18"/>
              </w:rPr>
            </w:pPr>
            <w:r w:rsidRPr="002D3797">
              <w:rPr>
                <w:sz w:val="18"/>
              </w:rPr>
              <w:t>입력 오류를 방지하거나 정정할 수 있어야 한다.</w:t>
            </w:r>
          </w:p>
        </w:tc>
        <w:tc>
          <w:tcPr>
            <w:tcW w:w="992" w:type="dxa"/>
            <w:vAlign w:val="center"/>
          </w:tcPr>
          <w:p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697"/>
        </w:trPr>
        <w:tc>
          <w:tcPr>
            <w:tcW w:w="1335" w:type="dxa"/>
            <w:vMerge w:val="restart"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190F7C">
              <w:rPr>
                <w:rFonts w:ascii="맑은 고딕" w:eastAsia="맑은 고딕" w:hAnsi="맑은 고딕" w:hint="eastAsia"/>
                <w:szCs w:val="20"/>
              </w:rPr>
              <w:t>견고성</w:t>
            </w: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4.1 </w:t>
            </w: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>문법 준수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>웹 콘텐츠는 마크업 언어의 문법을 준수해야 한다</w:t>
            </w: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  <w:tr w:rsidR="00DC3F67" w:rsidRPr="00A93A24" w:rsidTr="009B69BF">
        <w:trPr>
          <w:trHeight w:val="990"/>
        </w:trPr>
        <w:tc>
          <w:tcPr>
            <w:tcW w:w="1335" w:type="dxa"/>
            <w:vMerge/>
            <w:vAlign w:val="center"/>
          </w:tcPr>
          <w:p w:rsidR="00DC3F67" w:rsidRPr="00A401A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</w:p>
        </w:tc>
        <w:tc>
          <w:tcPr>
            <w:tcW w:w="2175" w:type="dxa"/>
            <w:vAlign w:val="center"/>
          </w:tcPr>
          <w:p w:rsidR="00DC3F67" w:rsidRPr="002D3797" w:rsidRDefault="00DC3F67" w:rsidP="00190F7C">
            <w:pPr>
              <w:snapToGrid w:val="0"/>
              <w:spacing w:line="312" w:lineRule="auto"/>
              <w:textAlignment w:val="baseline"/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4.2 </w:t>
            </w: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>웹 애플리케이션</w:t>
            </w:r>
          </w:p>
          <w:p w:rsidR="00DC3F67" w:rsidRPr="002D3797" w:rsidRDefault="00DC3F67" w:rsidP="00190F7C">
            <w:pPr>
              <w:snapToGrid w:val="0"/>
              <w:spacing w:line="312" w:lineRule="auto"/>
              <w:textAlignment w:val="baseline"/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>접근성</w:t>
            </w:r>
          </w:p>
        </w:tc>
        <w:tc>
          <w:tcPr>
            <w:tcW w:w="4820" w:type="dxa"/>
            <w:vAlign w:val="center"/>
          </w:tcPr>
          <w:p w:rsidR="00DC3F67" w:rsidRPr="002D3797" w:rsidRDefault="00DC3F67" w:rsidP="00190F7C">
            <w:pPr>
              <w:snapToGrid w:val="0"/>
              <w:spacing w:line="384" w:lineRule="auto"/>
              <w:textAlignment w:val="baseline"/>
              <w:rPr>
                <w:rFonts w:ascii="맑은 고딕" w:eastAsia="맑은 고딕" w:hAnsi="맑은 고딕"/>
                <w:sz w:val="18"/>
                <w:szCs w:val="20"/>
              </w:rPr>
            </w:pPr>
            <w:r w:rsidRPr="002D3797">
              <w:rPr>
                <w:rFonts w:ascii="맑은 고딕" w:eastAsia="맑은 고딕" w:hAnsi="맑은 고딕"/>
                <w:sz w:val="18"/>
                <w:szCs w:val="20"/>
              </w:rPr>
              <w:t>웹 애플리케이션은 접근성이 있어야 한다</w:t>
            </w:r>
            <w:r w:rsidRPr="002D3797">
              <w:rPr>
                <w:rFonts w:ascii="맑은 고딕" w:eastAsia="맑은 고딕" w:hAnsi="맑은 고딕" w:hint="eastAsia"/>
                <w:sz w:val="18"/>
                <w:szCs w:val="20"/>
              </w:rPr>
              <w:t>.</w:t>
            </w:r>
          </w:p>
        </w:tc>
        <w:tc>
          <w:tcPr>
            <w:tcW w:w="992" w:type="dxa"/>
            <w:vAlign w:val="center"/>
          </w:tcPr>
          <w:p w:rsidR="00DC3F67" w:rsidRDefault="00DC3F67" w:rsidP="00A401A7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Y</w:t>
            </w:r>
          </w:p>
        </w:tc>
      </w:tr>
    </w:tbl>
    <w:p w:rsidR="00675E4E" w:rsidRDefault="00675E4E" w:rsidP="00B02DD0">
      <w:pPr>
        <w:rPr>
          <w:b/>
          <w:i/>
        </w:rPr>
      </w:pPr>
    </w:p>
    <w:p w:rsidR="00DF605C" w:rsidRDefault="00B74768" w:rsidP="00B02DD0">
      <w:pPr>
        <w:rPr>
          <w:b/>
          <w:i/>
          <w:sz w:val="18"/>
        </w:rPr>
      </w:pPr>
      <w:r>
        <w:rPr>
          <w:rFonts w:hint="eastAsia"/>
          <w:b/>
          <w:i/>
          <w:sz w:val="18"/>
        </w:rPr>
        <w:t>참고</w:t>
      </w:r>
      <w:r w:rsidR="00675E4E" w:rsidRPr="00301792">
        <w:rPr>
          <w:rFonts w:hint="eastAsia"/>
          <w:b/>
          <w:i/>
          <w:sz w:val="18"/>
        </w:rPr>
        <w:t>) 행정안전부. 웹 콘텐츠 접근성 지침 2.0 국가 표준</w:t>
      </w:r>
    </w:p>
    <w:p w:rsidR="00B02DD0" w:rsidRPr="00301792" w:rsidRDefault="00267264" w:rsidP="00DF605C">
      <w:pPr>
        <w:ind w:firstLineChars="250" w:firstLine="450"/>
        <w:rPr>
          <w:b/>
          <w:i/>
          <w:sz w:val="18"/>
        </w:rPr>
      </w:pPr>
      <w:r w:rsidRPr="00301792">
        <w:rPr>
          <w:rFonts w:hint="eastAsia"/>
          <w:b/>
          <w:i/>
          <w:sz w:val="18"/>
        </w:rPr>
        <w:t>(표준번호</w:t>
      </w:r>
      <w:r w:rsidRPr="00301792">
        <w:rPr>
          <w:b/>
          <w:i/>
          <w:sz w:val="18"/>
        </w:rPr>
        <w:t xml:space="preserve"> 및 제정일자 : KICS.OT-10.0003/R1, 2010년 12월 31일</w:t>
      </w:r>
      <w:r w:rsidRPr="00301792">
        <w:rPr>
          <w:rFonts w:hint="eastAsia"/>
          <w:b/>
          <w:i/>
          <w:sz w:val="18"/>
        </w:rPr>
        <w:t>)</w:t>
      </w:r>
    </w:p>
    <w:sectPr w:rsidR="00B02DD0" w:rsidRPr="00301792" w:rsidSect="006448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74B4" w:rsidRDefault="004574B4" w:rsidP="00F54E28">
      <w:r>
        <w:separator/>
      </w:r>
    </w:p>
  </w:endnote>
  <w:endnote w:type="continuationSeparator" w:id="1">
    <w:p w:rsidR="004574B4" w:rsidRDefault="004574B4" w:rsidP="00F54E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74B4" w:rsidRDefault="004574B4" w:rsidP="00F54E28">
      <w:r>
        <w:separator/>
      </w:r>
    </w:p>
  </w:footnote>
  <w:footnote w:type="continuationSeparator" w:id="1">
    <w:p w:rsidR="004574B4" w:rsidRDefault="004574B4" w:rsidP="00F54E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65F76"/>
    <w:multiLevelType w:val="hybridMultilevel"/>
    <w:tmpl w:val="2BC2FD6C"/>
    <w:lvl w:ilvl="0" w:tplc="8F10E4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9F545AF"/>
    <w:multiLevelType w:val="hybridMultilevel"/>
    <w:tmpl w:val="852A2D00"/>
    <w:lvl w:ilvl="0" w:tplc="183C3D0C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9FE75E6"/>
    <w:multiLevelType w:val="hybridMultilevel"/>
    <w:tmpl w:val="6856213C"/>
    <w:lvl w:ilvl="0" w:tplc="84A6418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5720DD7"/>
    <w:multiLevelType w:val="hybridMultilevel"/>
    <w:tmpl w:val="C804C2FA"/>
    <w:lvl w:ilvl="0" w:tplc="C492A1A6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67514AE5"/>
    <w:multiLevelType w:val="hybridMultilevel"/>
    <w:tmpl w:val="5D760250"/>
    <w:lvl w:ilvl="0" w:tplc="556435B2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0843F19"/>
    <w:multiLevelType w:val="hybridMultilevel"/>
    <w:tmpl w:val="EDDCC46A"/>
    <w:lvl w:ilvl="0" w:tplc="6CE29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7D39"/>
    <w:rsid w:val="00020264"/>
    <w:rsid w:val="00090ADE"/>
    <w:rsid w:val="000A354E"/>
    <w:rsid w:val="000F18D3"/>
    <w:rsid w:val="001317EF"/>
    <w:rsid w:val="00147113"/>
    <w:rsid w:val="0017524C"/>
    <w:rsid w:val="001803EE"/>
    <w:rsid w:val="00184062"/>
    <w:rsid w:val="00185B2E"/>
    <w:rsid w:val="00190F7C"/>
    <w:rsid w:val="0019362F"/>
    <w:rsid w:val="00242E85"/>
    <w:rsid w:val="00267264"/>
    <w:rsid w:val="00294271"/>
    <w:rsid w:val="002D3797"/>
    <w:rsid w:val="002F2DCB"/>
    <w:rsid w:val="00301792"/>
    <w:rsid w:val="00325FF8"/>
    <w:rsid w:val="003C21A5"/>
    <w:rsid w:val="003D4641"/>
    <w:rsid w:val="003D7862"/>
    <w:rsid w:val="00405AB9"/>
    <w:rsid w:val="004574B4"/>
    <w:rsid w:val="00496230"/>
    <w:rsid w:val="00540B40"/>
    <w:rsid w:val="00541DDB"/>
    <w:rsid w:val="005B64E8"/>
    <w:rsid w:val="006448CC"/>
    <w:rsid w:val="00675E4E"/>
    <w:rsid w:val="006762D3"/>
    <w:rsid w:val="00711023"/>
    <w:rsid w:val="00734528"/>
    <w:rsid w:val="007420D6"/>
    <w:rsid w:val="00743FC0"/>
    <w:rsid w:val="00776FAC"/>
    <w:rsid w:val="00790694"/>
    <w:rsid w:val="00791C44"/>
    <w:rsid w:val="007D0EFC"/>
    <w:rsid w:val="00800FCA"/>
    <w:rsid w:val="0081258E"/>
    <w:rsid w:val="00813855"/>
    <w:rsid w:val="008435F8"/>
    <w:rsid w:val="00862A83"/>
    <w:rsid w:val="008C21B5"/>
    <w:rsid w:val="008C78EF"/>
    <w:rsid w:val="009036D3"/>
    <w:rsid w:val="009423A1"/>
    <w:rsid w:val="00972372"/>
    <w:rsid w:val="0098751B"/>
    <w:rsid w:val="009B69BF"/>
    <w:rsid w:val="009E6C05"/>
    <w:rsid w:val="00A01D09"/>
    <w:rsid w:val="00A401A7"/>
    <w:rsid w:val="00A45022"/>
    <w:rsid w:val="00A454F9"/>
    <w:rsid w:val="00A773D6"/>
    <w:rsid w:val="00A93A24"/>
    <w:rsid w:val="00AB21A9"/>
    <w:rsid w:val="00AD2A95"/>
    <w:rsid w:val="00B02DD0"/>
    <w:rsid w:val="00B354CB"/>
    <w:rsid w:val="00B46BA5"/>
    <w:rsid w:val="00B53127"/>
    <w:rsid w:val="00B60B2F"/>
    <w:rsid w:val="00B74768"/>
    <w:rsid w:val="00BF48A5"/>
    <w:rsid w:val="00C64C6B"/>
    <w:rsid w:val="00C72854"/>
    <w:rsid w:val="00C76500"/>
    <w:rsid w:val="00CE04AD"/>
    <w:rsid w:val="00CE7D39"/>
    <w:rsid w:val="00CF332D"/>
    <w:rsid w:val="00CF3FF0"/>
    <w:rsid w:val="00D04624"/>
    <w:rsid w:val="00D10642"/>
    <w:rsid w:val="00D156AD"/>
    <w:rsid w:val="00DC3F67"/>
    <w:rsid w:val="00DC6897"/>
    <w:rsid w:val="00DF0433"/>
    <w:rsid w:val="00DF4DA8"/>
    <w:rsid w:val="00DF605C"/>
    <w:rsid w:val="00E05922"/>
    <w:rsid w:val="00E408AB"/>
    <w:rsid w:val="00E52341"/>
    <w:rsid w:val="00E55E1E"/>
    <w:rsid w:val="00E73E0F"/>
    <w:rsid w:val="00EB57D2"/>
    <w:rsid w:val="00F33400"/>
    <w:rsid w:val="00F54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8C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73D6"/>
    <w:pPr>
      <w:spacing w:after="160" w:line="259" w:lineRule="auto"/>
      <w:ind w:leftChars="400" w:left="800"/>
    </w:pPr>
  </w:style>
  <w:style w:type="table" w:styleId="a4">
    <w:name w:val="Table Grid"/>
    <w:basedOn w:val="a1"/>
    <w:uiPriority w:val="59"/>
    <w:rsid w:val="00A773D6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F54E28"/>
  </w:style>
  <w:style w:type="paragraph" w:styleId="a6">
    <w:name w:val="footer"/>
    <w:basedOn w:val="a"/>
    <w:link w:val="Char0"/>
    <w:uiPriority w:val="99"/>
    <w:semiHidden/>
    <w:unhideWhenUsed/>
    <w:rsid w:val="00F54E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F54E28"/>
  </w:style>
  <w:style w:type="paragraph" w:styleId="a7">
    <w:name w:val="Balloon Text"/>
    <w:basedOn w:val="a"/>
    <w:link w:val="Char1"/>
    <w:uiPriority w:val="99"/>
    <w:semiHidden/>
    <w:unhideWhenUsed/>
    <w:rsid w:val="00942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9423A1"/>
    <w:rPr>
      <w:rFonts w:asciiTheme="majorHAnsi" w:eastAsiaTheme="majorEastAsia" w:hAnsiTheme="majorHAnsi" w:cstheme="majorBidi"/>
      <w:sz w:val="18"/>
      <w:szCs w:val="18"/>
    </w:rPr>
  </w:style>
  <w:style w:type="paragraph" w:customStyle="1" w:styleId="a8">
    <w:name w:val="바탕글"/>
    <w:basedOn w:val="a"/>
    <w:rsid w:val="008C78EF"/>
    <w:pPr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3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82</cp:revision>
  <dcterms:created xsi:type="dcterms:W3CDTF">2018-10-24T03:16:00Z</dcterms:created>
  <dcterms:modified xsi:type="dcterms:W3CDTF">2019-06-05T08:28:00Z</dcterms:modified>
</cp:coreProperties>
</file>