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문서 변환 시험 자료</w:t>
      </w:r>
    </w:p>
    <w:p>
      <w:r>
        <w:t>이 문서는 Mark Extract의 어댑터를 시험하기 위해 만든 자료다. 한국어와 English가 섞여 있으며, 제목 계층과 표가 마크다운으로 어떻게 넘어오는지 확인한다.</w:t>
      </w:r>
    </w:p>
    <w:p>
      <w:pPr>
        <w:pStyle w:val="Heading2"/>
      </w:pPr>
      <w:r>
        <w:t>1. 제목 계층</w:t>
      </w:r>
    </w:p>
    <w:p>
      <w:r>
        <w:t>본문 문단이다. 레이아웃 분석이 제대로 되면 이 문단은 위 제목에 속한 것으로 읽힌다.</w:t>
      </w:r>
    </w:p>
    <w:p>
      <w:pPr>
        <w:pStyle w:val="Heading3"/>
      </w:pPr>
      <w:r>
        <w:t>1.1 하위 절</w:t>
      </w:r>
    </w:p>
    <w:p>
      <w:r>
        <w:t>세 번째 수준의 제목 아래 문단. Mixed content with English words like conversion, adapter, and markdown.</w:t>
      </w:r>
    </w:p>
    <w:p>
      <w:pPr>
        <w:pStyle w:val="Heading2"/>
      </w:pPr>
      <w:r>
        <w:t>2.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형식</w:t>
            </w:r>
          </w:p>
        </w:tc>
        <w:tc>
          <w:tcPr>
            <w:tcW w:type="dxa" w:w="2880"/>
          </w:tcPr>
          <w:p>
            <w:r>
              <w:t>엔진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opendataloader-pdf</w:t>
            </w:r>
          </w:p>
        </w:tc>
        <w:tc>
          <w:tcPr>
            <w:tcW w:type="dxa" w:w="2880"/>
          </w:tcPr>
          <w:p>
            <w:r>
              <w:t>레이아웃 분석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kordoc</w:t>
            </w:r>
          </w:p>
        </w:tc>
        <w:tc>
          <w:tcPr>
            <w:tcW w:type="dxa" w:w="2880"/>
          </w:tcPr>
          <w:p>
            <w:r>
              <w:t>순수 JS 경로</w:t>
            </w:r>
          </w:p>
        </w:tc>
      </w:tr>
      <w:tr>
        <w:tc>
          <w:tcPr>
            <w:tcW w:type="dxa" w:w="2880"/>
          </w:tcPr>
          <w:p>
            <w:r>
              <w:t>PPTX</w:t>
            </w:r>
          </w:p>
        </w:tc>
        <w:tc>
          <w:tcPr>
            <w:tcW w:type="dxa" w:w="2880"/>
          </w:tcPr>
          <w:p>
            <w:r>
              <w:t>자체 구현</w:t>
            </w:r>
          </w:p>
        </w:tc>
        <w:tc>
          <w:tcPr>
            <w:tcW w:type="dxa" w:w="2880"/>
          </w:tcPr>
          <w:p>
            <w:r>
              <w:t>markitdown 규칙</w:t>
            </w:r>
          </w:p>
        </w:tc>
      </w:tr>
    </w:tbl>
    <w:p>
      <w:pPr>
        <w:pStyle w:val="Heading2"/>
      </w:pPr>
      <w:r>
        <w:t>3. 목록</w:t>
      </w:r>
    </w:p>
    <w:p>
      <w:pPr>
        <w:pStyle w:val="ListBullet"/>
      </w:pPr>
      <w:r>
        <w:t>첫 번째 항목</w:t>
      </w:r>
    </w:p>
    <w:p>
      <w:pPr>
        <w:pStyle w:val="ListBullet"/>
      </w:pPr>
      <w:r>
        <w:t>두 번째 항목 — 특수문자 · 포함</w:t>
      </w:r>
    </w:p>
    <w:p>
      <w:pPr>
        <w:pStyle w:val="ListBullet"/>
      </w:pPr>
      <w:r>
        <w:t>세 번째 항목</w:t>
      </w:r>
    </w:p>
    <w:p>
      <w:pPr>
        <w:pStyle w:val="Heading2"/>
      </w:pPr>
      <w:r>
        <w:t>4. 숫자와 기호</w:t>
      </w:r>
    </w:p>
    <w:p>
      <w:r>
        <w:t>금액 1,234,567원 · 비율 45.6% · 날짜 2026-09-16 · 괄호 (참고) · 따옴표 “인용”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