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4"/>
          <w:szCs w:val="24"/>
        </w:rPr>
        <w:t xml:space="preserve">RECORD-INFORMED SINUSOIDAL SURROGATE LOADING FOR THE DISTINCT ELEMENT SIMULATION OF A SEQUENTIAL OUT-OF-PLANE SHAKE-TABLE TEST ON AN UNREINFORCED MASONRY WALL</w:t>
      </w:r>
    </w:p>
    <w:p>
      <w:pPr>
        <w:spacing w:after="80"/>
        <w:jc w:val="center"/>
      </w:pPr>
      <w:r>
        <w:rPr>
          <w:rFonts w:ascii="Times New Roman" w:cs="Times New Roman" w:eastAsia="Times New Roman" w:hAnsi="Times New Roman"/>
          <w:b/>
          <w:bCs/>
          <w:sz w:val="21"/>
          <w:szCs w:val="21"/>
        </w:rPr>
        <w:t xml:space="preserve">Yopi P. Oktiovan</w:t>
      </w: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Bora Pulatsu</w:t>
      </w: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Nicolò Damiani</w:t>
      </w:r>
      <w:r>
        <w:rPr>
          <w:rFonts w:ascii="Times New Roman" w:cs="Times New Roman" w:eastAsia="Times New Roman" w:hAnsi="Times New Roman"/>
          <w:sz w:val="21"/>
          <w:szCs w:val="21"/>
          <w:vertAlign w:val="superscript"/>
        </w:rPr>
        <w:t xml:space="preserve">3,4</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Eleni Smyrou</w:t>
      </w:r>
      <w:r>
        <w:rPr>
          <w:rFonts w:ascii="Times New Roman" w:cs="Times New Roman" w:eastAsia="Times New Roman" w:hAnsi="Times New Roman"/>
          <w:sz w:val="21"/>
          <w:szCs w:val="21"/>
          <w:vertAlign w:val="superscript"/>
        </w:rPr>
        <w:t xml:space="preserve">1</w:t>
      </w:r>
      <w:r>
        <w:rPr>
          <w:rFonts w:ascii="Times New Roman" w:cs="Times New Roman" w:eastAsia="Times New Roman" w:hAnsi="Times New Roman"/>
          <w:sz w:val="21"/>
          <w:szCs w:val="21"/>
        </w:rPr>
        <w:t xml:space="preserve"> and </w:t>
      </w:r>
      <w:r>
        <w:rPr>
          <w:rFonts w:ascii="Times New Roman" w:cs="Times New Roman" w:eastAsia="Times New Roman" w:hAnsi="Times New Roman"/>
          <w:b/>
          <w:bCs/>
          <w:sz w:val="21"/>
          <w:szCs w:val="21"/>
        </w:rPr>
        <w:t xml:space="preserve">Ihsan E. Bal</w:t>
      </w:r>
      <w:r>
        <w:rPr>
          <w:rFonts w:ascii="Times New Roman" w:cs="Times New Roman" w:eastAsia="Times New Roman" w:hAnsi="Times New Roman"/>
          <w:sz w:val="21"/>
          <w:szCs w:val="21"/>
          <w:vertAlign w:val="superscript"/>
        </w:rPr>
        <w:t xml:space="preserve">1</w:t>
      </w:r>
    </w:p>
    <w:p>
      <w:pPr>
        <w:spacing w:after="0"/>
        <w:jc w:val="center"/>
      </w:pPr>
      <w:r>
        <w:rPr>
          <w:rFonts w:ascii="Times New Roman" w:cs="Times New Roman" w:eastAsia="Times New Roman" w:hAnsi="Times New Roman"/>
          <w:sz w:val="19"/>
          <w:szCs w:val="19"/>
          <w:vertAlign w:val="superscript"/>
        </w:rPr>
        <w:t xml:space="preserve">1</w:t>
      </w:r>
      <w:r>
        <w:rPr>
          <w:rFonts w:ascii="Times New Roman" w:cs="Times New Roman" w:eastAsia="Times New Roman" w:hAnsi="Times New Roman"/>
          <w:i/>
          <w:iCs/>
          <w:sz w:val="19"/>
          <w:szCs w:val="19"/>
        </w:rPr>
        <w:t xml:space="preserve"> Research Centre NoorderRuimte, Hanze University of Applied Sciences, Groningen, the Netherlands</w:t>
      </w:r>
    </w:p>
    <w:p>
      <w:pPr>
        <w:spacing w:after="0"/>
        <w:jc w:val="center"/>
      </w:pPr>
      <w:r>
        <w:rPr>
          <w:rFonts w:ascii="Times New Roman" w:cs="Times New Roman" w:eastAsia="Times New Roman" w:hAnsi="Times New Roman"/>
          <w:sz w:val="19"/>
          <w:szCs w:val="19"/>
          <w:vertAlign w:val="superscript"/>
        </w:rPr>
        <w:t xml:space="preserve">2</w:t>
      </w:r>
      <w:r>
        <w:rPr>
          <w:rFonts w:ascii="Times New Roman" w:cs="Times New Roman" w:eastAsia="Times New Roman" w:hAnsi="Times New Roman"/>
          <w:i/>
          <w:iCs/>
          <w:sz w:val="19"/>
          <w:szCs w:val="19"/>
        </w:rPr>
        <w:t xml:space="preserve"> Department of Civil and Environmental Engineering, Carleton University, Ottawa, Canada</w:t>
      </w:r>
    </w:p>
    <w:p>
      <w:pPr>
        <w:spacing w:after="0"/>
        <w:jc w:val="center"/>
      </w:pPr>
      <w:r>
        <w:rPr>
          <w:rFonts w:ascii="Times New Roman" w:cs="Times New Roman" w:eastAsia="Times New Roman" w:hAnsi="Times New Roman"/>
          <w:sz w:val="19"/>
          <w:szCs w:val="19"/>
          <w:vertAlign w:val="superscript"/>
        </w:rPr>
        <w:t xml:space="preserve">3</w:t>
      </w:r>
      <w:r>
        <w:rPr>
          <w:rFonts w:ascii="Times New Roman" w:cs="Times New Roman" w:eastAsia="Times New Roman" w:hAnsi="Times New Roman"/>
          <w:i/>
          <w:iCs/>
          <w:sz w:val="19"/>
          <w:szCs w:val="19"/>
        </w:rPr>
        <w:t xml:space="preserve"> Department of Civil Engineering and Architecture (DICAr), University of Pavia, Pavia, Italy</w:t>
      </w:r>
    </w:p>
    <w:p>
      <w:pPr>
        <w:spacing w:after="0"/>
        <w:jc w:val="center"/>
      </w:pPr>
      <w:r>
        <w:rPr>
          <w:rFonts w:ascii="Times New Roman" w:cs="Times New Roman" w:eastAsia="Times New Roman" w:hAnsi="Times New Roman"/>
          <w:sz w:val="19"/>
          <w:szCs w:val="19"/>
          <w:vertAlign w:val="superscript"/>
        </w:rPr>
        <w:t xml:space="preserve">4</w:t>
      </w:r>
      <w:r>
        <w:rPr>
          <w:rFonts w:ascii="Times New Roman" w:cs="Times New Roman" w:eastAsia="Times New Roman" w:hAnsi="Times New Roman"/>
          <w:i/>
          <w:iCs/>
          <w:sz w:val="19"/>
          <w:szCs w:val="19"/>
        </w:rPr>
        <w:t xml:space="preserve"> European Centre for Training and Research in Earthquake Engineering (EUCENTRE), Pavia, Italy</w:t>
      </w:r>
    </w:p>
    <w:p>
      <w:pPr>
        <w:spacing w:after="0"/>
        <w:jc w:val="center"/>
      </w:pPr>
      <w:r>
        <w:rPr>
          <w:rFonts w:ascii="Times New Roman" w:cs="Times New Roman" w:eastAsia="Times New Roman" w:hAnsi="Times New Roman"/>
          <w:sz w:val="19"/>
          <w:szCs w:val="19"/>
          <w:highlight w:val="yellow"/>
        </w:rPr>
        <w:t xml:space="preserve">e-mail: [corresponding e-mail]</w:t>
      </w:r>
    </w:p>
    <w:p>
      <w:pPr>
        <w:spacing w:after="140" w:before="140"/>
        <w:jc w:val="both"/>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i/>
          <w:iCs/>
          <w:sz w:val="21"/>
          <w:szCs w:val="21"/>
        </w:rPr>
        <w:t xml:space="preserve">Distinct Element Method, unreinforced masonry, out-of-plane, shake-table sequence, surrogate loading, mean period.</w:t>
      </w:r>
    </w:p>
    <w:p>
      <w:pPr>
        <w:spacing w:after="90" w:line="300"/>
        <w:jc w:val="both"/>
      </w:pPr>
      <w:r>
        <w:rPr>
          <w:rFonts w:ascii="Times New Roman" w:cs="Times New Roman" w:eastAsia="Times New Roman" w:hAnsi="Times New Roman"/>
          <w:sz w:val="21"/>
          <w:szCs w:val="21"/>
        </w:rPr>
        <w:t xml:space="preserve">Out-of-plane shake-table campaigns on unreinforced masonry (URM) walls often subject a single specimen to tens of scaled records of increasing intensity. To reproduce such a campaign with the Distinct Element Method (DEM), the whole sequence must be run on one progressively damaged model, at considerable computational cost. A short sinusoidal signal of equivalent spectral demand could replace each record at a fraction of that cost, provided it carries both the demand on the wall and the frequency content of the record.</w:t>
      </w:r>
    </w:p>
    <w:p>
      <w:pPr>
        <w:spacing w:after="90" w:line="300"/>
        <w:jc w:val="both"/>
      </w:pPr>
      <w:r>
        <w:rPr>
          <w:rFonts w:ascii="Times New Roman" w:cs="Times New Roman" w:eastAsia="Times New Roman" w:hAnsi="Times New Roman"/>
          <w:sz w:val="21"/>
          <w:szCs w:val="21"/>
        </w:rPr>
        <w:t xml:space="preserve">A surrogate of this kind is developed here for a 25-run sequence on a solid two-leaf URM wall (1.29 × 2.58 × 0.21 m) with timber floor joists, two specimens of which were tested out of plane under scaled HU12, EC40 and FR76 records [1]. Two single-cycle sine waves of table velocity stand in for each record. Their amplitudes are governed by the wall, fitted jointly until the 5%-damped displacement spectrum of the combined signal equals that of the scaled record at two periods. These are the elastic period </w:t>
      </w:r>
      <w:r>
        <w:rPr>
          <w:rFonts w:ascii="Times New Roman" w:cs="Times New Roman" w:eastAsia="Times New Roman" w:hAnsi="Times New Roman"/>
          <w:i/>
          <w:iCs/>
          <w:sz w:val="21"/>
          <w:szCs w:val="21"/>
        </w:rPr>
        <w:t xml:space="preserve">T</w:t>
      </w:r>
      <w:r>
        <w:rPr>
          <w:rFonts w:ascii="Times New Roman" w:cs="Times New Roman" w:eastAsia="Times New Roman" w:hAnsi="Times New Roman"/>
          <w:sz w:val="21"/>
          <w:szCs w:val="21"/>
          <w:vertAlign w:val="subscript"/>
        </w:rPr>
        <w:t xml:space="preserve">1</w:t>
      </w:r>
      <w:r>
        <w:rPr>
          <w:rFonts w:ascii="Times New Roman" w:cs="Times New Roman" w:eastAsia="Times New Roman" w:hAnsi="Times New Roman"/>
          <w:sz w:val="21"/>
          <w:szCs w:val="21"/>
        </w:rPr>
        <w:t xml:space="preserve"> and an effective period </w:t>
      </w:r>
      <w:r>
        <w:rPr>
          <w:rFonts w:ascii="Times New Roman" w:cs="Times New Roman" w:eastAsia="Times New Roman" w:hAnsi="Times New Roman"/>
          <w:i/>
          <w:iCs/>
          <w:sz w:val="21"/>
          <w:szCs w:val="21"/>
        </w:rPr>
        <w:t xml:space="preserve">T</w:t>
      </w:r>
      <w:r>
        <w:rPr>
          <w:rFonts w:ascii="Times New Roman" w:cs="Times New Roman" w:eastAsia="Times New Roman" w:hAnsi="Times New Roman"/>
          <w:sz w:val="21"/>
          <w:szCs w:val="21"/>
          <w:vertAlign w:val="subscript"/>
        </w:rPr>
        <w:t xml:space="preserve">eff</w:t>
      </w:r>
      <w:r>
        <w:rPr>
          <w:rFonts w:ascii="Times New Roman" w:cs="Times New Roman" w:eastAsia="Times New Roman" w:hAnsi="Times New Roman"/>
          <w:sz w:val="21"/>
          <w:szCs w:val="21"/>
        </w:rPr>
        <w:t xml:space="preserve">, obtained once from the numerical pushover curve and the measured effective mass and held constant over the sequence. The periods of the sine waves, in contrast, are read from the record alone. The first wave is set at the predominant period </w:t>
      </w:r>
      <w:r>
        <w:rPr>
          <w:rFonts w:ascii="Times New Roman" w:cs="Times New Roman" w:eastAsia="Times New Roman" w:hAnsi="Times New Roman"/>
          <w:i/>
          <w:iCs/>
          <w:sz w:val="21"/>
          <w:szCs w:val="21"/>
        </w:rPr>
        <w:t xml:space="preserve">T</w:t>
      </w:r>
      <w:r>
        <w:rPr>
          <w:rFonts w:ascii="Times New Roman" w:cs="Times New Roman" w:eastAsia="Times New Roman" w:hAnsi="Times New Roman"/>
          <w:sz w:val="21"/>
          <w:szCs w:val="21"/>
          <w:vertAlign w:val="subscript"/>
        </w:rPr>
        <w:t xml:space="preserve">p</w:t>
      </w:r>
      <w:r>
        <w:rPr>
          <w:rFonts w:ascii="Times New Roman" w:cs="Times New Roman" w:eastAsia="Times New Roman" w:hAnsi="Times New Roman"/>
          <w:sz w:val="21"/>
          <w:szCs w:val="21"/>
        </w:rPr>
        <w:t xml:space="preserve">, and the second at the mean period </w:t>
      </w:r>
      <w:r>
        <w:rPr>
          <w:rFonts w:ascii="Times New Roman" w:cs="Times New Roman" w:eastAsia="Times New Roman" w:hAnsi="Times New Roman"/>
          <w:i/>
          <w:iCs/>
          <w:sz w:val="21"/>
          <w:szCs w:val="21"/>
        </w:rPr>
        <w:t xml:space="preserve">T</w:t>
      </w:r>
      <w:r>
        <w:rPr>
          <w:rFonts w:ascii="Times New Roman" w:cs="Times New Roman" w:eastAsia="Times New Roman" w:hAnsi="Times New Roman"/>
          <w:sz w:val="21"/>
          <w:szCs w:val="21"/>
          <w:vertAlign w:val="subscript"/>
        </w:rPr>
        <w:t xml:space="preserve">m</w:t>
      </w:r>
      <w:r>
        <w:rPr>
          <w:rFonts w:ascii="Times New Roman" w:cs="Times New Roman" w:eastAsia="Times New Roman" w:hAnsi="Times New Roman"/>
          <w:sz w:val="21"/>
          <w:szCs w:val="21"/>
        </w:rPr>
        <w:t xml:space="preserve"> [2], a Fourier-amplitude-weighted average of the record’s frequency content that equals 0.21, 0.54 and 0.37 s for HU12, EC40 and FR76.</w:t>
      </w:r>
    </w:p>
    <w:p>
      <w:pPr>
        <w:spacing w:after="90" w:line="300"/>
        <w:jc w:val="both"/>
      </w:pPr>
      <w:r>
        <w:rPr>
          <w:rFonts w:ascii="Times New Roman" w:cs="Times New Roman" w:eastAsia="Times New Roman" w:hAnsi="Times New Roman"/>
          <w:sz w:val="21"/>
          <w:szCs w:val="21"/>
        </w:rPr>
        <w:t xml:space="preserve">The pairing follows from a signal-level comparison of candidate carrier periods, made before any DEM analysis. With both waves at </w:t>
      </w:r>
      <w:r>
        <w:rPr>
          <w:rFonts w:ascii="Times New Roman" w:cs="Times New Roman" w:eastAsia="Times New Roman" w:hAnsi="Times New Roman"/>
          <w:i/>
          <w:iCs/>
          <w:sz w:val="21"/>
          <w:szCs w:val="21"/>
        </w:rPr>
        <w:t xml:space="preserve">T</w:t>
      </w:r>
      <w:r>
        <w:rPr>
          <w:rFonts w:ascii="Times New Roman" w:cs="Times New Roman" w:eastAsia="Times New Roman" w:hAnsi="Times New Roman"/>
          <w:sz w:val="21"/>
          <w:szCs w:val="21"/>
          <w:vertAlign w:val="subscript"/>
        </w:rPr>
        <w:t xml:space="preserve">m</w:t>
      </w:r>
      <w:r>
        <w:rPr>
          <w:rFonts w:ascii="Times New Roman" w:cs="Times New Roman" w:eastAsia="Times New Roman" w:hAnsi="Times New Roman"/>
          <w:sz w:val="21"/>
          <w:szCs w:val="21"/>
        </w:rPr>
        <w:t xml:space="preserve">, the fit degenerates into a single wave and the </w:t>
      </w:r>
      <w:r>
        <w:rPr>
          <w:rFonts w:ascii="Times New Roman" w:cs="Times New Roman" w:eastAsia="Times New Roman" w:hAnsi="Times New Roman"/>
          <w:i/>
          <w:iCs/>
          <w:sz w:val="21"/>
          <w:szCs w:val="21"/>
        </w:rPr>
        <w:t xml:space="preserve">T</w:t>
      </w:r>
      <w:r>
        <w:rPr>
          <w:rFonts w:ascii="Times New Roman" w:cs="Times New Roman" w:eastAsia="Times New Roman" w:hAnsi="Times New Roman"/>
          <w:sz w:val="21"/>
          <w:szCs w:val="21"/>
          <w:vertAlign w:val="subscript"/>
        </w:rPr>
        <w:t xml:space="preserve">eff</w:t>
      </w:r>
      <w:r>
        <w:rPr>
          <w:rFonts w:ascii="Times New Roman" w:cs="Times New Roman" w:eastAsia="Times New Roman" w:hAnsi="Times New Roman"/>
          <w:sz w:val="21"/>
          <w:szCs w:val="21"/>
        </w:rPr>
        <w:t xml:space="preserve"> target is overshot by as much as 76%. Placing both at </w:t>
      </w:r>
      <w:r>
        <w:rPr>
          <w:rFonts w:ascii="Times New Roman" w:cs="Times New Roman" w:eastAsia="Times New Roman" w:hAnsi="Times New Roman"/>
          <w:i/>
          <w:iCs/>
          <w:sz w:val="21"/>
          <w:szCs w:val="21"/>
        </w:rPr>
        <w:t xml:space="preserve">T</w:t>
      </w:r>
      <w:r>
        <w:rPr>
          <w:rFonts w:ascii="Times New Roman" w:cs="Times New Roman" w:eastAsia="Times New Roman" w:hAnsi="Times New Roman"/>
          <w:sz w:val="21"/>
          <w:szCs w:val="21"/>
          <w:vertAlign w:val="subscript"/>
        </w:rPr>
        <w:t xml:space="preserve">p</w:t>
      </w:r>
      <w:r>
        <w:rPr>
          <w:rFonts w:ascii="Times New Roman" w:cs="Times New Roman" w:eastAsia="Times New Roman" w:hAnsi="Times New Roman"/>
          <w:sz w:val="21"/>
          <w:szCs w:val="21"/>
        </w:rPr>
        <w:t xml:space="preserve"> drives the table acceleration up to 3.6 times the record PGA. Of the combinations considered, only </w:t>
      </w:r>
      <w:r>
        <w:rPr>
          <w:rFonts w:ascii="Times New Roman" w:cs="Times New Roman" w:eastAsia="Times New Roman" w:hAnsi="Times New Roman"/>
          <w:i/>
          <w:iCs/>
          <w:sz w:val="21"/>
          <w:szCs w:val="21"/>
        </w:rPr>
        <w:t xml:space="preserve">T</w:t>
      </w:r>
      <w:r>
        <w:rPr>
          <w:rFonts w:ascii="Times New Roman" w:cs="Times New Roman" w:eastAsia="Times New Roman" w:hAnsi="Times New Roman"/>
          <w:sz w:val="21"/>
          <w:szCs w:val="21"/>
          <w:vertAlign w:val="subscript"/>
        </w:rPr>
        <w:t xml:space="preserve">p</w:t>
      </w:r>
      <w:r>
        <w:rPr>
          <w:rFonts w:ascii="Times New Roman" w:cs="Times New Roman" w:eastAsia="Times New Roman" w:hAnsi="Times New Roman"/>
          <w:sz w:val="21"/>
          <w:szCs w:val="21"/>
        </w:rPr>
        <w:t xml:space="preserve">/</w:t>
      </w:r>
      <w:r>
        <w:rPr>
          <w:rFonts w:ascii="Times New Roman" w:cs="Times New Roman" w:eastAsia="Times New Roman" w:hAnsi="Times New Roman"/>
          <w:i/>
          <w:iCs/>
          <w:sz w:val="21"/>
          <w:szCs w:val="21"/>
        </w:rPr>
        <w:t xml:space="preserve">T</w:t>
      </w:r>
      <w:r>
        <w:rPr>
          <w:rFonts w:ascii="Times New Roman" w:cs="Times New Roman" w:eastAsia="Times New Roman" w:hAnsi="Times New Roman"/>
          <w:sz w:val="21"/>
          <w:szCs w:val="21"/>
          <w:vertAlign w:val="subscript"/>
        </w:rPr>
        <w:t xml:space="preserve">m</w:t>
      </w:r>
      <w:r>
        <w:rPr>
          <w:rFonts w:ascii="Times New Roman" w:cs="Times New Roman" w:eastAsia="Times New Roman" w:hAnsi="Times New Roman"/>
          <w:sz w:val="21"/>
          <w:szCs w:val="21"/>
        </w:rPr>
        <w:t xml:space="preserve"> matches both spectral ordinates on all 25 runs within 4% of the scaled record PGA.</w:t>
      </w:r>
    </w:p>
    <w:p>
      <w:pPr>
        <w:spacing w:after="90" w:line="300"/>
        <w:jc w:val="both"/>
      </w:pPr>
      <w:r>
        <w:rPr>
          <w:rFonts w:ascii="Times New Roman" w:cs="Times New Roman" w:eastAsia="Times New Roman" w:hAnsi="Times New Roman"/>
          <w:sz w:val="21"/>
          <w:szCs w:val="21"/>
        </w:rPr>
        <w:t xml:space="preserve">In 3DEC, the wall is modelled as an assembly of rigid blocks whose joints follow the MASON contact model [3], with zero tensile strength as indicated by the force plateau in the tests, under large-strain kinematics and 1.5% Maxwell damping. Run by run, the surrogate response is compared with the same model under the recorded table motions and with the two specimens, in terms of peak and residual out-of-plane displacement, peak base shear and force–displacement hysteresis. Both spectral targets are reproduced in 3DEC within 0.4%. Over the first 15 runs, the peak base shear stays within 0.84–1.33 times that measured on the two specimens. Peak displacement agrees with the record-driven model within 20% up to run 7, but is overestimated by up to 2.3 times by run 15. In those runs the wall still responds at 0.16–0.20 s, while the second wave imposes the demand at </w:t>
      </w:r>
      <w:r>
        <w:rPr>
          <w:rFonts w:ascii="Times New Roman" w:cs="Times New Roman" w:eastAsia="Times New Roman" w:hAnsi="Times New Roman"/>
          <w:i/>
          <w:iCs/>
          <w:sz w:val="21"/>
          <w:szCs w:val="21"/>
        </w:rPr>
        <w:t xml:space="preserve">T</w:t>
      </w:r>
      <w:r>
        <w:rPr>
          <w:rFonts w:ascii="Times New Roman" w:cs="Times New Roman" w:eastAsia="Times New Roman" w:hAnsi="Times New Roman"/>
          <w:sz w:val="21"/>
          <w:szCs w:val="21"/>
          <w:vertAlign w:val="subscript"/>
        </w:rPr>
        <w:t xml:space="preserve">eff</w:t>
      </w:r>
      <w:r>
        <w:rPr>
          <w:rFonts w:ascii="Times New Roman" w:cs="Times New Roman" w:eastAsia="Times New Roman" w:hAnsi="Times New Roman"/>
          <w:sz w:val="21"/>
          <w:szCs w:val="21"/>
        </w:rPr>
        <w:t xml:space="preserve"> = 0.34 s.</w:t>
      </w:r>
    </w:p>
    <w:p>
      <w:pPr>
        <w:spacing w:after="90" w:line="300"/>
        <w:jc w:val="both"/>
      </w:pPr>
      <w:r>
        <w:rPr>
          <w:rFonts w:ascii="Times New Roman" w:cs="Times New Roman" w:eastAsia="Times New Roman" w:hAnsi="Times New Roman"/>
          <w:sz w:val="21"/>
          <w:szCs w:val="21"/>
        </w:rPr>
        <w:t xml:space="preserve">A sensitivity analysis, presented alongside these results, examines how the response depends on the ultimate displacement that fixes </w:t>
      </w:r>
      <w:r>
        <w:rPr>
          <w:rFonts w:ascii="Times New Roman" w:cs="Times New Roman" w:eastAsia="Times New Roman" w:hAnsi="Times New Roman"/>
          <w:i/>
          <w:iCs/>
          <w:sz w:val="21"/>
          <w:szCs w:val="21"/>
        </w:rPr>
        <w:t xml:space="preserve">T</w:t>
      </w:r>
      <w:r>
        <w:rPr>
          <w:rFonts w:ascii="Times New Roman" w:cs="Times New Roman" w:eastAsia="Times New Roman" w:hAnsi="Times New Roman"/>
          <w:sz w:val="21"/>
          <w:szCs w:val="21"/>
          <w:vertAlign w:val="subscript"/>
        </w:rPr>
        <w:t xml:space="preserve">eff</w:t>
      </w:r>
      <w:r>
        <w:rPr>
          <w:rFonts w:ascii="Times New Roman" w:cs="Times New Roman" w:eastAsia="Times New Roman" w:hAnsi="Times New Roman"/>
          <w:sz w:val="21"/>
          <w:szCs w:val="21"/>
        </w:rPr>
        <w:t xml:space="preserve">, the damping, the number of cycles and relative phase of the two waves, and the pushover branch used for </w:t>
      </w:r>
      <w:r>
        <w:rPr>
          <w:rFonts w:ascii="Times New Roman" w:cs="Times New Roman" w:eastAsia="Times New Roman" w:hAnsi="Times New Roman"/>
          <w:i/>
          <w:iCs/>
          <w:sz w:val="21"/>
          <w:szCs w:val="21"/>
        </w:rPr>
        <w:t xml:space="preserve">T</w:t>
      </w:r>
      <w:r>
        <w:rPr>
          <w:rFonts w:ascii="Times New Roman" w:cs="Times New Roman" w:eastAsia="Times New Roman" w:hAnsi="Times New Roman"/>
          <w:sz w:val="21"/>
          <w:szCs w:val="21"/>
          <w:vertAlign w:val="subscript"/>
        </w:rPr>
        <w:t xml:space="preserve">1</w:t>
      </w:r>
      <w:r>
        <w:rPr>
          <w:rFonts w:ascii="Times New Roman" w:cs="Times New Roman" w:eastAsia="Times New Roman" w:hAnsi="Times New Roman"/>
          <w:sz w:val="21"/>
          <w:szCs w:val="21"/>
        </w:rPr>
        <w:t xml:space="preserve"> and </w:t>
      </w:r>
      <w:r>
        <w:rPr>
          <w:rFonts w:ascii="Times New Roman" w:cs="Times New Roman" w:eastAsia="Times New Roman" w:hAnsi="Times New Roman"/>
          <w:i/>
          <w:iCs/>
          <w:sz w:val="21"/>
          <w:szCs w:val="21"/>
        </w:rPr>
        <w:t xml:space="preserve">T</w:t>
      </w:r>
      <w:r>
        <w:rPr>
          <w:rFonts w:ascii="Times New Roman" w:cs="Times New Roman" w:eastAsia="Times New Roman" w:hAnsi="Times New Roman"/>
          <w:sz w:val="21"/>
          <w:szCs w:val="21"/>
          <w:vertAlign w:val="subscript"/>
        </w:rPr>
        <w:t xml:space="preserve">eff</w:t>
      </w:r>
      <w:r>
        <w:rPr>
          <w:rFonts w:ascii="Times New Roman" w:cs="Times New Roman" w:eastAsia="Times New Roman" w:hAnsi="Times New Roman"/>
          <w:sz w:val="21"/>
          <w:szCs w:val="21"/>
        </w:rPr>
        <w:t xml:space="preserve">. The results are expected to define the conditions under which a record-informed two-pulse surrogate can replace a full record sequence in DEM analyses of out-of-plane loaded URM walls, and the range of validity of its single-degree-of-freedom basis.</w:t>
      </w:r>
    </w:p>
    <w:p>
      <w:pPr>
        <w:spacing w:after="30" w:before="60"/>
      </w:pPr>
      <w:r>
        <w:rPr>
          <w:rFonts w:ascii="Times New Roman" w:cs="Times New Roman" w:eastAsia="Times New Roman" w:hAnsi="Times New Roman"/>
          <w:b/>
          <w:bCs/>
          <w:sz w:val="19"/>
          <w:szCs w:val="19"/>
        </w:rPr>
        <w:t xml:space="preserve">References</w:t>
      </w:r>
    </w:p>
    <w:p>
      <w:pPr>
        <w:spacing w:after="0" w:line="228"/>
        <w:ind w:left="340" w:hanging="340"/>
        <w:jc w:val="left"/>
      </w:pPr>
      <w:r>
        <w:rPr>
          <w:rFonts w:ascii="Times New Roman" w:cs="Times New Roman" w:eastAsia="Times New Roman" w:hAnsi="Times New Roman"/>
          <w:sz w:val="18"/>
          <w:szCs w:val="18"/>
        </w:rPr>
        <w:t xml:space="preserve">[1]  Smyrou E, Moshfeghi A, Arslan O, Bal IE (2024). Out-of-plane shake table tests on solid masonry walls with timber floors. </w:t>
      </w:r>
      <w:r>
        <w:rPr>
          <w:rFonts w:ascii="Times New Roman" w:cs="Times New Roman" w:eastAsia="Times New Roman" w:hAnsi="Times New Roman"/>
          <w:i/>
          <w:iCs/>
          <w:sz w:val="18"/>
          <w:szCs w:val="18"/>
        </w:rPr>
        <w:t xml:space="preserve">Structures</w:t>
      </w:r>
      <w:r>
        <w:rPr>
          <w:rFonts w:ascii="Times New Roman" w:cs="Times New Roman" w:eastAsia="Times New Roman" w:hAnsi="Times New Roman"/>
          <w:sz w:val="18"/>
          <w:szCs w:val="18"/>
        </w:rPr>
        <w:t xml:space="preserve">, 66, 106815.</w:t>
      </w:r>
    </w:p>
    <w:p>
      <w:pPr>
        <w:spacing w:after="0" w:line="228"/>
        <w:ind w:left="340" w:hanging="340"/>
        <w:jc w:val="left"/>
      </w:pPr>
      <w:r>
        <w:rPr>
          <w:rFonts w:ascii="Times New Roman" w:cs="Times New Roman" w:eastAsia="Times New Roman" w:hAnsi="Times New Roman"/>
          <w:sz w:val="18"/>
          <w:szCs w:val="18"/>
        </w:rPr>
        <w:t xml:space="preserve">[2]  Rathje EM, Faraj F, Russell S, Bray JD (2004). Empirical relationships for frequency content parameters of earthquake ground motions. </w:t>
      </w:r>
      <w:r>
        <w:rPr>
          <w:rFonts w:ascii="Times New Roman" w:cs="Times New Roman" w:eastAsia="Times New Roman" w:hAnsi="Times New Roman"/>
          <w:i/>
          <w:iCs/>
          <w:sz w:val="18"/>
          <w:szCs w:val="18"/>
        </w:rPr>
        <w:t xml:space="preserve">Earthquake Spectra</w:t>
      </w:r>
      <w:r>
        <w:rPr>
          <w:rFonts w:ascii="Times New Roman" w:cs="Times New Roman" w:eastAsia="Times New Roman" w:hAnsi="Times New Roman"/>
          <w:sz w:val="18"/>
          <w:szCs w:val="18"/>
        </w:rPr>
        <w:t xml:space="preserve">, 20(1), 119–144.</w:t>
      </w:r>
    </w:p>
    <w:p>
      <w:pPr>
        <w:spacing w:after="0" w:line="228"/>
        <w:ind w:left="340" w:hanging="340"/>
        <w:jc w:val="left"/>
      </w:pPr>
      <w:r>
        <w:rPr>
          <w:rFonts w:ascii="Times New Roman" w:cs="Times New Roman" w:eastAsia="Times New Roman" w:hAnsi="Times New Roman"/>
          <w:sz w:val="18"/>
          <w:szCs w:val="18"/>
        </w:rPr>
        <w:t xml:space="preserve">[3]  Oktiovan YP, Messali F, Pulatsu B, Sharma S, Lemos JV, Rots JG (2026). Cyclic constitutive model for masonry joint damage and energy dissipation using the distinct element method. </w:t>
      </w:r>
      <w:r>
        <w:rPr>
          <w:rFonts w:ascii="Times New Roman" w:cs="Times New Roman" w:eastAsia="Times New Roman" w:hAnsi="Times New Roman"/>
          <w:i/>
          <w:iCs/>
          <w:sz w:val="18"/>
          <w:szCs w:val="18"/>
        </w:rPr>
        <w:t xml:space="preserve">Computers and Structures</w:t>
      </w:r>
      <w:r>
        <w:rPr>
          <w:rFonts w:ascii="Times New Roman" w:cs="Times New Roman" w:eastAsia="Times New Roman" w:hAnsi="Times New Roman"/>
          <w:sz w:val="18"/>
          <w:szCs w:val="18"/>
        </w:rPr>
        <w:t xml:space="preserve">, 321, 108094.</w:t>
      </w:r>
    </w:p>
    <w:sectPr>
      <w:pgSz w:w="11906" w:h="16838" w:orient="portrait"/>
      <w:pgMar w:top="1020" w:right="1247" w:bottom="900"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2026-10-23T16:22:03.477Z</dcterms:created>
  <dcterms:modified xsi:type="dcterms:W3CDTF">2026-10-23T16:22:03.486Z</dcterms:modified>
</cp:coreProperties>
</file>

<file path=docProps/custom.xml><?xml version="1.0" encoding="utf-8"?>
<Properties xmlns="http://schemas.openxmlformats.org/officeDocument/2006/custom-properties" xmlns:vt="http://schemas.openxmlformats.org/officeDocument/2006/docPropsVTypes"/>
</file>