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0"/>
        <w:rPr>
          <w:b/>
          <w:bCs/>
          <w:color w:val="2E6DA4"/>
        </w:rPr>
        <w:jc w:val="center"/>
        <w:snapToGrid w:val="0"/>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0" w:after="40"/>
        <w:rPr>
          <w:b/>
          <w:bCs/>
          <w:color w:val="2E6DA4"/>
        </w:rPr>
      </w:pPr>
    </w:p>
    <w:p w14:paraId="0A4FD4ED" w14:textId="567D214F" w:rsidR="00D23AA4" w:rsidRDefault="00D23AA4" w:rsidP="00104BF4">
      <w:pPr>
        <w:spacing w:before="300" w:after="120"/>
        <w:rPr>
          <w:b/>
          <w:bCs/>
          <w:color w:val="2E6DA4"/>
        </w:rPr>
      </w:pPr>
    </w:p>
    <w:p w14:paraId="57B4AB91" w14:textId="26FD1550" w:rsidR="00D23AA4" w:rsidRDefault="00D23AA4" w:rsidP="00104BF4">
      <w:pPr>
        <w:spacing w:before="300" w:after="120"/>
        <w:rPr>
          <w:b/>
          <w:bCs/>
          <w:color w:val="2E6DA4"/>
        </w:rPr>
      </w:pPr>
    </w:p>
    <w:p w14:paraId="6C1DC7FF" w14:textId="79C56DB9" w:rsidR="00D23AA4" w:rsidRDefault="00D23AA4" w:rsidP="00104BF4">
      <w:pPr>
        <w:spacing w:before="300" w:after="120"/>
        <w:rPr>
          <w:b/>
          <w:bCs/>
          <w:color w:val="2E6DA4"/>
        </w:rPr>
      </w:pPr>
    </w:p>
    <w:p w14:paraId="69FC019E" w14:textId="2651F83B" w:rsidR="00D23AA4" w:rsidRDefault="00D23AA4" w:rsidP="00104BF4">
      <w:pPr>
        <w:spacing w:before="300" w:after="120"/>
        <w:rPr>
          <w:b/>
          <w:bCs/>
          <w:color w:val="2E6DA4"/>
        </w:rPr>
      </w:pPr>
    </w:p>
    <w:p w14:paraId="6AF8308A" w14:textId="6E456746" w:rsidR="00D23AA4" w:rsidRDefault="00D23AA4" w:rsidP="00104BF4">
      <w:pPr>
        <w:spacing w:before="300" w:after="120"/>
        <w:rPr>
          <w:b/>
          <w:bCs/>
          <w:color w:val="2E6DA4"/>
        </w:rPr>
      </w:pPr>
    </w:p>
    <w:p w14:paraId="7B05229D" w14:textId="7A268B3E" w:rsidR="00D23AA4" w:rsidRDefault="00D23AA4" w:rsidP="00104BF4">
      <w:pPr>
        <w:spacing w:before="300" w:after="120"/>
        <w:rPr>
          <w:b/>
          <w:bCs/>
          <w:color w:val="2E6DA4"/>
        </w:rPr>
      </w:pPr>
    </w:p>
    <w:p w14:paraId="2255D52F" w14:textId="59D18B41" w:rsidR="00D23AA4" w:rsidRDefault="00D23AA4" w:rsidP="00104BF4">
      <w:pPr>
        <w:spacing w:before="300" w:after="120"/>
        <w:rPr>
          <w:b/>
          <w:bCs/>
          <w:color w:val="2E6DA4"/>
        </w:rPr>
      </w:pPr>
    </w:p>
    <w:p w14:paraId="1F2CCA21" w14:textId="24B7C3F7" w:rsidR="00D23AA4" w:rsidRDefault="00D23AA4" w:rsidP="00104BF4">
      <w:pPr>
        <w:spacing w:before="300" w:after="120"/>
        <w:rPr>
          <w:b/>
          <w:bCs/>
          <w:color w:val="2E6DA4"/>
        </w:rPr>
      </w:pPr>
    </w:p>
    <w:p w14:paraId="518B83CE" w14:textId="77777777" w:rsidR="00D23AA4" w:rsidRDefault="00D23AA4" w:rsidP="00104BF4">
      <w:pPr>
        <w:spacing w:before="300" w:after="120"/>
        <w:rPr>
          <w:b/>
          <w:bCs/>
          <w:color w:val="2E6DA4"/>
        </w:rPr>
      </w:pPr>
    </w:p>
    <w:p w14:paraId="3C347F07" w14:textId="77777777" w:rsidR="00D23AA4" w:rsidRDefault="00D23AA4" w:rsidP="00104BF4">
      <w:pPr>
        <w:spacing w:before="300" w:after="120"/>
        <w:rPr>
          <w:b/>
          <w:bCs/>
          <w:color w:val="2E6DA4"/>
        </w:rPr>
      </w:pPr>
    </w:p>
    <w:p w14:paraId="45249ED8" w14:textId="77777777" w:rsidR="00D23AA4" w:rsidRDefault="00D23AA4" w:rsidP="00104BF4">
      <w:pPr>
        <w:spacing w:before="300" w:after="120"/>
        <w:rPr>
          <w:b/>
          <w:bCs/>
          <w:color w:val="2E6DA4"/>
        </w:rPr>
      </w:pPr>
    </w:p>
    <w:p w14:paraId="678673FD" w14:textId="77777777" w:rsidR="00D23AA4" w:rsidRDefault="00D23AA4" w:rsidP="00104BF4">
      <w:pPr>
        <w:spacing w:before="300" w:after="120"/>
        <w:rPr>
          <w:b/>
          <w:bCs/>
          <w:color w:val="2E6DA4"/>
        </w:rPr>
      </w:pPr>
    </w:p>
    <w:p>
      <w:pPr>
        <w:spacing w:before="300" w:after="120"/>
      </w:pPr>
      <w:r>
        <w:rPr>
          <w:rFonts w:ascii="Times New Roman" w:hAnsi="Times New Roman" w:cs="Times New Roman"/>
          <w:sz w:val="24"/>
          <w:szCs w:val="24"/>
        </w:rPr>
        <w:t>INTRODUCTION</w:t>
      </w:r>
    </w:p>
    <w:p>
      <w:pPr>
        <w:spacing w:before="300" w:after="120"/>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0" w:after="4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0"/>
        <w:jc w:val="center"/>
        <w:snapToGrid w:val="0"/>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0" w:after="4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0" w:after="4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0"/>
        <w:jc w:val="center"/>
        <w:snapToGrid w:val="0"/>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0" w:after="4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0" w:after="40"/>
      </w:pPr>
      <w:r>
        <w:rPr>
          <w:rFonts w:ascii="Times New Roman" w:hAnsi="Times New Roman" w:cs="Times New Roman"/>
          <w:sz w:val="24"/>
          <w:szCs w:val="24"/>
        </w:rPr>
        <w:t>Le diagramme du package élève couvre authentification, consultation rapide, demandes, duplicata et rendez-vous.</w:t>
      </w:r>
    </w:p>
    <w:p>
      <w:pPr>
        <w:spacing w:before="0" w:after="0"/>
        <w:jc w:val="center"/>
        <w:snapToGrid w:val="0"/>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0" w:after="4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0" w:after="40"/>
      </w:pPr>
      <w:r>
        <w:rPr>
          <w:rFonts w:ascii="Times New Roman" w:hAnsi="Times New Roman" w:cs="Times New Roman"/>
          <w:sz w:val="24"/>
          <w:szCs w:val="24"/>
        </w:rPr>
        <w:t>Ce scénario est matérialisé par la figure 4 suivante :</w:t>
      </w:r>
    </w:p>
    <w:p>
      <w:pPr>
        <w:spacing w:before="0" w:after="0"/>
        <w:jc w:val="center"/>
        <w:snapToGrid w:val="0"/>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0" w:after="4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0" w:after="40"/>
      </w:pPr>
      <w:r>
        <w:rPr>
          <w:rFonts w:ascii="Times New Roman" w:hAnsi="Times New Roman" w:cs="Times New Roman"/>
          <w:sz w:val="24"/>
          <w:szCs w:val="24"/>
        </w:rPr>
        <w:t>Les échanges sont illustrés par la figure 5 suivante :</w:t>
      </w:r>
    </w:p>
    <w:p>
      <w:pPr>
        <w:spacing w:before="0" w:after="0"/>
        <w:jc w:val="center"/>
        <w:snapToGrid w:val="0"/>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0" w:after="4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0" w:after="40"/>
      </w:pPr>
      <w:r>
        <w:rPr>
          <w:rFonts w:ascii="Times New Roman" w:hAnsi="Times New Roman" w:cs="Times New Roman"/>
          <w:sz w:val="24"/>
          <w:szCs w:val="24"/>
        </w:rPr>
        <w:t>Ce scénario est matérialisé par la figure 6 suivante :</w:t>
      </w:r>
    </w:p>
    <w:p>
      <w:pPr>
        <w:spacing w:before="0" w:after="0"/>
        <w:jc w:val="center"/>
        <w:snapToGrid w:val="0"/>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0" w:after="4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0" w:after="40"/>
      </w:pPr>
      <w:r>
        <w:rPr>
          <w:rFonts w:ascii="Times New Roman" w:hAnsi="Times New Roman" w:cs="Times New Roman"/>
          <w:sz w:val="24"/>
          <w:szCs w:val="24"/>
        </w:rPr>
        <w:t>Les échanges sont illustrés par la figure 7 suivante :</w:t>
      </w:r>
    </w:p>
    <w:p>
      <w:pPr>
        <w:spacing w:before="0" w:after="0"/>
        <w:jc w:val="center"/>
        <w:snapToGrid w:val="0"/>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0" w:after="4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0" w:after="40"/>
      </w:pPr>
      <w:r>
        <w:rPr>
          <w:rFonts w:ascii="Times New Roman" w:hAnsi="Times New Roman" w:cs="Times New Roman"/>
          <w:sz w:val="24"/>
          <w:szCs w:val="24"/>
        </w:rPr>
        <w:t>Ce scénario est matérialisé par la figure 8 suivante :</w:t>
      </w:r>
    </w:p>
    <w:p>
      <w:pPr>
        <w:spacing w:before="0" w:after="0"/>
        <w:jc w:val="center"/>
        <w:snapToGrid w:val="0"/>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0" w:after="40"/>
      </w:pPr>
      <w:r>
        <w:rPr>
          <w:rFonts w:ascii="Times New Roman" w:hAnsi="Times New Roman" w:cs="Times New Roman"/>
          <w:sz w:val="24"/>
          <w:szCs w:val="24"/>
        </w:rPr>
        <w:t>Les échanges sont illustrés par la figure 9 suivante :</w:t>
      </w:r>
    </w:p>
    <w:p>
      <w:pPr>
        <w:spacing w:before="0" w:after="0"/>
        <w:jc w:val="center"/>
        <w:snapToGrid w:val="0"/>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0" w:after="4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0" w:after="40"/>
      </w:pPr>
      <w:r>
        <w:rPr>
          <w:rFonts w:ascii="Times New Roman" w:hAnsi="Times New Roman" w:cs="Times New Roman"/>
          <w:sz w:val="24"/>
          <w:szCs w:val="24"/>
        </w:rPr>
        <w:t>Ce scénario est matérialisé par la figure 10 suivante :</w:t>
      </w:r>
    </w:p>
    <w:p>
      <w:pPr>
        <w:spacing w:before="0" w:after="0"/>
        <w:jc w:val="center"/>
        <w:snapToGrid w:val="0"/>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0" w:after="40"/>
      </w:pPr>
      <w:r>
        <w:rPr>
          <w:rFonts w:ascii="Times New Roman" w:hAnsi="Times New Roman" w:cs="Times New Roman"/>
          <w:sz w:val="24"/>
          <w:szCs w:val="24"/>
        </w:rPr>
        <w:t>Les échanges sont illustrés par la figure 11 suivante :</w:t>
      </w:r>
    </w:p>
    <w:p>
      <w:pPr>
        <w:spacing w:before="0" w:after="0"/>
        <w:jc w:val="center"/>
        <w:snapToGrid w:val="0"/>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0" w:after="4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0" w:after="40"/>
      </w:pPr>
      <w:r>
        <w:rPr>
          <w:rFonts w:ascii="Times New Roman" w:hAnsi="Times New Roman" w:cs="Times New Roman"/>
          <w:sz w:val="24"/>
          <w:szCs w:val="24"/>
        </w:rPr>
        <w:t>Ce scénario est matérialisé par la figure 12 suivante :</w:t>
      </w:r>
    </w:p>
    <w:p>
      <w:pPr>
        <w:spacing w:before="0" w:after="0"/>
        <w:jc w:val="center"/>
        <w:snapToGrid w:val="0"/>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0" w:after="4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0" w:after="40"/>
      </w:pPr>
      <w:r>
        <w:rPr>
          <w:rFonts w:ascii="Times New Roman" w:hAnsi="Times New Roman" w:cs="Times New Roman"/>
          <w:sz w:val="24"/>
          <w:szCs w:val="24"/>
        </w:rPr>
        <w:t>Les échanges sont illustrés par la figure 13 suivante :</w:t>
      </w:r>
    </w:p>
    <w:p>
      <w:pPr>
        <w:spacing w:before="0" w:after="0"/>
        <w:jc w:val="center"/>
        <w:snapToGrid w:val="0"/>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0" w:after="4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0" w:after="40"/>
      </w:pPr>
      <w:r>
        <w:rPr>
          <w:rFonts w:ascii="Times New Roman" w:hAnsi="Times New Roman" w:cs="Times New Roman"/>
          <w:sz w:val="24"/>
          <w:szCs w:val="24"/>
        </w:rPr>
        <w:t>Ce scénario est matérialisé par la figure 14 suivante :</w:t>
      </w:r>
    </w:p>
    <w:p>
      <w:pPr>
        <w:spacing w:before="0" w:after="0"/>
        <w:jc w:val="center"/>
        <w:snapToGrid w:val="0"/>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0" w:after="40"/>
      </w:pPr>
      <w:r>
        <w:rPr>
          <w:rFonts w:ascii="Times New Roman" w:hAnsi="Times New Roman" w:cs="Times New Roman"/>
          <w:sz w:val="24"/>
          <w:szCs w:val="24"/>
        </w:rPr>
        <w:t>Les échanges sont illustrés par la figure 15 suivante :</w:t>
      </w:r>
    </w:p>
    <w:p>
      <w:pPr>
        <w:spacing w:before="0" w:after="0"/>
        <w:jc w:val="center"/>
        <w:snapToGrid w:val="0"/>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0" w:after="40"/>
      </w:pPr>
      <w:r>
        <w:rPr>
          <w:rFonts w:ascii="Times New Roman" w:hAnsi="Times New Roman" w:cs="Times New Roman"/>
          <w:sz w:val="24"/>
          <w:szCs w:val="24"/>
        </w:rPr>
        <w:t>Figure 15: Diagramme de séquence du cas « prendre rendez-vous ».</w:t>
      </w:r>
    </w:p>
    <w:p>
      <w:pPr>
        <w:spacing w:before="0" w:after="4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0"/>
        <w:jc w:val="center"/>
        <w:snapToGrid w:val="0"/>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0" w:after="4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0" w:after="40"/>
      </w:pPr>
      <w:r>
        <w:rPr>
          <w:rFonts w:ascii="Times New Roman" w:hAnsi="Times New Roman" w:cs="Times New Roman"/>
          <w:sz w:val="24"/>
          <w:szCs w:val="24"/>
        </w:rPr>
        <w:t>Ce scénario est matérialisé par la figure 17 suivante :</w:t>
      </w:r>
    </w:p>
    <w:p>
      <w:pPr>
        <w:spacing w:before="0" w:after="0"/>
        <w:jc w:val="center"/>
        <w:snapToGrid w:val="0"/>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0" w:after="4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0" w:after="40"/>
      </w:pPr>
      <w:r>
        <w:rPr>
          <w:rFonts w:ascii="Times New Roman" w:hAnsi="Times New Roman" w:cs="Times New Roman"/>
          <w:sz w:val="24"/>
          <w:szCs w:val="24"/>
        </w:rPr>
        <w:t>Les échanges sont illustrés par la figure 18 suivante :</w:t>
      </w:r>
    </w:p>
    <w:p>
      <w:pPr>
        <w:spacing w:before="0" w:after="0"/>
        <w:jc w:val="center"/>
        <w:snapToGrid w:val="0"/>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0" w:after="4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0" w:after="40"/>
      </w:pPr>
      <w:r>
        <w:rPr>
          <w:rFonts w:ascii="Times New Roman" w:hAnsi="Times New Roman" w:cs="Times New Roman"/>
          <w:sz w:val="24"/>
          <w:szCs w:val="24"/>
        </w:rPr>
        <w:t>Ce scénario est matérialisé par la figure 19 suivante :</w:t>
      </w:r>
    </w:p>
    <w:p>
      <w:pPr>
        <w:spacing w:before="0" w:after="0"/>
        <w:jc w:val="center"/>
        <w:snapToGrid w:val="0"/>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0" w:after="40"/>
      </w:pPr>
      <w:r>
        <w:rPr>
          <w:rFonts w:ascii="Times New Roman" w:hAnsi="Times New Roman" w:cs="Times New Roman"/>
          <w:sz w:val="24"/>
          <w:szCs w:val="24"/>
        </w:rPr>
        <w:t>Les échanges sont illustrés par la figure 20 suivante :</w:t>
      </w:r>
    </w:p>
    <w:p>
      <w:pPr>
        <w:spacing w:before="0" w:after="0"/>
        <w:jc w:val="center"/>
        <w:snapToGrid w:val="0"/>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0" w:after="4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0" w:after="40"/>
      </w:pPr>
      <w:r>
        <w:rPr>
          <w:rFonts w:ascii="Times New Roman" w:hAnsi="Times New Roman" w:cs="Times New Roman"/>
          <w:sz w:val="24"/>
          <w:szCs w:val="24"/>
        </w:rPr>
        <w:t>Ce scénario est matérialisé par la figure 21 suivante :</w:t>
      </w:r>
    </w:p>
    <w:p>
      <w:pPr>
        <w:spacing w:before="0" w:after="0"/>
        <w:jc w:val="center"/>
        <w:snapToGrid w:val="0"/>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0" w:after="4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0" w:after="40"/>
      </w:pPr>
      <w:r>
        <w:rPr>
          <w:rFonts w:ascii="Times New Roman" w:hAnsi="Times New Roman" w:cs="Times New Roman"/>
          <w:sz w:val="24"/>
          <w:szCs w:val="24"/>
        </w:rPr>
        <w:t>Les échanges sont illustrés par la figure 22 suivante :</w:t>
      </w:r>
    </w:p>
    <w:p>
      <w:pPr>
        <w:spacing w:before="0" w:after="0"/>
        <w:jc w:val="center"/>
        <w:snapToGrid w:val="0"/>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0" w:after="4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0" w:after="40"/>
      </w:pPr>
      <w:r>
        <w:rPr>
          <w:rFonts w:ascii="Times New Roman" w:hAnsi="Times New Roman" w:cs="Times New Roman"/>
          <w:sz w:val="24"/>
          <w:szCs w:val="24"/>
        </w:rPr>
        <w:t>Ce scénario est matérialisé par la figure 23 suivante :</w:t>
      </w:r>
    </w:p>
    <w:p>
      <w:pPr>
        <w:spacing w:before="0" w:after="0"/>
        <w:jc w:val="center"/>
        <w:snapToGrid w:val="0"/>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0" w:after="40"/>
      </w:pPr>
      <w:r>
        <w:rPr>
          <w:rFonts w:ascii="Times New Roman" w:hAnsi="Times New Roman" w:cs="Times New Roman"/>
          <w:sz w:val="24"/>
          <w:szCs w:val="24"/>
        </w:rPr>
        <w:t>Les échanges sont illustrés par la figure 24 suivante :</w:t>
      </w:r>
    </w:p>
    <w:p>
      <w:pPr>
        <w:spacing w:before="0" w:after="0"/>
        <w:jc w:val="center"/>
        <w:snapToGrid w:val="0"/>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0" w:after="40"/>
      </w:pPr>
      <w:r>
        <w:rPr>
          <w:rFonts w:ascii="Times New Roman" w:hAnsi="Times New Roman" w:cs="Times New Roman"/>
          <w:sz w:val="24"/>
          <w:szCs w:val="24"/>
        </w:rPr>
        <w:t>Figure 24: Diagramme de séquence du cas « définir le quota journalier ».</w:t>
      </w:r>
    </w:p>
    <w:p>
      <w:pPr>
        <w:spacing w:before="0" w:after="40"/>
      </w:pPr>
      <w:r>
        <w:rPr>
          <w:rFonts w:ascii="Times New Roman" w:hAnsi="Times New Roman" w:cs="Times New Roman"/>
          <w:sz w:val="24"/>
          <w:szCs w:val="24"/>
        </w:rPr>
        <w:t>La gestion des jours fériés sur le même écran est illustrée par la figure suivante :</w:t>
      </w:r>
    </w:p>
    <w:p>
      <w:pPr>
        <w:spacing w:before="0" w:after="0"/>
        <w:jc w:val="center"/>
        <w:snapToGrid w:val="0"/>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0" w:after="40"/>
      </w:pPr>
      <w:r>
        <w:rPr>
          <w:rFonts w:ascii="Times New Roman" w:hAnsi="Times New Roman" w:cs="Times New Roman"/>
          <w:sz w:val="24"/>
          <w:szCs w:val="24"/>
        </w:rPr>
        <w:t>Figure 25: Diagramme de séquence du cas « gérer les jours fériés ».</w:t>
      </w:r>
    </w:p>
    <w:p>
      <w:pPr>
        <w:spacing w:before="0" w:after="40"/>
      </w:pPr>
      <w:r>
        <w:rPr>
          <w:rFonts w:ascii="Times New Roman" w:hAnsi="Times New Roman" w:cs="Times New Roman"/>
          <w:sz w:val="24"/>
          <w:szCs w:val="24"/>
        </w:rPr>
        <w:t>Le diagramme du package agent couvre la consultation des rendez-vous et la confirmation du retrait physique.</w:t>
      </w:r>
    </w:p>
    <w:p>
      <w:pPr>
        <w:spacing w:before="0" w:after="0"/>
        <w:jc w:val="center"/>
        <w:snapToGrid w:val="0"/>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0" w:after="4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0" w:after="40"/>
      </w:pPr>
      <w:r>
        <w:rPr>
          <w:rFonts w:ascii="Times New Roman" w:hAnsi="Times New Roman" w:cs="Times New Roman"/>
          <w:sz w:val="24"/>
          <w:szCs w:val="24"/>
        </w:rPr>
        <w:t>Ce scénario est matérialisé par la figure 27 suivante :</w:t>
      </w:r>
    </w:p>
    <w:p>
      <w:pPr>
        <w:spacing w:before="0" w:after="0"/>
        <w:jc w:val="center"/>
        <w:snapToGrid w:val="0"/>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0" w:after="4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0" w:after="40"/>
      </w:pPr>
      <w:r>
        <w:rPr>
          <w:rFonts w:ascii="Times New Roman" w:hAnsi="Times New Roman" w:cs="Times New Roman"/>
          <w:sz w:val="24"/>
          <w:szCs w:val="24"/>
        </w:rPr>
        <w:t>Les échanges sont illustrés par la figure 28 suivante :</w:t>
      </w:r>
    </w:p>
    <w:p>
      <w:pPr>
        <w:spacing w:before="0" w:after="0"/>
        <w:jc w:val="center"/>
        <w:snapToGrid w:val="0"/>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0" w:after="4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0" w:after="40"/>
      </w:pPr>
      <w:r>
        <w:rPr>
          <w:rFonts w:ascii="Times New Roman" w:hAnsi="Times New Roman" w:cs="Times New Roman"/>
          <w:sz w:val="24"/>
          <w:szCs w:val="24"/>
        </w:rPr>
        <w:t>Ce scénario est matérialisé par la figure 29 suivante :</w:t>
      </w:r>
    </w:p>
    <w:p>
      <w:pPr>
        <w:spacing w:before="0" w:after="0"/>
        <w:jc w:val="center"/>
        <w:snapToGrid w:val="0"/>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0" w:after="4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0" w:after="40"/>
      </w:pPr>
      <w:r>
        <w:rPr>
          <w:rFonts w:ascii="Times New Roman" w:hAnsi="Times New Roman" w:cs="Times New Roman"/>
          <w:sz w:val="24"/>
          <w:szCs w:val="24"/>
        </w:rPr>
        <w:t>Les échanges sont illustrés par la figure 30 suivante :</w:t>
      </w:r>
    </w:p>
    <w:p>
      <w:pPr>
        <w:spacing w:before="0" w:after="0"/>
        <w:jc w:val="center"/>
        <w:snapToGrid w:val="0"/>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0" w:after="4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0" w:after="4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0"/>
        <w:jc w:val="center"/>
        <w:snapToGrid w:val="0"/>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0" w:after="4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jc w:val="both"/>
      </w:pPr>
      <w:r>
        <w:t>L'environnement de développement a été mis en place pour faciliter l'écriture, le test et l'organisation du code. Il comprend :</w:t>
      </w:r>
    </w:p>
    <w:p w14:paraId="5E8F395B" w14:textId="77777777" w:rsidR="00154D36" w:rsidRDefault="00635A41" w:rsidP="00104BF4">
      <w:pPr>
        <w:spacing w:after="120"/>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pPr>
      <w:r>
        <w:rPr>
          <w:b/>
          <w:bCs/>
          <w:color w:val="2E6DA4"/>
        </w:rPr>
        <w:t>2.6 MÉTHODE DE TEST ET VALIDATION</w:t>
      </w:r>
    </w:p>
    <w:p w14:paraId="6D27E0E5" w14:textId="77777777" w:rsidR="00154D36" w:rsidRDefault="00635A41" w:rsidP="00AF5A7B">
      <w:pPr>
        <w:spacing w:after="120"/>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pPr>
      <w:r>
        <w:rPr>
          <w:b/>
          <w:bCs/>
          <w:color w:val="2E6DA4"/>
        </w:rPr>
        <w:t>2.7 DÉPLOIEMENT ET MAINTENANCE</w:t>
      </w:r>
    </w:p>
    <w:p w14:paraId="4F3826AF" w14:textId="77777777" w:rsidR="00154D36" w:rsidRDefault="00635A41" w:rsidP="00104BF4">
      <w:pPr>
        <w:spacing w:after="120"/>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pPr>
      <w:r>
        <w:rPr>
          <w:b/>
          <w:bCs/>
          <w:color w:val="2E6DA4"/>
        </w:rPr>
        <w:t>2.8 LIMITES ET DIFFICULTÉS RENCONTRÉES</w:t>
      </w:r>
    </w:p>
    <w:p w14:paraId="4A8446D4" w14:textId="77777777" w:rsidR="00154D36" w:rsidRDefault="00635A41" w:rsidP="00104BF4">
      <w:pPr>
        <w:spacing w:after="120"/>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pPr>
      <w:r>
        <w:rPr>
          <w:b/>
          <w:bCs/>
          <w:color w:val="2E6DA4"/>
        </w:rPr>
        <w:t xml:space="preserve">                                               </w:t>
      </w:r>
      <w:r w:rsidR="00635A41">
        <w:rPr>
          <w:b/>
          <w:bCs/>
          <w:color w:val="2E6DA4"/>
        </w:rPr>
        <w:t>2.9 CONCLUSION</w:t>
      </w:r>
    </w:p>
    <w:p w14:paraId="38137628" w14:textId="77777777" w:rsidR="00154D36" w:rsidRDefault="00635A41" w:rsidP="00104BF4">
      <w:pPr>
        <w:spacing w:after="120"/>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3 : IMPLÉMENTATION ET PRÉSENTATION DES RÉSULTATS</w:t>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w:t>
      </w:r>
    </w:p>
    <w:p>
      <w:pPr>
        <w:spacing w:before="300" w:after="120" w:line="360" w:lineRule="auto"/>
      </w:pPr>
      <w:r>
        <w:rPr>
          <w:rFonts w:ascii="Times New Roman" w:hAnsi="Times New Roman" w:cs="Times New Roman"/>
          <w:sz w:val="24"/>
          <w:szCs w:val="24"/>
        </w:rPr>
        <w:t>3.2 CHOIX TECHNOLOGIQUES ET JUSTIFICATION</w:t>
      </w:r>
    </w:p>
    <w:p>
      <w:pPr>
        <w:spacing w:before="300" w:after="120" w:line="360" w:lineRule="auto"/>
      </w:pPr>
      <w:r>
        <w:rPr>
          <w:rFonts w:ascii="Times New Roman" w:hAnsi="Times New Roman" w:cs="Times New Roman"/>
          <w:sz w:val="24"/>
          <w:szCs w:val="24"/>
        </w:rPr>
        <w:t>Cette section justifie les technologies retenues pour construire D-SCOLCAM. Le cahier d'implémentation du projet détaille l'ensemble des choix ; nous en présentons ici une synthèse orientée soutenance.</w:t>
      </w:r>
    </w:p>
    <w:p>
      <w:pPr>
        <w:spacing w:before="300" w:after="120" w:line="360" w:lineRule="auto"/>
      </w:pPr>
      <w:r>
        <w:rPr>
          <w:rFonts w:ascii="Times New Roman" w:hAnsi="Times New Roman" w:cs="Times New Roman"/>
          <w:sz w:val="24"/>
          <w:szCs w:val="24"/>
        </w:rPr>
        <w:t>3.2.1 Principes directeurs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Un seul langage</w:t>
            </w:r>
          </w:p>
        </w:tc>
        <w:tc>
          <w:tcPr>
            <w:tcW w:w="6267" w:type="dxa"/>
          </w:tcPr>
          <w:p>
            <w:pPr>
              <w:spacing w:line="360" w:lineRule="auto" w:after="120"/>
            </w:pPr>
            <w:r>
              <w:rPr>
                <w:rFonts w:ascii="Times New Roman" w:hAnsi="Times New Roman" w:cs="Times New Roman"/>
                <w:sz w:val="24"/>
                <w:szCs w:val="24"/>
              </w:rPr>
              <w:t>TypeScript côté interface et logique métier (Next.js full-stack)</w:t>
            </w:r>
          </w:p>
        </w:tc>
      </w:tr>
      <w:tr>
        <w:tc>
          <w:tcPr>
            <w:tcW w:w="2800" w:type="dxa"/>
          </w:tcPr>
          <w:p>
            <w:pPr>
              <w:spacing w:line="360" w:lineRule="auto" w:after="120"/>
            </w:pPr>
            <w:r>
              <w:rPr>
                <w:rFonts w:ascii="Times New Roman" w:hAnsi="Times New Roman" w:cs="Times New Roman"/>
                <w:sz w:val="24"/>
                <w:szCs w:val="24"/>
                <w:b/>
              </w:rPr>
              <w:t>MVP réalisable</w:t>
            </w:r>
          </w:p>
        </w:tc>
        <w:tc>
          <w:tcPr>
            <w:tcW w:w="6267" w:type="dxa"/>
          </w:tcPr>
          <w:p>
            <w:pPr>
              <w:spacing w:line="360" w:lineRule="auto" w:after="120"/>
            </w:pPr>
            <w:r>
              <w:rPr>
                <w:rFonts w:ascii="Times New Roman" w:hAnsi="Times New Roman" w:cs="Times New Roman"/>
                <w:sz w:val="24"/>
                <w:szCs w:val="24"/>
              </w:rPr>
              <w:t>Stack documentée, hébergement accessible (Vercel + Supabase)</w:t>
            </w:r>
          </w:p>
        </w:tc>
      </w:tr>
      <w:tr>
        <w:tc>
          <w:tcPr>
            <w:tcW w:w="2800" w:type="dxa"/>
          </w:tcPr>
          <w:p>
            <w:pPr>
              <w:spacing w:line="360" w:lineRule="auto" w:after="120"/>
            </w:pPr>
            <w:r>
              <w:rPr>
                <w:rFonts w:ascii="Times New Roman" w:hAnsi="Times New Roman" w:cs="Times New Roman"/>
                <w:sz w:val="24"/>
                <w:szCs w:val="24"/>
                <w:b/>
              </w:rPr>
              <w:t>Sécurité</w:t>
            </w:r>
          </w:p>
        </w:tc>
        <w:tc>
          <w:tcPr>
            <w:tcW w:w="6267" w:type="dxa"/>
          </w:tcPr>
          <w:p>
            <w:pPr>
              <w:spacing w:line="360" w:lineRule="auto" w:after="120"/>
            </w:pPr>
            <w:r>
              <w:rPr>
                <w:rFonts w:ascii="Times New Roman" w:hAnsi="Times New Roman" w:cs="Times New Roman"/>
                <w:sz w:val="24"/>
                <w:szCs w:val="24"/>
              </w:rPr>
              <w:t>Auth externalisée, ORM typé, validation systématique des entrées</w:t>
            </w:r>
          </w:p>
        </w:tc>
      </w:tr>
      <w:tr>
        <w:tc>
          <w:tcPr>
            <w:tcW w:w="2800" w:type="dxa"/>
          </w:tcPr>
          <w:p>
            <w:pPr>
              <w:spacing w:line="360" w:lineRule="auto" w:after="120"/>
            </w:pPr>
            <w:r>
              <w:rPr>
                <w:rFonts w:ascii="Times New Roman" w:hAnsi="Times New Roman" w:cs="Times New Roman"/>
                <w:sz w:val="24"/>
                <w:szCs w:val="24"/>
                <w:b/>
              </w:rPr>
              <w:t>Contexte Cameroun</w:t>
            </w:r>
          </w:p>
        </w:tc>
        <w:tc>
          <w:tcPr>
            <w:tcW w:w="6267" w:type="dxa"/>
          </w:tcPr>
          <w:p>
            <w:pPr>
              <w:spacing w:line="360" w:lineRule="auto" w:after="120"/>
            </w:pPr>
            <w:r>
              <w:rPr>
                <w:rFonts w:ascii="Times New Roman" w:hAnsi="Times New Roman" w:cs="Times New Roman"/>
                <w:sz w:val="24"/>
                <w:szCs w:val="24"/>
              </w:rPr>
              <w:t>Interface responsive, consultation QR, notifications e-mail</w:t>
            </w:r>
          </w:p>
        </w:tc>
      </w:tr>
    </w:tbl>
    <w:p>
      <w:pPr>
        <w:spacing w:before="300" w:after="120" w:line="360" w:lineRule="auto"/>
      </w:pPr>
      <w:r>
        <w:rPr>
          <w:rFonts w:ascii="Times New Roman" w:hAnsi="Times New Roman" w:cs="Times New Roman"/>
          <w:sz w:val="24"/>
          <w:szCs w:val="24"/>
        </w:rPr>
        <w:t>3.2.2 Stack globale</w:t>
      </w:r>
    </w:p>
    <w:p>
      <w:pPr>
        <w:spacing w:before="300" w:after="120" w:line="360" w:lineRule="auto"/>
      </w:pPr>
      <w:r>
        <w:rPr>
          <w:rFonts w:ascii="Times New Roman" w:hAnsi="Times New Roman" w:cs="Times New Roman"/>
          <w:sz w:val="24"/>
          <w:szCs w:val="24"/>
        </w:rPr>
        <w:t>Le tableau suivant récapitule la stack retenue (alignée sur le §2.3.2 du chapitre 2).</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15, React 19, Tailwind CSS, Radix UI</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Route Handlers (API REST)</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PostgreSQL (Supabase), Prisma ORM</w:t>
            </w:r>
          </w:p>
        </w:tc>
      </w:tr>
      <w:tr>
        <w:tc>
          <w:tcPr>
            <w:tcW w:w="2800" w:type="dxa"/>
          </w:tcPr>
          <w:p>
            <w:pPr>
              <w:spacing w:line="360" w:lineRule="auto" w:after="120"/>
            </w:pPr>
            <w:r>
              <w:rPr>
                <w:rFonts w:ascii="Times New Roman" w:hAnsi="Times New Roman" w:cs="Times New Roman"/>
                <w:sz w:val="24"/>
                <w:szCs w:val="24"/>
                <w:b/>
              </w:rPr>
              <w:t>Authentification</w:t>
            </w:r>
          </w:p>
        </w:tc>
        <w:tc>
          <w:tcPr>
            <w:tcW w:w="6267" w:type="dxa"/>
          </w:tcPr>
          <w:p>
            <w:pPr>
              <w:spacing w:line="360" w:lineRule="auto" w:after="120"/>
            </w:pPr>
            <w:r>
              <w:rPr>
                <w:rFonts w:ascii="Times New Roman" w:hAnsi="Times New Roman" w:cs="Times New Roman"/>
                <w:sz w:val="24"/>
                <w:szCs w:val="24"/>
              </w:rPr>
              <w:t>Supabase Auth, cookies SSR (@supabase/ssr)</w:t>
            </w:r>
          </w:p>
        </w:tc>
      </w:tr>
      <w:tr>
        <w:tc>
          <w:tcPr>
            <w:tcW w:w="2800" w:type="dxa"/>
          </w:tcPr>
          <w:p>
            <w:pPr>
              <w:spacing w:line="360" w:lineRule="auto" w:after="120"/>
            </w:pPr>
            <w:r>
              <w:rPr>
                <w:rFonts w:ascii="Times New Roman" w:hAnsi="Times New Roman" w:cs="Times New Roman"/>
                <w:sz w:val="24"/>
                <w:szCs w:val="24"/>
                <w:b/>
              </w:rPr>
              <w:t>Validation</w:t>
            </w:r>
          </w:p>
        </w:tc>
        <w:tc>
          <w:tcPr>
            <w:tcW w:w="6267" w:type="dxa"/>
          </w:tcPr>
          <w:p>
            <w:pPr>
              <w:spacing w:line="360" w:lineRule="auto" w:after="120"/>
            </w:pPr>
            <w:r>
              <w:rPr>
                <w:rFonts w:ascii="Times New Roman" w:hAnsi="Times New Roman" w:cs="Times New Roman"/>
                <w:sz w:val="24"/>
                <w:szCs w:val="24"/>
              </w:rPr>
              <w:t>Zod, react-hook-form</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(SMTP)</w:t>
            </w:r>
          </w:p>
        </w:tc>
      </w:tr>
      <w:tr>
        <w:tc>
          <w:tcPr>
            <w:tcW w:w="2800" w:type="dxa"/>
          </w:tcPr>
          <w:p>
            <w:pPr>
              <w:spacing w:line="360" w:lineRule="auto" w:after="120"/>
            </w:pPr>
            <w:r>
              <w:rPr>
                <w:rFonts w:ascii="Times New Roman" w:hAnsi="Times New Roman" w:cs="Times New Roman"/>
                <w:sz w:val="24"/>
                <w:szCs w:val="24"/>
                <w:b/>
              </w:rPr>
              <w:t>Hébergement</w:t>
            </w:r>
          </w:p>
        </w:tc>
        <w:tc>
          <w:tcPr>
            <w:tcW w:w="6267" w:type="dxa"/>
          </w:tcPr>
          <w:p>
            <w:pPr>
              <w:spacing w:line="360" w:lineRule="auto" w:after="120"/>
            </w:pPr>
            <w:r>
              <w:rPr>
                <w:rFonts w:ascii="Times New Roman" w:hAnsi="Times New Roman" w:cs="Times New Roman"/>
                <w:sz w:val="24"/>
                <w:szCs w:val="24"/>
              </w:rPr>
              <w:t>Vercel (application), Supabase Cloud (BDD, auth, storage)</w:t>
            </w:r>
          </w:p>
        </w:tc>
      </w:tr>
    </w:tbl>
    <w:p>
      <w:pPr>
        <w:spacing w:before="300" w:after="120" w:line="360" w:lineRule="auto"/>
      </w:pPr>
      <w:r>
        <w:rPr>
          <w:rFonts w:ascii="Times New Roman" w:hAnsi="Times New Roman" w:cs="Times New Roman"/>
          <w:sz w:val="24"/>
          <w:szCs w:val="24"/>
        </w:rPr>
        <w:t>3.2.3 Justifications détaillées</w:t>
      </w:r>
    </w:p>
    <w:p>
      <w:pPr>
        <w:spacing w:before="300" w:after="120" w:line="360" w:lineRule="auto"/>
      </w:pPr>
      <w:r>
        <w:rPr>
          <w:rFonts w:ascii="Times New Roman" w:hAnsi="Times New Roman" w:cs="Times New Roman"/>
          <w:sz w:val="24"/>
          <w:szCs w:val="24"/>
        </w:rPr>
        <w:t>Pour chaque brique, nous indiquons le motif de choix, une alternative envisagée et la raison de son écart.</w:t>
      </w:r>
    </w:p>
    <w:p>
      <w:pPr>
        <w:spacing w:before="300" w:after="120" w:line="360" w:lineRule="auto"/>
      </w:pPr>
      <w:r>
        <w:rPr>
          <w:rFonts w:ascii="Times New Roman" w:hAnsi="Times New Roman" w:cs="Times New Roman"/>
          <w:sz w:val="24"/>
          <w:szCs w:val="24"/>
        </w:rPr>
        <w:t>Next.js 15 (App Router)</w:t>
      </w:r>
    </w:p>
    <w:p>
      <w:pPr>
        <w:spacing w:before="300" w:after="120" w:line="360" w:lineRule="auto"/>
      </w:pPr>
      <w:r>
        <w:rPr>
          <w:rFonts w:ascii="Times New Roman" w:hAnsi="Times New Roman" w:cs="Times New Roman"/>
          <w:sz w:val="24"/>
          <w:szCs w:val="24"/>
        </w:rPr>
        <w:t>Retenu : Framework full-stack regroupant pages, API et Server Actions dans un projet TypeScript unique ; Server Components pour le chargement des tableaux de bord ; déploiement natif sur Vercel.</w:t>
      </w:r>
    </w:p>
    <w:p>
      <w:pPr>
        <w:spacing w:before="300" w:after="120" w:line="360" w:lineRule="auto"/>
      </w:pPr>
      <w:r>
        <w:rPr>
          <w:rFonts w:ascii="Times New Roman" w:hAnsi="Times New Roman" w:cs="Times New Roman"/>
          <w:sz w:val="24"/>
          <w:szCs w:val="24"/>
        </w:rPr>
        <w:t>Alternative écartée : Laravel, Django+React séparé, Create React App seul : plus de projets à maintenir ou pas de SSR natif ; délai MVP plus long.</w:t>
      </w:r>
    </w:p>
    <w:p>
      <w:pPr>
        <w:spacing w:before="300" w:after="120" w:line="360" w:lineRule="auto"/>
      </w:pPr>
      <w:r>
        <w:rPr>
          <w:rFonts w:ascii="Times New Roman" w:hAnsi="Times New Roman" w:cs="Times New Roman"/>
          <w:sz w:val="24"/>
          <w:szCs w:val="24"/>
        </w:rPr>
        <w:t>React 19 + TypeScript</w:t>
      </w:r>
    </w:p>
    <w:p>
      <w:pPr>
        <w:spacing w:before="300" w:after="120" w:line="360" w:lineRule="auto"/>
      </w:pPr>
      <w:r>
        <w:rPr>
          <w:rFonts w:ascii="Times New Roman" w:hAnsi="Times New Roman" w:cs="Times New Roman"/>
          <w:sz w:val="24"/>
          <w:szCs w:val="24"/>
        </w:rPr>
        <w:t>Retenu : Composants réutilisables pour les trois espaces (élève, admin, agent) ; typage statique aligné sur le schéma Prisma.</w:t>
      </w:r>
    </w:p>
    <w:p>
      <w:pPr>
        <w:spacing w:before="300" w:after="120" w:line="360" w:lineRule="auto"/>
      </w:pPr>
      <w:r>
        <w:rPr>
          <w:rFonts w:ascii="Times New Roman" w:hAnsi="Times New Roman" w:cs="Times New Roman"/>
          <w:sz w:val="24"/>
          <w:szCs w:val="24"/>
        </w:rPr>
        <w:t>Alternative écartée : JavaScript pur : moins sûr sur 25+ écrans et règles métier OBC/DECC.</w:t>
      </w:r>
    </w:p>
    <w:p>
      <w:pPr>
        <w:spacing w:before="300" w:after="120" w:line="360" w:lineRule="auto"/>
      </w:pPr>
      <w:r>
        <w:rPr>
          <w:rFonts w:ascii="Times New Roman" w:hAnsi="Times New Roman" w:cs="Times New Roman"/>
          <w:sz w:val="24"/>
          <w:szCs w:val="24"/>
        </w:rPr>
        <w:t>PostgreSQL + Prisma</w:t>
      </w:r>
    </w:p>
    <w:p>
      <w:pPr>
        <w:spacing w:before="300" w:after="120" w:line="360" w:lineRule="auto"/>
      </w:pPr>
      <w:r>
        <w:rPr>
          <w:rFonts w:ascii="Times New Roman" w:hAnsi="Times New Roman" w:cs="Times New Roman"/>
          <w:sz w:val="24"/>
          <w:szCs w:val="24"/>
        </w:rPr>
        <w:t>Retenu : Modèle relationnel naturel (élève, documents, RDV, paiements) ; migrations versionnées ; client typé ; hébergement Supabase.</w:t>
      </w:r>
    </w:p>
    <w:p>
      <w:pPr>
        <w:spacing w:before="300" w:after="120" w:line="360" w:lineRule="auto"/>
      </w:pPr>
      <w:r>
        <w:rPr>
          <w:rFonts w:ascii="Times New Roman" w:hAnsi="Times New Roman" w:cs="Times New Roman"/>
          <w:sz w:val="24"/>
          <w:szCs w:val="24"/>
        </w:rPr>
        <w:t>Alternative écartée : MongoDB : jointures fréquentes et contraintes métier mal adaptées ; SQL brut : plus verbeux et error-prone.</w:t>
      </w:r>
    </w:p>
    <w:p>
      <w:pPr>
        <w:spacing w:before="300" w:after="120" w:line="360" w:lineRule="auto"/>
      </w:pPr>
      <w:r>
        <w:rPr>
          <w:rFonts w:ascii="Times New Roman" w:hAnsi="Times New Roman" w:cs="Times New Roman"/>
          <w:sz w:val="24"/>
          <w:szCs w:val="24"/>
        </w:rPr>
        <w:t>Supabase Auth</w:t>
      </w:r>
    </w:p>
    <w:p>
      <w:pPr>
        <w:spacing w:before="300" w:after="120" w:line="360" w:lineRule="auto"/>
      </w:pPr>
      <w:r>
        <w:rPr>
          <w:rFonts w:ascii="Times New Roman" w:hAnsi="Times New Roman" w:cs="Times New Roman"/>
          <w:sz w:val="24"/>
          <w:szCs w:val="24"/>
        </w:rPr>
        <w:t>Retenu : Mots de passe hashés et sessions JWT hors base métier ; cookies HttpOnly via middleware ; lien avec User.authUserId en Prisma.</w:t>
      </w:r>
    </w:p>
    <w:p>
      <w:pPr>
        <w:spacing w:before="300" w:after="120" w:line="360" w:lineRule="auto"/>
      </w:pPr>
      <w:r>
        <w:rPr>
          <w:rFonts w:ascii="Times New Roman" w:hAnsi="Times New Roman" w:cs="Times New Roman"/>
          <w:sz w:val="24"/>
          <w:szCs w:val="24"/>
        </w:rPr>
        <w:t>Alternative écartée : NextAuth maison, JWT+bcrypt : temps de dev et risque sécurité ; Clerk/Auth0 : coût et dépendance tierce.</w:t>
      </w:r>
    </w:p>
    <w:p>
      <w:pPr>
        <w:spacing w:before="300" w:after="120" w:line="360" w:lineRule="auto"/>
      </w:pPr>
      <w:r>
        <w:rPr>
          <w:rFonts w:ascii="Times New Roman" w:hAnsi="Times New Roman" w:cs="Times New Roman"/>
          <w:sz w:val="24"/>
          <w:szCs w:val="24"/>
        </w:rPr>
        <w:t>Server Actions et API REST</w:t>
      </w:r>
    </w:p>
    <w:p>
      <w:pPr>
        <w:spacing w:before="300" w:after="120" w:line="360" w:lineRule="auto"/>
      </w:pPr>
      <w:r>
        <w:rPr>
          <w:rFonts w:ascii="Times New Roman" w:hAnsi="Times New Roman" w:cs="Times New Roman"/>
          <w:sz w:val="24"/>
          <w:szCs w:val="24"/>
        </w:rPr>
        <w:t>Retenu : Server Actions pour formulaires internes (dashboard, admin) ; Route Handlers pour consultation publique, RDV agent et paiement simulé.</w:t>
      </w:r>
    </w:p>
    <w:p>
      <w:pPr>
        <w:spacing w:before="300" w:after="120" w:line="360" w:lineRule="auto"/>
      </w:pPr>
      <w:r>
        <w:rPr>
          <w:rFonts w:ascii="Times New Roman" w:hAnsi="Times New Roman" w:cs="Times New Roman"/>
          <w:sz w:val="24"/>
          <w:szCs w:val="24"/>
        </w:rPr>
        <w:t>Alternative écartée : API REST seule : boilerplate client inutile pour les écrans internes ; GraphQL : surdimensionné pour le MVP.</w:t>
      </w:r>
    </w:p>
    <w:p>
      <w:pPr>
        <w:spacing w:before="300" w:after="120" w:line="360" w:lineRule="auto"/>
      </w:pPr>
      <w:r>
        <w:rPr>
          <w:rFonts w:ascii="Times New Roman" w:hAnsi="Times New Roman" w:cs="Times New Roman"/>
          <w:sz w:val="24"/>
          <w:szCs w:val="24"/>
        </w:rPr>
        <w:t>Zod + react-hook-form</w:t>
      </w:r>
    </w:p>
    <w:p>
      <w:pPr>
        <w:spacing w:before="300" w:after="120" w:line="360" w:lineRule="auto"/>
      </w:pPr>
      <w:r>
        <w:rPr>
          <w:rFonts w:ascii="Times New Roman" w:hAnsi="Times New Roman" w:cs="Times New Roman"/>
          <w:sz w:val="24"/>
          <w:szCs w:val="24"/>
        </w:rPr>
        <w:t>Retenu : Schémas partagés serveur/client ; validation des imports CSV, duplicata et RDV.</w:t>
      </w:r>
    </w:p>
    <w:p>
      <w:pPr>
        <w:spacing w:before="300" w:after="120" w:line="360" w:lineRule="auto"/>
      </w:pPr>
      <w:r>
        <w:rPr>
          <w:rFonts w:ascii="Times New Roman" w:hAnsi="Times New Roman" w:cs="Times New Roman"/>
          <w:sz w:val="24"/>
          <w:szCs w:val="24"/>
        </w:rPr>
        <w:t>Alternative écartée : Validation manuelle : incohérences et oublis sur les formulaires longs.</w:t>
      </w:r>
    </w:p>
    <w:p>
      <w:pPr>
        <w:spacing w:before="300" w:after="120" w:line="360" w:lineRule="auto"/>
      </w:pPr>
      <w:r>
        <w:rPr>
          <w:rFonts w:ascii="Times New Roman" w:hAnsi="Times New Roman" w:cs="Times New Roman"/>
          <w:sz w:val="24"/>
          <w:szCs w:val="24"/>
        </w:rPr>
        <w:t>Tailwind CSS + Radix UI</w:t>
      </w:r>
    </w:p>
    <w:p>
      <w:pPr>
        <w:spacing w:before="300" w:after="120" w:line="360" w:lineRule="auto"/>
      </w:pPr>
      <w:r>
        <w:rPr>
          <w:rFonts w:ascii="Times New Roman" w:hAnsi="Times New Roman" w:cs="Times New Roman"/>
          <w:sz w:val="24"/>
          <w:szCs w:val="24"/>
        </w:rPr>
        <w:t>Retenu : Interface responsive (mobile first) ; composants accessibles (modales, selects) sans surcouche lourde.</w:t>
      </w:r>
    </w:p>
    <w:p>
      <w:pPr>
        <w:spacing w:before="300" w:after="120" w:line="360" w:lineRule="auto"/>
      </w:pPr>
      <w:r>
        <w:rPr>
          <w:rFonts w:ascii="Times New Roman" w:hAnsi="Times New Roman" w:cs="Times New Roman"/>
          <w:sz w:val="24"/>
          <w:szCs w:val="24"/>
        </w:rPr>
        <w:t>Alternative écartée : Bootstrap seul : personnalisation plus lente pour un design cohérent.</w:t>
      </w:r>
    </w:p>
    <w:p>
      <w:pPr>
        <w:spacing w:before="300" w:after="120" w:line="360" w:lineRule="auto"/>
      </w:pPr>
      <w:r>
        <w:rPr>
          <w:rFonts w:ascii="Times New Roman" w:hAnsi="Times New Roman" w:cs="Times New Roman"/>
          <w:sz w:val="24"/>
          <w:szCs w:val="24"/>
        </w:rPr>
        <w:t>Nodemailer (SMTP)</w:t>
      </w:r>
    </w:p>
    <w:p>
      <w:pPr>
        <w:spacing w:before="300" w:after="120" w:line="360" w:lineRule="auto"/>
      </w:pPr>
      <w:r>
        <w:rPr>
          <w:rFonts w:ascii="Times New Roman" w:hAnsi="Times New Roman" w:cs="Times New Roman"/>
          <w:sz w:val="24"/>
          <w:szCs w:val="24"/>
        </w:rPr>
        <w:t>Retenu : Notifications transactionnelles (activation, disponibilité, RDV) ; journalisation via mail_logs.</w:t>
      </w:r>
    </w:p>
    <w:p>
      <w:pPr>
        <w:spacing w:before="300" w:after="120" w:line="360" w:lineRule="auto"/>
      </w:pPr>
      <w:r>
        <w:rPr>
          <w:rFonts w:ascii="Times New Roman" w:hAnsi="Times New Roman" w:cs="Times New Roman"/>
          <w:sz w:val="24"/>
          <w:szCs w:val="24"/>
        </w:rPr>
        <w:t>Alternative écartée : SendGrid/Mailgun : dépendance payante non indispensable en MVP académique.</w:t>
      </w:r>
    </w:p>
    <w:p>
      <w:pPr>
        <w:spacing w:before="300" w:after="120" w:line="360" w:lineRule="auto"/>
      </w:pPr>
      <w:r>
        <w:rPr>
          <w:rFonts w:ascii="Times New Roman" w:hAnsi="Times New Roman" w:cs="Times New Roman"/>
          <w:sz w:val="24"/>
          <w:szCs w:val="24"/>
        </w:rPr>
        <w:t>Vercel + Supabase Cloud</w:t>
      </w:r>
    </w:p>
    <w:p>
      <w:pPr>
        <w:spacing w:before="300" w:after="120" w:line="360" w:lineRule="auto"/>
      </w:pPr>
      <w:r>
        <w:rPr>
          <w:rFonts w:ascii="Times New Roman" w:hAnsi="Times New Roman" w:cs="Times New Roman"/>
          <w:sz w:val="24"/>
          <w:szCs w:val="24"/>
        </w:rPr>
        <w:t>Retenu : Déploiement continu depuis GitHub ; Postgres managé, auth et storage sur une même plateforme.</w:t>
      </w:r>
    </w:p>
    <w:p>
      <w:pPr>
        <w:spacing w:before="300" w:after="120" w:line="360" w:lineRule="auto"/>
      </w:pPr>
      <w:r>
        <w:rPr>
          <w:rFonts w:ascii="Times New Roman" w:hAnsi="Times New Roman" w:cs="Times New Roman"/>
          <w:sz w:val="24"/>
          <w:szCs w:val="24"/>
        </w:rPr>
        <w:t>Alternative écartée : Serveur VPS dédié : maintenance et coût plus élevés pour un stage.</w:t>
      </w:r>
    </w:p>
    <w:p>
      <w:pPr>
        <w:spacing w:before="300" w:after="120" w:line="360" w:lineRule="auto"/>
      </w:pPr>
      <w:r>
        <w:rPr>
          <w:rFonts w:ascii="Times New Roman" w:hAnsi="Times New Roman" w:cs="Times New Roman"/>
          <w:sz w:val="24"/>
          <w:szCs w:val="24"/>
        </w:rPr>
        <w:t>En synthèse, la stack retenue privilégie un langage unique, la sécurité par défaut et un déploiement compatible avec les contraintes de temps du projet.</w:t>
      </w:r>
    </w:p>
    <w:p w14:paraId="21C84AAF" w14:textId="7A88A54D" w:rsidR="00154D36" w:rsidRDefault="009A1BCC" w:rsidP="00104BF4">
      <w:pPr>
        <w:spacing w:before="300" w:after="120" w:line="360" w:lineRule="auto"/>
      </w:pPr>
      <w:r>
        <w:rPr>
          <w:b/>
          <w:bCs/>
          <w:color w:val="2E6DA4"/>
        </w:rPr>
        <w:t xml:space="preserve">3.3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3.3.1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3.3.2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3.3.2.1 Espace élève</w:t>
      </w:r>
      <w:r w:rsidR="00635A41" w:rsidRPr="009B107B">
        <w:rPr>
          <w:b/>
          <w:bCs/>
          <w:color w:val="4472C4" w:themeColor="accent1"/>
        </w:rPr>
        <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3.3.2.2 Espace administrateur OBC / DECC</w:t>
      </w:r>
      <w:r w:rsidR="00635A41" w:rsidRPr="009B107B">
        <w:rPr>
          <w:b/>
          <w:bCs/>
          <w:color w:val="4472C4" w:themeColor="accent1"/>
        </w:rPr>
        <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3.3.2.3 Espace agent centre d’examen</w:t>
      </w:r>
      <w:r w:rsidR="00635A41" w:rsidRPr="009B107B">
        <w:rPr>
          <w:b/>
          <w:bCs/>
          <w:color w:val="4472C4" w:themeColor="accent1"/>
        </w:rPr>
        <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3.3.3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3.4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3.4.1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3.4.2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3.4.3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3.5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3.6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