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and-related-work"/>
      <w:r>
        <w:t xml:space="preserve">2.3. Combating Financial Fraud and Related Work</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TableCaption"/>
      </w:pPr>
      <w:r>
        <w:t xml:space="preserve">Forensic Data Analysis Tools in use</w:t>
      </w:r>
    </w:p>
    <w:tbl>
      <w:tblPr>
        <w:tblStyle w:val="Table"/>
        <w:tblW w:type="pct" w:w="0.0"/>
        <w:tblLook w:firstRow="1"/>
        <w:tblCaption w:val="Forensic Data Analysis Tools in use"/>
      </w:tblPr>
      <w:tblGrid/>
      <w:tr>
        <w:trPr>
          <w:cnfStyle w:firstRow="1"/>
        </w:trPr>
        <w:tc>
          <w:tcPr>
            <w:tcBorders>
              <w:bottom w:val="single"/>
            </w:tcBorders>
            <w:vAlign w:val="bottom"/>
          </w:tcPr>
          <w:p>
            <w:pPr>
              <w:pStyle w:val="Compact"/>
              <w:jc w:val="left"/>
            </w:pPr>
            <w:r>
              <w:t xml:space="preserve">Forensic.Data</w:t>
            </w:r>
          </w:p>
        </w:tc>
        <w:tc>
          <w:tcPr>
            <w:tcBorders>
              <w:bottom w:val="single"/>
            </w:tcBorders>
            <w:vAlign w:val="bottom"/>
          </w:tcPr>
          <w:p>
            <w:pPr>
              <w:pStyle w:val="Compact"/>
              <w:jc w:val="left"/>
            </w:pPr>
            <w:r>
              <w:t xml:space="preserve">Percent</w:t>
            </w:r>
          </w:p>
        </w:tc>
      </w:tr>
      <w:tr>
        <w:tc>
          <w:p>
            <w:pPr>
              <w:pStyle w:val="Compact"/>
              <w:jc w:val="left"/>
            </w:pPr>
            <w:r>
              <w:t xml:space="preserve">Spreadsheet tools such as MS Excel</w:t>
            </w:r>
          </w:p>
        </w:tc>
        <w:tc>
          <w:p>
            <w:pPr>
              <w:pStyle w:val="Compact"/>
              <w:jc w:val="left"/>
            </w:pPr>
            <w:r>
              <w:t xml:space="preserve">65%</w:t>
            </w:r>
          </w:p>
        </w:tc>
      </w:tr>
      <w:tr>
        <w:tc>
          <w:p>
            <w:pPr>
              <w:pStyle w:val="Compact"/>
              <w:jc w:val="left"/>
            </w:pPr>
            <w:r>
              <w:t xml:space="preserve">Database tools such as MS Access or MS SQL Server</w:t>
            </w:r>
          </w:p>
        </w:tc>
        <w:tc>
          <w:p>
            <w:pPr>
              <w:pStyle w:val="Compact"/>
              <w:jc w:val="left"/>
            </w:pPr>
            <w:r>
              <w:t xml:space="preserve">43%</w:t>
            </w:r>
          </w:p>
        </w:tc>
      </w:tr>
      <w:tr>
        <w:tc>
          <w:p>
            <w:pPr>
              <w:pStyle w:val="Compact"/>
              <w:jc w:val="left"/>
            </w:pPr>
            <w:r>
              <w:t xml:space="preserve">Continious monitoring tools (SAP, Oracle, SAI Global)</w:t>
            </w:r>
          </w:p>
        </w:tc>
        <w:tc>
          <w:p>
            <w:pPr>
              <w:pStyle w:val="Compact"/>
              <w:jc w:val="left"/>
            </w:pPr>
            <w:r>
              <w:t xml:space="preserve">29%</w:t>
            </w:r>
          </w:p>
        </w:tc>
      </w:tr>
      <w:tr>
        <w:tc>
          <w:p>
            <w:pPr>
              <w:pStyle w:val="Compact"/>
              <w:jc w:val="left"/>
            </w:pPr>
            <w:r>
              <w:t xml:space="preserve">Text analytics tools or keyword searching</w:t>
            </w:r>
          </w:p>
        </w:tc>
        <w:tc>
          <w:p>
            <w:pPr>
              <w:pStyle w:val="Compact"/>
              <w:jc w:val="left"/>
            </w:pPr>
            <w:r>
              <w:t xml:space="preserve">26%</w:t>
            </w:r>
          </w:p>
        </w:tc>
      </w:tr>
      <w:tr>
        <w:tc>
          <w:p>
            <w:pPr>
              <w:pStyle w:val="Compact"/>
              <w:jc w:val="left"/>
            </w:pPr>
            <w:r>
              <w:t xml:space="preserve">Forensic analytics software (ACL, iDEA)</w:t>
            </w:r>
          </w:p>
        </w:tc>
        <w:tc>
          <w:p>
            <w:pPr>
              <w:pStyle w:val="Compact"/>
              <w:jc w:val="left"/>
            </w:pPr>
            <w:r>
              <w:t xml:space="preserve">26%</w:t>
            </w:r>
          </w:p>
        </w:tc>
      </w:tr>
      <w:tr>
        <w:tc>
          <w:p>
            <w:pPr>
              <w:pStyle w:val="Compact"/>
              <w:jc w:val="left"/>
            </w:pPr>
            <w:r>
              <w:t xml:space="preserve">Social media/web monitoring tools</w:t>
            </w:r>
          </w:p>
        </w:tc>
        <w:tc>
          <w:p>
            <w:pPr>
              <w:pStyle w:val="Compact"/>
              <w:jc w:val="left"/>
            </w:pPr>
            <w:r>
              <w:t xml:space="preserve">21%</w:t>
            </w:r>
          </w:p>
        </w:tc>
      </w:tr>
      <w:tr>
        <w:tc>
          <w:p>
            <w:pPr>
              <w:pStyle w:val="Compact"/>
              <w:jc w:val="left"/>
            </w:pPr>
            <w:r>
              <w:t xml:space="preserve">Visualization and reporting tools (Tableau, Spotfire, QlikView)</w:t>
            </w:r>
          </w:p>
        </w:tc>
        <w:tc>
          <w:p>
            <w:pPr>
              <w:pStyle w:val="Compact"/>
              <w:jc w:val="left"/>
            </w:pPr>
            <w:r>
              <w:t xml:space="preserve">12%</w:t>
            </w:r>
          </w:p>
        </w:tc>
      </w:tr>
      <w:tr>
        <w:tc>
          <w:p>
            <w:pPr>
              <w:pStyle w:val="Compact"/>
              <w:jc w:val="left"/>
            </w:pPr>
            <w:r>
              <w:t xml:space="preserve">Statistical analysis and data-mining packages (R, SAS, Stata, SPSS)</w:t>
            </w:r>
          </w:p>
        </w:tc>
        <w:tc>
          <w:p>
            <w:pPr>
              <w:pStyle w:val="Compact"/>
              <w:jc w:val="left"/>
            </w:pPr>
            <w:r>
              <w:t xml:space="preserve">11%</w:t>
            </w:r>
          </w:p>
        </w:tc>
      </w:tr>
      <w:tr>
        <w:tc>
          <w:p>
            <w:pPr>
              <w:pStyle w:val="Compact"/>
              <w:jc w:val="left"/>
            </w:pPr>
            <w:r>
              <w:t xml:space="preserve">Big data technologies (Hadoop, Map Reduce)</w:t>
            </w:r>
          </w:p>
        </w:tc>
        <w:tc>
          <w:p>
            <w:pPr>
              <w:pStyle w:val="Compact"/>
              <w:jc w:val="left"/>
            </w:pPr>
            <w:r>
              <w:t xml:space="preserve">2%</w:t>
            </w:r>
          </w:p>
        </w:tc>
      </w:tr>
      <w:tr>
        <w:tc>
          <w:p>
            <w:pPr>
              <w:pStyle w:val="Compact"/>
              <w:jc w:val="left"/>
            </w:pPr>
            <w:r>
              <w:t xml:space="preserve">Voice searching and analysis (Nexidia, NICE)</w:t>
            </w:r>
          </w:p>
        </w:tc>
        <w:tc>
          <w:p>
            <w:pPr>
              <w:pStyle w:val="Compact"/>
              <w:jc w:val="left"/>
            </w:pPr>
            <w:r>
              <w:t xml:space="preserve">2%</w:t>
            </w:r>
          </w:p>
        </w:tc>
      </w:tr>
    </w:tbl>
    <w:p>
      <w:pPr>
        <w:pStyle w:val="BodyText"/>
      </w:pPr>
      <w:r>
        <w:rPr>
          <w:b/>
        </w:rPr>
        <w:t xml:space="preserve">Note:</w:t>
      </w:r>
      <w:r>
        <w:t xml:space="preserve"> </w:t>
      </w:r>
      <w:r>
        <w:rPr>
          <w:vertAlign w:val="superscript"/>
        </w:rPr>
        <w:t xml:space="preserve">a</w:t>
      </w:r>
      <w:r>
        <w:t xml:space="preserve"> </w:t>
      </w:r>
      <w:r>
        <w:t xml:space="preserve">Source</w:t>
      </w:r>
      <w:r>
        <w:t xml:space="preserve"> </w:t>
      </w:r>
      <w:r>
        <w:t xml:space="preserve">(EY 2014)</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(SVM), artificial neural networks (ANN), bayesian networks, and different tree models</w:t>
      </w:r>
      <w:r>
        <w:t xml:space="preserve"> </w:t>
      </w:r>
      <w:r>
        <w:t xml:space="preserve">(Ngai et al. 2011; Bhattacharyya et al. 2011; Chaudhary and Mallick 2012)</w:t>
      </w:r>
      <w:r>
        <w:t xml:space="preserve">.</w:t>
      </w:r>
    </w:p>
    <w:p>
      <w:pPr>
        <w:pStyle w:val="BodyText"/>
      </w:pPr>
      <w:r>
        <w:t xml:space="preserve">The focus on this paper will be on supervised learning methods. In the literature, a greater focus has been put on supervised methods</w:t>
      </w:r>
      <w:r>
        <w:t xml:space="preserve"> </w:t>
      </w:r>
      <w:r>
        <w:t xml:space="preserve">(Ngai et al. 2011)</w:t>
      </w:r>
      <w:r>
        <w:t xml:space="preserve">, but the overall are of fraud detection has not been thoroughly explored, due to the sensitivity and public unavailaibility of datasets</w:t>
      </w:r>
      <w:r>
        <w:t xml:space="preserve"> </w:t>
      </w:r>
      <w:r>
        <w:t xml:space="preserve">(Dal Pozzolo and Bontempi 2015)</w:t>
      </w:r>
      <w:r>
        <w:t xml:space="preserve">. In the studies that have been done, the overall focus has been on ANNs. Among the first to adopt an ANN approach to the problem of FFD are</w:t>
      </w:r>
      <w:r>
        <w:t xml:space="preserve"> </w:t>
      </w:r>
      <w:r>
        <w:t xml:space="preserve">Ghosh and Reilly (1994)</w:t>
      </w:r>
      <w:r>
        <w:t xml:space="preserve">, through the use of a P-RCE ANN - a three layer and feed-forward network. The method employed had relative success, identifying correctly on average 40% of the fraud. The ANN is since then among the most used methods for FFD.</w:t>
      </w:r>
      <w:r>
        <w:t xml:space="preserve"> </w:t>
      </w:r>
      <w:r>
        <w:t xml:space="preserve">Brause, Langsdorf, and Hepp (1999)</w:t>
      </w:r>
      <w:r>
        <w:t xml:space="preserve"> </w:t>
      </w:r>
      <w:r>
        <w:t xml:space="preserve">and</w:t>
      </w:r>
      <w:r>
        <w:t xml:space="preserve"> </w:t>
      </w:r>
      <w:r>
        <w:t xml:space="preserve">Dorronsoro et al. (1997)</w:t>
      </w:r>
      <w:r>
        <w:t xml:space="preserve"> </w:t>
      </w:r>
      <w:r>
        <w:t xml:space="preserve">have achieved better results with an ensemble method including ANNs. However, ANNs have been, and still are, considered as black-box models and are hard to interpret. Thus, other methods, such as random forest, have risen in popularity and have also shown impressive performance in the field of FFD</w:t>
      </w:r>
      <w:r>
        <w:t xml:space="preserve"> </w:t>
      </w:r>
      <w:r>
        <w:t xml:space="preserve">(Bhattacharyya et al. 2011; Dal Pozzolo et al. 2014)</w:t>
      </w:r>
      <w:r>
        <w:t xml:space="preserve">. Logistic Regression is also quite popular, especially due to its strong interpretability, but can sometimes lack the prediction power of other, more complex ML algorithms</w:t>
      </w:r>
      <w:r>
        <w:t xml:space="preserve"> </w:t>
      </w:r>
      <w:r>
        <w:t xml:space="preserve">(Bhattacharyya et al. 2011)</w:t>
      </w:r>
      <w:r>
        <w:t xml:space="preserve">. The SVM has also been employed, due to its advantages in terms of solid theoretical foundations. However, the results produced by the methods have been mixed, mainly because the FFD problem poses an imbalanced class challenge</w:t>
      </w:r>
      <w:r>
        <w:t xml:space="preserve"> </w:t>
      </w:r>
      <w:r>
        <w:t xml:space="preserve">(Chaudhary and Mallick 2012; Bhattacharyya et al. 2011)</w:t>
      </w:r>
      <w:r>
        <w:t xml:space="preserve">. Nonetheless, it has been shown that through changes in the foundations of the SVM method, in order to transform to model into a cost-sensitive one, better performance can be achieved on problems with imbalanced data</w:t>
      </w:r>
      <w:r>
        <w:t xml:space="preserve"> </w:t>
      </w:r>
      <w:r>
        <w:t xml:space="preserve">(He and Garcia 2009)</w:t>
      </w:r>
      <w:r>
        <w:t xml:space="preserve">.</w:t>
      </w:r>
    </w:p>
    <w:p>
      <w:pPr>
        <w:pStyle w:val="BodyText"/>
      </w:pPr>
      <w:r>
        <w:t xml:space="preserve">Slightly surprising is that almost no research about the performance of boosting methods has been made in the field of FFD, especially credit card fraud, given the capabilities of ML models such as stochastic gradient boosting machines and eXtreme gradient boosting</w:t>
      </w:r>
      <w:r>
        <w:t xml:space="preserve"> </w:t>
      </w:r>
      <w:r>
        <w:t xml:space="preserve">(Nielsen 2016; Chen and Guestrin 2016)</w:t>
      </w:r>
      <w:r>
        <w:t xml:space="preserve">. We will deploy both methods in order to compare their performances against the other, more established, frameworks.</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2"/>
      </w:pPr>
      <w:bookmarkStart w:id="55" w:name="performance-measures"/>
      <w:r>
        <w:t xml:space="preserve">5.1. Performance Measures</w:t>
      </w:r>
      <w:bookmarkEnd w:id="55"/>
    </w:p>
    <w:p>
      <w:pPr>
        <w:pStyle w:val="FirstParagraph"/>
      </w:pPr>
      <w:r>
        <w:t xml:space="preserve">As the problem that we deal with in this paper is a classification one, the performance measures used to evaluate how successful a model will be related to the main building block of binary classification - the confusion matrix.</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Actual.Positive</w:t>
            </w:r>
          </w:p>
        </w:tc>
        <w:tc>
          <w:tcPr>
            <w:tcBorders>
              <w:bottom w:val="single"/>
            </w:tcBorders>
            <w:vAlign w:val="bottom"/>
          </w:tcPr>
          <w:p>
            <w:pPr>
              <w:pStyle w:val="Compact"/>
              <w:jc w:val="left"/>
            </w:pPr>
            <w:r>
              <w:t xml:space="preserve">Actual.Negative</w:t>
            </w:r>
          </w:p>
        </w:tc>
      </w:tr>
      <w:tr>
        <w:tc>
          <w:p>
            <w:pPr>
              <w:pStyle w:val="Compact"/>
              <w:jc w:val="left"/>
            </w:pPr>
            <w:r>
              <w:t xml:space="preserve">Predicted Positive</w:t>
            </w:r>
          </w:p>
        </w:tc>
        <w:tc>
          <w:p>
            <w:pPr>
              <w:pStyle w:val="Compact"/>
              <w:jc w:val="left"/>
            </w:pPr>
            <w:r>
              <w:t xml:space="preserve">True Positive (TP)</w:t>
            </w:r>
          </w:p>
        </w:tc>
        <w:tc>
          <w:p>
            <w:pPr>
              <w:pStyle w:val="Compact"/>
              <w:jc w:val="left"/>
            </w:pPr>
            <w:r>
              <w:t xml:space="preserve">False Positive (FP)</w:t>
            </w:r>
          </w:p>
        </w:tc>
      </w:tr>
      <w:tr>
        <w:tc>
          <w:p>
            <w:pPr>
              <w:pStyle w:val="Compact"/>
              <w:jc w:val="left"/>
            </w:pPr>
            <w:r>
              <w:t xml:space="preserve">Predicted Negative</w:t>
            </w:r>
          </w:p>
        </w:tc>
        <w:tc>
          <w:p>
            <w:pPr>
              <w:pStyle w:val="Compact"/>
              <w:jc w:val="left"/>
            </w:pPr>
            <w:r>
              <w:t xml:space="preserve">False Negative (FN)</w:t>
            </w:r>
          </w:p>
        </w:tc>
        <w:tc>
          <w:p>
            <w:pPr>
              <w:pStyle w:val="Compact"/>
              <w:jc w:val="left"/>
            </w:pPr>
            <w:r>
              <w:t xml:space="preserve">True Negative (TN)</w:t>
            </w:r>
          </w:p>
        </w:tc>
      </w:tr>
    </w:tbl>
    <w:p>
      <w:pPr>
        <w:pStyle w:val="Heading3"/>
      </w:pPr>
      <w:bookmarkStart w:id="56" w:name="threshold-metrics"/>
      <w:r>
        <w:t xml:space="preserve">5.1.1. Threshold Metrics</w:t>
      </w:r>
      <w:bookmarkEnd w:id="56"/>
    </w:p>
    <w:p>
      <w:pPr>
        <w:pStyle w:val="FirstParagraph"/>
      </w:pPr>
      <m:oMathPara>
        <m:oMathParaPr>
          <m:jc m:val="center"/>
        </m:oMathParaPr>
        <m:oMath>
          <m:r>
            <m:t>S</m:t>
          </m:r>
          <m:r>
            <m:t>e</m:t>
          </m:r>
          <m:r>
            <m:t>n</m:t>
          </m:r>
          <m:r>
            <m:t>s</m:t>
          </m:r>
          <m:r>
            <m:t>i</m:t>
          </m:r>
          <m:r>
            <m:t>t</m:t>
          </m:r>
          <m:r>
            <m:t>i</m:t>
          </m:r>
          <m:r>
            <m:t>v</m:t>
          </m:r>
          <m:r>
            <m:t>i</m:t>
          </m:r>
          <m:r>
            <m:t>t</m:t>
          </m:r>
          <m:r>
            <m:t>y</m:t>
          </m:r>
          <m:r>
            <m:t>=</m:t>
          </m:r>
          <m:f>
            <m:fPr>
              <m:type m:val="bar"/>
            </m:fPr>
            <m:num>
              <m:r>
                <m:t>T</m:t>
              </m:r>
              <m:r>
                <m:t>P</m:t>
              </m:r>
            </m:num>
            <m:den>
              <m:r>
                <m:t>T</m:t>
              </m:r>
              <m:r>
                <m:t>P</m:t>
              </m:r>
              <m:r>
                <m:t>+</m:t>
              </m:r>
              <m:r>
                <m:t>F</m:t>
              </m:r>
              <m:r>
                <m:t>N</m:t>
              </m:r>
            </m:den>
          </m:f>
          <m:r>
            <m:t> </m:t>
          </m:r>
          <m:r>
            <m:t> </m:t>
          </m:r>
          <m:r>
            <m:t> </m:t>
          </m:r>
          <m:r>
            <m:t> </m:t>
          </m:r>
          <m:r>
            <m:t> </m:t>
          </m:r>
          <m:r>
            <m:t> </m:t>
          </m:r>
          <m:r>
            <m:t>S</m:t>
          </m:r>
          <m:r>
            <m:t>p</m:t>
          </m:r>
          <m:r>
            <m:t>e</m:t>
          </m:r>
          <m:r>
            <m:t>c</m:t>
          </m:r>
          <m:r>
            <m:t>i</m:t>
          </m:r>
          <m:r>
            <m:t>f</m:t>
          </m:r>
          <m:r>
            <m:t>i</m:t>
          </m:r>
          <m:r>
            <m:t>c</m:t>
          </m:r>
          <m:r>
            <m:t>i</m:t>
          </m:r>
          <m:r>
            <m:t>t</m:t>
          </m:r>
          <m:r>
            <m:t>y</m:t>
          </m:r>
          <m:r>
            <m:t>=</m:t>
          </m:r>
          <m:f>
            <m:fPr>
              <m:type m:val="bar"/>
            </m:fPr>
            <m:num>
              <m:r>
                <m:t>T</m:t>
              </m:r>
              <m:r>
                <m:t>N</m:t>
              </m:r>
            </m:num>
            <m:den>
              <m:r>
                <m:t>F</m:t>
              </m:r>
              <m:r>
                <m:t>P</m:t>
              </m:r>
              <m:r>
                <m:t>+</m:t>
              </m:r>
              <m:r>
                <m:t>T</m:t>
              </m:r>
              <m:r>
                <m:t>N</m:t>
              </m:r>
            </m:den>
          </m:f>
        </m:oMath>
      </m:oMathPara>
    </w:p>
    <w:p>
      <w:pPr>
        <w:pStyle w:val="FirstParagraph"/>
      </w:pPr>
      <w:r>
        <w:t xml:space="preserve">The sensitivity of a given classifier indicates what percent of the positive class has been actually predicted as positive. Analogically, specifity gives the percent of the negative class which has been assigned as negative by the model. Overall, the measures give us a picture of the proportions that have been correctly predicted.</w:t>
      </w:r>
    </w:p>
    <w:p>
      <w:pPr>
        <w:pStyle w:val="BodyText"/>
      </w:pPr>
      <m:oMathPara>
        <m:oMathParaPr>
          <m:jc m:val="center"/>
        </m:oMathParaPr>
        <m:oMath>
          <m:r>
            <m:t>P</m:t>
          </m:r>
          <m:r>
            <m:t>r</m:t>
          </m:r>
          <m:r>
            <m:t>e</m:t>
          </m:r>
          <m:r>
            <m:t>c</m:t>
          </m:r>
          <m:r>
            <m:t>i</m:t>
          </m:r>
          <m:r>
            <m:t>s</m:t>
          </m:r>
          <m:r>
            <m:t>i</m:t>
          </m:r>
          <m:r>
            <m:t>o</m:t>
          </m:r>
          <m:r>
            <m:t>n</m:t>
          </m:r>
          <m:r>
            <m:t>=</m:t>
          </m:r>
          <m:f>
            <m:fPr>
              <m:type m:val="bar"/>
            </m:fPr>
            <m:num>
              <m:r>
                <m:t>T</m:t>
              </m:r>
              <m:r>
                <m:t>P</m:t>
              </m:r>
            </m:num>
            <m:den>
              <m:r>
                <m:t>T</m:t>
              </m:r>
              <m:r>
                <m:t>P</m:t>
              </m:r>
              <m:r>
                <m:t>+</m:t>
              </m:r>
              <m:r>
                <m:t>F</m:t>
              </m:r>
              <m:r>
                <m:t>P</m:t>
              </m:r>
            </m:den>
          </m:f>
          <m:r>
            <m:t> </m:t>
          </m:r>
          <m:r>
            <m:t> </m:t>
          </m:r>
          <m:r>
            <m:t> </m:t>
          </m:r>
          <m:r>
            <m:t> </m:t>
          </m:r>
          <m:r>
            <m:t> </m:t>
          </m:r>
          <m:r>
            <m:t> </m:t>
          </m:r>
          <m:r>
            <m:t>R</m:t>
          </m:r>
          <m:r>
            <m:t>e</m:t>
          </m:r>
          <m:r>
            <m:t>c</m:t>
          </m:r>
          <m:r>
            <m:t>a</m:t>
          </m:r>
          <m:r>
            <m:t>l</m:t>
          </m:r>
          <m:r>
            <m:t>l</m:t>
          </m:r>
          <m:r>
            <m:t>=</m:t>
          </m:r>
          <m:f>
            <m:fPr>
              <m:type m:val="bar"/>
            </m:fPr>
            <m:num>
              <m:r>
                <m:t>T</m:t>
              </m:r>
              <m:r>
                <m:t>P</m:t>
              </m:r>
            </m:num>
            <m:den>
              <m:r>
                <m:t>T</m:t>
              </m:r>
              <m:r>
                <m:t>P</m:t>
              </m:r>
              <m:r>
                <m:t>+</m:t>
              </m:r>
              <m:r>
                <m:t>F</m:t>
              </m:r>
              <m:r>
                <m:t>N</m:t>
              </m:r>
            </m:den>
          </m:f>
        </m:oMath>
      </m:oMathPara>
    </w:p>
    <w:p>
      <w:pPr>
        <w:pStyle w:val="FirstParagraph"/>
      </w:pPr>
      <w:r>
        <w:t xml:space="preserve">The precision measure indicates how well the used classifier identifies a given class’ observation, i.e. checks the percent of the observations assigned a positive class that are truly positive. The recall formulation is same as the sensitivity one. Both measures are typically used together in order to get more information about the positive class.</w:t>
      </w:r>
    </w:p>
    <w:p>
      <w:pPr>
        <w:pStyle w:val="BodyText"/>
      </w:pPr>
      <m:oMathPara>
        <m:oMathParaPr>
          <m:jc m:val="center"/>
        </m:oMathParaPr>
        <m:oMath>
          <m:sSub>
            <m:e>
              <m:r>
                <m:t>F</m:t>
              </m:r>
            </m:e>
            <m:sub>
              <m:r>
                <m:t>α</m:t>
              </m:r>
            </m:sub>
          </m:sSub>
          <m:r>
            <m:t>=</m:t>
          </m:r>
          <m:f>
            <m:fPr>
              <m:type m:val="bar"/>
            </m:fPr>
            <m:num>
              <m:r>
                <m:t>(</m:t>
              </m:r>
              <m:r>
                <m:t>1</m:t>
              </m:r>
              <m:r>
                <m:t>+</m:t>
              </m:r>
              <m:r>
                <m:t>α</m:t>
              </m:r>
              <m:r>
                <m:t>)</m:t>
              </m:r>
              <m:r>
                <m:t>[</m:t>
              </m:r>
              <m:r>
                <m:t>p</m:t>
              </m:r>
              <m:r>
                <m:t>r</m:t>
              </m:r>
              <m:r>
                <m:t>e</m:t>
              </m:r>
              <m:r>
                <m:t>c</m:t>
              </m:r>
              <m:r>
                <m:t>i</m:t>
              </m:r>
              <m:r>
                <m:t>s</m:t>
              </m:r>
              <m:r>
                <m:t>i</m:t>
              </m:r>
              <m:r>
                <m:t>o</m:t>
              </m:r>
              <m:r>
                <m:t>n</m:t>
              </m:r>
              <m:r>
                <m:t>×</m:t>
              </m:r>
              <m:r>
                <m:t>r</m:t>
              </m:r>
              <m:r>
                <m:t>e</m:t>
              </m:r>
              <m:r>
                <m:t>c</m:t>
              </m:r>
              <m:r>
                <m:t>a</m:t>
              </m:r>
              <m:r>
                <m:t>l</m:t>
              </m:r>
              <m:r>
                <m:t>l</m:t>
              </m:r>
              <m:r>
                <m:t>]</m:t>
              </m:r>
            </m:num>
            <m:den>
              <m:r>
                <m:t>[</m:t>
              </m:r>
              <m:r>
                <m:t>α</m:t>
              </m:r>
              <m:r>
                <m:t>×</m:t>
              </m:r>
              <m:r>
                <m:t>p</m:t>
              </m:r>
              <m:r>
                <m:t>r</m:t>
              </m:r>
              <m:r>
                <m:t>e</m:t>
              </m:r>
              <m:r>
                <m:t>c</m:t>
              </m:r>
              <m:r>
                <m:t>i</m:t>
              </m:r>
              <m:r>
                <m:t>s</m:t>
              </m:r>
              <m:r>
                <m:t>i</m:t>
              </m:r>
              <m:r>
                <m:t>o</m:t>
              </m:r>
              <m:r>
                <m:t>n</m:t>
              </m:r>
              <m:r>
                <m:t>]</m:t>
              </m:r>
              <m:r>
                <m:t>+</m:t>
              </m:r>
              <m:r>
                <m:t>r</m:t>
              </m:r>
              <m:r>
                <m:t>e</m:t>
              </m:r>
              <m:r>
                <m:t>c</m:t>
              </m:r>
              <m:r>
                <m:t>a</m:t>
              </m:r>
              <m:r>
                <m:t>l</m:t>
              </m:r>
              <m:r>
                <m:t>l</m:t>
              </m:r>
            </m:den>
          </m:f>
        </m:oMath>
      </m:oMathPara>
    </w:p>
    <w:p>
      <w:pPr>
        <w:pStyle w:val="FirstParagraph"/>
      </w:pPr>
      <w:r>
        <w:t xml:space="preserve">The F-measure falls to the category of combination metrics and its purpose is to combine the precision and recall in a single scalar. One of its advantages is that allows us to weight the two components as desired through the</w:t>
      </w:r>
      <w:r>
        <w:t xml:space="preserve"> </w:t>
      </w:r>
      <m:oMath>
        <m:r>
          <m:t>α</m:t>
        </m:r>
      </m:oMath>
      <w:r>
        <w:t xml:space="preserve"> </w:t>
      </w:r>
      <w:r>
        <w:t xml:space="preserve">component. Usual values of</w:t>
      </w:r>
      <w:r>
        <w:t xml:space="preserve"> </w:t>
      </w:r>
      <m:oMath>
        <m:r>
          <m:t>α</m:t>
        </m:r>
      </m:oMath>
      <w:r>
        <w:t xml:space="preserve"> </w:t>
      </w:r>
      <w:r>
        <w:t xml:space="preserve">are</w:t>
      </w:r>
      <w:r>
        <w:t xml:space="preserve"> </w:t>
      </w:r>
      <m:oMath>
        <m:r>
          <m:t>0.5</m:t>
        </m:r>
        <m:r>
          <m:t>,</m:t>
        </m:r>
        <m:r>
          <m:t>1</m:t>
        </m:r>
      </m:oMath>
      <w:r>
        <w:t xml:space="preserve"> </w:t>
      </w:r>
      <w:r>
        <w:t xml:space="preserve">or</w:t>
      </w:r>
      <w:r>
        <w:t xml:space="preserve"> </w:t>
      </w:r>
      <m:oMath>
        <m:r>
          <m:t>2</m:t>
        </m:r>
      </m:oMath>
      <w:r>
        <w:t xml:space="preserve"> </w:t>
      </w:r>
      <w:r>
        <w:t xml:space="preserve">- with</w:t>
      </w:r>
      <w:r>
        <w:t xml:space="preserve"> </w:t>
      </w:r>
      <m:oMath>
        <m:r>
          <m:t>1</m:t>
        </m:r>
      </m:oMath>
      <w:r>
        <w:t xml:space="preserve"> </w:t>
      </w:r>
      <w:r>
        <w:t xml:space="preserve">we specify that precision and recall are equal in weights,</w:t>
      </w:r>
      <w:r>
        <w:t xml:space="preserve"> </w:t>
      </w:r>
      <m:oMath>
        <m:r>
          <m:t>2</m:t>
        </m:r>
      </m:oMath>
      <w:r>
        <w:t xml:space="preserve"> </w:t>
      </w:r>
      <w:r>
        <w:t xml:space="preserve">indicates precision is twice as important as recall and</w:t>
      </w:r>
      <w:r>
        <w:t xml:space="preserve"> </w:t>
      </w:r>
      <m:oMath>
        <m:r>
          <m:t>0.5</m:t>
        </m:r>
      </m:oMath>
      <w:r>
        <w:t xml:space="preserve"> </w:t>
      </w:r>
      <w:r>
        <w:t xml:space="preserve">gives two times more weight to recall. When dealing with class imbalanace, the F-measure can give more in-depth insight</w:t>
      </w:r>
      <w:r>
        <w:t xml:space="preserve"> </w:t>
      </w:r>
      <w:r>
        <w:t xml:space="preserve">(Japkowicz 2013)</w:t>
      </w:r>
      <w:r>
        <w:t xml:space="preserve">.</w:t>
      </w:r>
    </w:p>
    <w:p>
      <w:pPr>
        <w:pStyle w:val="Heading3"/>
      </w:pPr>
      <w:bookmarkStart w:id="57" w:name="ranking-methods-and-metrics"/>
      <w:r>
        <w:t xml:space="preserve">5.1.2. Ranking Methods and Metrics</w:t>
      </w:r>
      <w:bookmarkEnd w:id="57"/>
    </w:p>
    <w:p>
      <w:pPr>
        <w:pStyle w:val="Heading4"/>
      </w:pPr>
      <w:bookmarkStart w:id="58" w:name="roc-curve-analysis"/>
      <w:r>
        <w:t xml:space="preserve">ROC Curve Analysis</w:t>
      </w:r>
      <w:bookmarkEnd w:id="58"/>
    </w:p>
    <w:p>
      <w:pPr>
        <w:pStyle w:val="FirstParagraph"/>
      </w:pPr>
      <w:r>
        <w:t xml:space="preserve">The Receiver-Operating-Characteristic, or simply ROC, is a simple, yet very powerful tool. The ROC curve is created by using the False Posititve Rate (FPR) and Sensitivity (or True Positive Rate (TPR)) and plotting them against each at different threshold settings. The FPR is defined as</w:t>
      </w:r>
      <w:r>
        <w:t xml:space="preserve"> </w:t>
      </w:r>
      <m:oMath>
        <m:r>
          <m:t>F</m:t>
        </m:r>
        <m:r>
          <m:t>P</m:t>
        </m:r>
        <m:r>
          <m:t>R</m:t>
        </m:r>
        <m:r>
          <m:t>=</m:t>
        </m:r>
        <m:f>
          <m:fPr>
            <m:type m:val="bar"/>
          </m:fPr>
          <m:num>
            <m:r>
              <m:t>F</m:t>
            </m:r>
            <m:r>
              <m:t>P</m:t>
            </m:r>
          </m:num>
          <m:den>
            <m:r>
              <m:t>F</m:t>
            </m:r>
            <m:r>
              <m:t>P</m:t>
            </m:r>
            <m:r>
              <m:t>+</m:t>
            </m:r>
            <m:r>
              <m:t>T</m:t>
            </m:r>
            <m:r>
              <m:t>N</m:t>
            </m:r>
          </m:den>
        </m:f>
      </m:oMath>
      <w:r>
        <w:t xml:space="preserve">. An example ROC curve can be seen in Figure 3. The better the line</w:t>
      </w:r>
      <w:r>
        <w:t xml:space="preserve"> </w:t>
      </w:r>
      <w:r>
        <w:t xml:space="preserve">“</w:t>
      </w:r>
      <w:r>
        <w:t xml:space="preserve">hugs</w:t>
      </w:r>
      <w:r>
        <w:t xml:space="preserve">”</w:t>
      </w:r>
      <w:r>
        <w:t xml:space="preserve"> </w:t>
      </w:r>
      <w:r>
        <w:t xml:space="preserve">the upper left corner of the ROC space, the better the trained classifier is. A model that produces a line that is close to the 45-degree separator means that it performs no better than simple random guessing.</w:t>
      </w:r>
    </w:p>
    <w:p>
      <w:pPr>
        <w:pStyle w:val="BodyText"/>
      </w:pPr>
      <w:r>
        <w:drawing>
          <wp:inline>
            <wp:extent cx="5334000" cy="4590047"/>
            <wp:effectExtent b="0" l="0" r="0" t="0"/>
            <wp:docPr descr="Well performing ROC curve example" title="" id="1" name="Picture"/>
            <a:graphic>
              <a:graphicData uri="http://schemas.openxmlformats.org/drawingml/2006/picture">
                <pic:pic>
                  <pic:nvPicPr>
                    <pic:cNvPr descr="figures/roc_curve_example.png" id="0" name="Picture"/>
                    <pic:cNvPicPr>
                      <a:picLocks noChangeArrowheads="1" noChangeAspect="1"/>
                    </pic:cNvPicPr>
                  </pic:nvPicPr>
                  <pic:blipFill>
                    <a:blip r:embed="rId59"/>
                    <a:stretch>
                      <a:fillRect/>
                    </a:stretch>
                  </pic:blipFill>
                  <pic:spPr bwMode="auto">
                    <a:xfrm>
                      <a:off x="0" y="0"/>
                      <a:ext cx="5334000" cy="4590047"/>
                    </a:xfrm>
                    <a:prstGeom prst="rect">
                      <a:avLst/>
                    </a:prstGeom>
                    <a:noFill/>
                    <a:ln w="9525">
                      <a:noFill/>
                      <a:headEnd/>
                      <a:tailEnd/>
                    </a:ln>
                  </pic:spPr>
                </pic:pic>
              </a:graphicData>
            </a:graphic>
          </wp:inline>
        </w:drawing>
      </w:r>
      <w:r>
        <w:t xml:space="preserve">{width = 60%}</w:t>
      </w:r>
    </w:p>
    <w:p>
      <w:pPr>
        <w:pStyle w:val="BodyText"/>
      </w:pPr>
      <w:r>
        <w:t xml:space="preserve">Moreover, when dealing with imbalanced classes, the ROC metric is a very suitable indicator of whether a model is a good fit. The first reason is that we have the performance of each class shown separately (through the two axes) and the second one is that it gives a good overview what can happen in different situations</w:t>
      </w:r>
      <w:r>
        <w:t xml:space="preserve"> </w:t>
      </w:r>
      <w:r>
        <w:t xml:space="preserve">(Japkowicz 2013)</w:t>
      </w:r>
      <w:r>
        <w:t xml:space="preserve">.</w:t>
      </w:r>
    </w:p>
    <w:p>
      <w:pPr>
        <w:pStyle w:val="Heading4"/>
      </w:pPr>
      <w:bookmarkStart w:id="60" w:name="precision-and-recall-curve-analysis"/>
      <w:r>
        <w:t xml:space="preserve">Precision and Recall Curve Analysis</w:t>
      </w:r>
      <w:bookmarkEnd w:id="60"/>
    </w:p>
    <w:p>
      <w:pPr>
        <w:pStyle w:val="FirstParagraph"/>
      </w:pPr>
      <w:r>
        <w:t xml:space="preserve">The Precision and Recall (PR) Curve Analysis is very similar to ROC Curve Analysis, as it once again gives an overview of the correctly-classified positive class and and the number of incorrectly-classified negative observations. However, the PR curve plots, as expected, the precision and recall on the two axes, showing the various states the precision metric can take given different levels of recall. Unlike the ROC curve, the PR one has a negative slope, due to the fact precision decreases with the increase of recall. There have been suggestions that PR curves can be more informative than ROC curves when working with imbalanced classes</w:t>
      </w:r>
      <w:r>
        <w:t xml:space="preserve"> </w:t>
      </w:r>
      <w:r>
        <w:t xml:space="preserve">(Davis and Goadrich 2006)</w:t>
      </w:r>
      <w:r>
        <w:t xml:space="preserve">.</w:t>
      </w:r>
    </w:p>
    <w:p>
      <w:pPr>
        <w:pStyle w:val="Heading4"/>
      </w:pPr>
      <w:bookmarkStart w:id="61" w:name="area-under-curve-auc"/>
      <w:r>
        <w:t xml:space="preserve">Area-Under-Curve (AUC)</w:t>
      </w:r>
      <w:bookmarkEnd w:id="61"/>
    </w:p>
    <w:p>
      <w:pPr>
        <w:pStyle w:val="FirstParagraph"/>
      </w:pPr>
      <w:r>
        <w:t xml:space="preserve">The AUC metric illustrates the performance of a classification model averaged over all of the feasible cost ratios. Given that the ROC curve operates in a unit square, it can be seen that the AUC in this case could take values only between 0 and 1, i.e.</w:t>
      </w:r>
      <w:r>
        <w:t xml:space="preserve"> </w:t>
      </w:r>
      <m:oMath>
        <m:r>
          <m:t>A</m:t>
        </m:r>
        <m:r>
          <m:t>U</m:t>
        </m:r>
        <m:r>
          <m:t>C</m:t>
        </m:r>
        <m:r>
          <m:t>∈</m:t>
        </m:r>
        <m:r>
          <m:t>[</m:t>
        </m:r>
        <m:r>
          <m:t>0</m:t>
        </m:r>
        <m:r>
          <m:t>,</m:t>
        </m:r>
        <m:r>
          <m:t>1</m:t>
        </m:r>
        <m:r>
          <m:t>]</m:t>
        </m:r>
      </m:oMath>
      <w:r>
        <w:t xml:space="preserve">, with</w:t>
      </w:r>
      <w:r>
        <w:t xml:space="preserve"> </w:t>
      </w:r>
      <m:oMath>
        <m:r>
          <m:t>A</m:t>
        </m:r>
        <m:r>
          <m:t>U</m:t>
        </m:r>
        <m:r>
          <m:t>C</m:t>
        </m:r>
        <m:r>
          <m:t>=</m:t>
        </m:r>
        <m:r>
          <m:t>1</m:t>
        </m:r>
      </m:oMath>
      <w:r>
        <w:t xml:space="preserve"> </w:t>
      </w:r>
      <w:r>
        <w:t xml:space="preserve">representig the perfect classifier and</w:t>
      </w:r>
      <w:r>
        <w:t xml:space="preserve"> </w:t>
      </w:r>
      <m:oMath>
        <m:r>
          <m:t>A</m:t>
        </m:r>
        <m:r>
          <m:t>U</m:t>
        </m:r>
        <m:r>
          <m:t>C</m:t>
        </m:r>
        <m:r>
          <m:t>=</m:t>
        </m:r>
        <m:r>
          <m:t>0.5</m:t>
        </m:r>
      </m:oMath>
      <w:r>
        <w:t xml:space="preserve"> </w:t>
      </w:r>
      <w:r>
        <w:t xml:space="preserve">the random one. It can be argued that the AUC is a good summary metric that can assess the performance of a classifier and be used for comparisons, but it too loses significant information over the entire operating range (for instance trade-off behaviour between TP and FP performances).</w:t>
      </w:r>
    </w:p>
    <w:p>
      <w:pPr>
        <w:pStyle w:val="Heading2"/>
      </w:pPr>
      <w:bookmarkStart w:id="62" w:name="experimental-results"/>
      <w:r>
        <w:t xml:space="preserve">5.2. Experimental Results</w:t>
      </w:r>
      <w:bookmarkEnd w:id="62"/>
    </w:p>
    <w:p>
      <w:pPr>
        <w:pStyle w:val="FirstParagraph"/>
      </w:pPr>
      <w:r>
        <w:t xml:space="preserve">We have conducted all experiments on a machine running 4GB RAM, Intel(R) Core(TM) i3-2330M CPU @ 2.20GHz or on the Kaggle Cloud Computing Service, where depending on the statistical model that was geing calculated, up to 32 cores and 17 GB RAM were utilized. The programming software that we used was R - R Studio on the local machine and R scripts on the cloud.</w:t>
      </w:r>
    </w:p>
    <w:p>
      <w:pPr>
        <w:pStyle w:val="BodyText"/>
      </w:pPr>
      <w:r>
        <w:t xml:space="preserve">We will use 10-fold Cross-Validation in order to tune the model parameters and will use the ROC as an optimization criterion, as it is argued that it is a good indicator when dealing with imbalanced classes</w:t>
      </w:r>
      <w:r>
        <w:t xml:space="preserve"> </w:t>
      </w:r>
      <w:r>
        <w:t xml:space="preserve">(He and Garcia 2009)</w:t>
      </w:r>
      <w:r>
        <w:t xml:space="preserve">. The Accuracy metric will be used as little as possible to determine a classifier performance, as even if a model fails to classify a single observation from the minority class, the accuraccy will still be high (and close to 100% in some cases).</w:t>
      </w:r>
    </w:p>
    <w:p>
      <w:pPr>
        <w:pStyle w:val="Heading3"/>
      </w:pPr>
      <w:bookmarkStart w:id="63" w:name="ucsd"/>
      <w:r>
        <w:t xml:space="preserve">5.2.1. UCSD</w:t>
      </w:r>
      <w:bookmarkEnd w:id="63"/>
    </w:p>
    <w:p>
      <w:pPr>
        <w:numPr>
          <w:numId w:val="1007"/>
          <w:ilvl w:val="0"/>
        </w:numPr>
      </w:pPr>
      <w:r>
        <w:t xml:space="preserve">State if data-sampling techniques have made any real improvement - put the ROC, PR and AUC measures in appendix or in small table, graphs.</w:t>
      </w:r>
    </w:p>
    <w:p>
      <w:pPr>
        <w:numPr>
          <w:numId w:val="1007"/>
          <w:ilvl w:val="0"/>
        </w:numPr>
      </w:pPr>
      <w:r>
        <w:t xml:space="preserve">Get the best classifier from each model type and plot all of them - ROC, PR and AUC</w:t>
      </w:r>
    </w:p>
    <w:p>
      <w:pPr>
        <w:numPr>
          <w:numId w:val="1007"/>
          <w:ilvl w:val="0"/>
        </w:numPr>
      </w:pPr>
      <w:r>
        <w:t xml:space="preserve">Discuss result</w:t>
      </w:r>
    </w:p>
    <w:p>
      <w:pPr>
        <w:pStyle w:val="Heading3"/>
      </w:pPr>
      <w:bookmarkStart w:id="64" w:name="credit-card"/>
      <w:r>
        <w:t xml:space="preserve">5.2.2. Credit Card</w:t>
      </w:r>
      <w:bookmarkEnd w:id="64"/>
    </w:p>
    <w:p>
      <w:pPr>
        <w:pStyle w:val="Heading3"/>
      </w:pPr>
      <w:bookmarkStart w:id="65" w:name="paysim-1"/>
      <w:r>
        <w:t xml:space="preserve">5.2.3. PaySim</w:t>
      </w:r>
      <w:bookmarkEnd w:id="65"/>
    </w:p>
    <w:p>
      <w:pPr>
        <w:pStyle w:val="Heading3"/>
      </w:pPr>
      <w:bookmarkStart w:id="66" w:name="banksim-1"/>
      <w:r>
        <w:t xml:space="preserve">5.2.4. BankSim</w:t>
      </w:r>
      <w:bookmarkEnd w:id="66"/>
    </w:p>
    <w:p>
      <w:pPr>
        <w:pStyle w:val="Heading1"/>
      </w:pPr>
      <w:bookmarkStart w:id="67" w:name="further-improvements"/>
      <w:r>
        <w:t xml:space="preserve">6. Further Improvements</w:t>
      </w:r>
      <w:bookmarkEnd w:id="67"/>
    </w:p>
    <w:p>
      <w:pPr>
        <w:pStyle w:val="Heading1"/>
      </w:pPr>
      <w:bookmarkStart w:id="68" w:name="conclusion"/>
      <w:r>
        <w:t xml:space="preserve">7. Conclusion</w:t>
      </w:r>
      <w:bookmarkEnd w:id="68"/>
    </w:p>
    <w:p>
      <w:pPr>
        <w:pStyle w:val="Heading1"/>
      </w:pPr>
      <w:bookmarkStart w:id="69" w:name="references"/>
      <w:r>
        <w:t xml:space="preserve">8. References</w:t>
      </w:r>
      <w:bookmarkEnd w:id="69"/>
    </w:p>
    <w:bookmarkStart w:id="120" w:name="refs"/>
    <w:bookmarkStart w:id="71" w:name="ref-fraudanalyticsacl"/>
    <w:p>
      <w:pPr>
        <w:pStyle w:val="Bibliography"/>
      </w:pPr>
      <w:r>
        <w:t xml:space="preserve">ACL. 2014. “Fraud Detection Using Data Analytics in the Banking Industry.” 2014.</w:t>
      </w:r>
      <w:r>
        <w:t xml:space="preserve"> </w:t>
      </w:r>
      <w:hyperlink r:id="rId70">
        <w:r>
          <w:rPr>
            <w:rStyle w:val="Hyperlink"/>
          </w:rPr>
          <w:t xml:space="preserve">https://www.acl.com/pdfs/DP_Fraud_detection_BANKING.pdf</w:t>
        </w:r>
      </w:hyperlink>
      <w:r>
        <w:t xml:space="preserve">.</w:t>
      </w:r>
    </w:p>
    <w:bookmarkEnd w:id="71"/>
    <w:bookmarkStart w:id="72"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72"/>
    <w:bookmarkStart w:id="73" w:name="ref-batuwita2013class"/>
    <w:p>
      <w:pPr>
        <w:pStyle w:val="Bibliography"/>
      </w:pPr>
      <w:r>
        <w:t xml:space="preserve">Batuwita, Rukshan, and Vasile Palade. 2013. “Class Imbalance Learning Methods for Support Vector Machines.”</w:t>
      </w:r>
    </w:p>
    <w:bookmarkEnd w:id="73"/>
    <w:bookmarkStart w:id="74"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74"/>
    <w:bookmarkStart w:id="75"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75"/>
    <w:bookmarkStart w:id="76"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76"/>
    <w:bookmarkStart w:id="77"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77"/>
    <w:bookmarkStart w:id="78" w:name="ref-brause1999neural"/>
    <w:p>
      <w:pPr>
        <w:pStyle w:val="Bibliography"/>
      </w:pPr>
      <w:r>
        <w:t xml:space="preserve">Brause, R, T Langsdorf, and Michael Hepp. 1999. “Neural Data Mining for Credit Card Fraud Detection.” In</w:t>
      </w:r>
      <w:r>
        <w:t xml:space="preserve"> </w:t>
      </w:r>
      <w:r>
        <w:rPr>
          <w:i/>
        </w:rPr>
        <w:t xml:space="preserve">Tools with Artificial Intelligence, 1999. Proceedings. 11th Ieee International Conference on</w:t>
      </w:r>
      <w:r>
        <w:t xml:space="preserve">, 103–6. IEEE.</w:t>
      </w:r>
    </w:p>
    <w:bookmarkEnd w:id="78"/>
    <w:bookmarkStart w:id="79"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79"/>
    <w:bookmarkStart w:id="80" w:name="ref-chaudhary2012credit"/>
    <w:p>
      <w:pPr>
        <w:pStyle w:val="Bibliography"/>
      </w:pPr>
      <w:r>
        <w:t xml:space="preserve">Chaudhary, Khyati, and Bhawna Mallick. 2012. “Credit Card Fraud: The Study of Its Impact and Detection Techniques.” Citeseer.</w:t>
      </w:r>
    </w:p>
    <w:bookmarkEnd w:id="80"/>
    <w:bookmarkStart w:id="81"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81"/>
    <w:bookmarkStart w:id="82"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82"/>
    <w:bookmarkStart w:id="83"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83"/>
    <w:bookmarkStart w:id="84" w:name="ref-dal2015adaptive"/>
    <w:p>
      <w:pPr>
        <w:pStyle w:val="Bibliography"/>
      </w:pPr>
      <w:r>
        <w:t xml:space="preserve">Dal Pozzolo, Andrea, and Gianluca Bontempi. 2015. “Adaptive Machine Learning for Credit Card Fraud Detection.” Université libre de Bruxelles.</w:t>
      </w:r>
    </w:p>
    <w:bookmarkEnd w:id="84"/>
    <w:bookmarkStart w:id="85"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85"/>
    <w:bookmarkStart w:id="86" w:name="ref-dal2014learned"/>
    <w:p>
      <w:pPr>
        <w:pStyle w:val="Bibliography"/>
      </w:pPr>
      <w:r>
        <w:t xml:space="preserve">Dal Pozzolo, Andrea, Olivier Caelen, Yann-Ael Le Borgne, Serge Waterschoot, and Gianluca Bontempi. 2014. “Learned Lessons in Credit Card Fraud Detection from a Practitioner Perspective.”</w:t>
      </w:r>
      <w:r>
        <w:t xml:space="preserve"> </w:t>
      </w:r>
      <w:r>
        <w:rPr>
          <w:i/>
        </w:rPr>
        <w:t xml:space="preserve">Expert Systems with Applications</w:t>
      </w:r>
      <w:r>
        <w:t xml:space="preserve"> </w:t>
      </w:r>
      <w:r>
        <w:t xml:space="preserve">41 (10). Elsevier:4915–28.</w:t>
      </w:r>
    </w:p>
    <w:bookmarkEnd w:id="86"/>
    <w:bookmarkStart w:id="87" w:name="ref-davis2006relationship"/>
    <w:p>
      <w:pPr>
        <w:pStyle w:val="Bibliography"/>
      </w:pPr>
      <w:r>
        <w:t xml:space="preserve">Davis, Jesse, and Mark Goadrich. 2006. “The Relationship Between Precision-Recall and Roc Curves.” In</w:t>
      </w:r>
      <w:r>
        <w:t xml:space="preserve"> </w:t>
      </w:r>
      <w:r>
        <w:rPr>
          <w:i/>
        </w:rPr>
        <w:t xml:space="preserve">Proceedings of the 23rd International Conference on Machine Learning</w:t>
      </w:r>
      <w:r>
        <w:t xml:space="preserve">, 233–40. ACM.</w:t>
      </w:r>
    </w:p>
    <w:bookmarkEnd w:id="87"/>
    <w:bookmarkStart w:id="88" w:name="ref-dorronsoro1997neural"/>
    <w:p>
      <w:pPr>
        <w:pStyle w:val="Bibliography"/>
      </w:pPr>
      <w:r>
        <w:t xml:space="preserve">Dorronsoro, Jose R, Francisco Ginel, C Sgnchez, and CS Cruz. 1997. “Neural Fraud Detection in Credit Card Operations.”</w:t>
      </w:r>
      <w:r>
        <w:t xml:space="preserve"> </w:t>
      </w:r>
      <w:r>
        <w:rPr>
          <w:i/>
        </w:rPr>
        <w:t xml:space="preserve">IEEE Transactions on Neural Networks</w:t>
      </w:r>
      <w:r>
        <w:t xml:space="preserve"> </w:t>
      </w:r>
      <w:r>
        <w:t xml:space="preserve">8 (4). IEEE:827–34.</w:t>
      </w:r>
    </w:p>
    <w:bookmarkEnd w:id="88"/>
    <w:bookmarkStart w:id="90" w:name="ref-analytics_tools_table"/>
    <w:p>
      <w:pPr>
        <w:pStyle w:val="Bibliography"/>
      </w:pPr>
      <w:r>
        <w:t xml:space="preserve">EY. 2014. “Big Risks Require Big Data Thinking.” 2014.</w:t>
      </w:r>
      <w:r>
        <w:t xml:space="preserve"> </w:t>
      </w:r>
      <w:hyperlink r:id="rId89">
        <w:r>
          <w:rPr>
            <w:rStyle w:val="Hyperlink"/>
          </w:rPr>
          <w:t xml:space="preserve">http://www.ey.com/Publication/vwLUAssets/EY-Global-Forensic-Data-Analytics-Survey-2014/$FILE/EY-Global-Forensic-Data-Analytics-Survey-2014.pdf</w:t>
        </w:r>
      </w:hyperlink>
      <w:r>
        <w:t xml:space="preserve">.</w:t>
      </w:r>
    </w:p>
    <w:bookmarkEnd w:id="90"/>
    <w:bookmarkStart w:id="91"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91"/>
    <w:bookmarkStart w:id="92"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92"/>
    <w:bookmarkStart w:id="93"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93"/>
    <w:bookmarkStart w:id="94"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94"/>
    <w:bookmarkStart w:id="95"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95"/>
    <w:bookmarkStart w:id="96"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96"/>
    <w:bookmarkStart w:id="97" w:name="ref-ghosh1994credit"/>
    <w:p>
      <w:pPr>
        <w:pStyle w:val="Bibliography"/>
      </w:pPr>
      <w:r>
        <w:t xml:space="preserve">Ghosh, Sushmito, and Douglas L Reilly. 1994. “Credit Card Fraud Detection with a Neural-Network.” In</w:t>
      </w:r>
      <w:r>
        <w:t xml:space="preserve"> </w:t>
      </w:r>
      <w:r>
        <w:rPr>
          <w:i/>
        </w:rPr>
        <w:t xml:space="preserve">System Sciences, 1994. Proceedings of the Twenty-Seventh Hawaii International Conference on</w:t>
      </w:r>
      <w:r>
        <w:t xml:space="preserve">, 3:621–30. IEEE.</w:t>
      </w:r>
    </w:p>
    <w:bookmarkEnd w:id="97"/>
    <w:bookmarkStart w:id="98"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98"/>
    <w:bookmarkStart w:id="99" w:name="ref-he2009learning"/>
    <w:p>
      <w:pPr>
        <w:pStyle w:val="Bibliography"/>
      </w:pPr>
      <w:r>
        <w:t xml:space="preserve">He, Haibo, and Edwardo A Garcia. 2009. “Learning from Imbalanced Data.”</w:t>
      </w:r>
      <w:r>
        <w:t xml:space="preserve"> </w:t>
      </w:r>
      <w:r>
        <w:rPr>
          <w:i/>
        </w:rPr>
        <w:t xml:space="preserve">IEEE Transactions on Knowledge and Data Engineering</w:t>
      </w:r>
      <w:r>
        <w:t xml:space="preserve"> </w:t>
      </w:r>
      <w:r>
        <w:t xml:space="preserve">21 (9). Ieee:1263–84.</w:t>
      </w:r>
    </w:p>
    <w:bookmarkEnd w:id="99"/>
    <w:bookmarkStart w:id="100"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100"/>
    <w:bookmarkStart w:id="101" w:name="ref-japkowicz2013assessment"/>
    <w:p>
      <w:pPr>
        <w:pStyle w:val="Bibliography"/>
      </w:pPr>
      <w:r>
        <w:t xml:space="preserve">Japkowicz, Nathalie. 2013. “Assessment Metrics for Imbalanced Learning.”</w:t>
      </w:r>
      <w:r>
        <w:t xml:space="preserve"> </w:t>
      </w:r>
      <w:r>
        <w:rPr>
          <w:i/>
        </w:rPr>
        <w:t xml:space="preserve">Imbalanced Learning: Foundations, Algorithms, and Applications</w:t>
      </w:r>
      <w:r>
        <w:t xml:space="preserve">. Wiley Online Library, 187–206.</w:t>
      </w:r>
    </w:p>
    <w:bookmarkEnd w:id="101"/>
    <w:bookmarkStart w:id="102"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102"/>
    <w:bookmarkStart w:id="103"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103"/>
    <w:bookmarkStart w:id="104" w:name="ref-laudon2013commerce"/>
    <w:p>
      <w:pPr>
        <w:pStyle w:val="Bibliography"/>
      </w:pPr>
      <w:r>
        <w:t xml:space="preserve">Laudon, Kenneth C, and Carol Guercio Traver. 2013.</w:t>
      </w:r>
      <w:r>
        <w:t xml:space="preserve"> </w:t>
      </w:r>
      <w:r>
        <w:rPr>
          <w:i/>
        </w:rPr>
        <w:t xml:space="preserve">E-Commerce</w:t>
      </w:r>
      <w:r>
        <w:t xml:space="preserve">. Pearson.</w:t>
      </w:r>
    </w:p>
    <w:bookmarkEnd w:id="104"/>
    <w:bookmarkStart w:id="105"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105"/>
    <w:bookmarkStart w:id="106"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106"/>
    <w:bookmarkStart w:id="107"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107"/>
    <w:bookmarkStart w:id="108"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108"/>
    <w:bookmarkStart w:id="109"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109"/>
    <w:bookmarkStart w:id="110" w:name="ref-nielsen2016tree"/>
    <w:p>
      <w:pPr>
        <w:pStyle w:val="Bibliography"/>
      </w:pPr>
      <w:r>
        <w:t xml:space="preserve">Nielsen, Didrik. 2016. “Tree Boosting with Xgboost-Why Does Xgboost Win" Every" Machine Learning Competition?” Master’s thesis, NTNU.</w:t>
      </w:r>
    </w:p>
    <w:bookmarkEnd w:id="110"/>
    <w:bookmarkStart w:id="112" w:name="ref-nilson2016nilson"/>
    <w:p>
      <w:pPr>
        <w:pStyle w:val="Bibliography"/>
      </w:pPr>
      <w:r>
        <w:t xml:space="preserve">Nilson, Spencer. 2016. “The Nilson Report.”</w:t>
      </w:r>
      <w:r>
        <w:t xml:space="preserve"> </w:t>
      </w:r>
      <w:hyperlink r:id="rId111">
        <w:r>
          <w:rPr>
            <w:rStyle w:val="Hyperlink"/>
          </w:rPr>
          <w:t xml:space="preserve">https://nilsonreport.com/publication_newsletter_archive_issue.php?issue=1096</w:t>
        </w:r>
      </w:hyperlink>
      <w:r>
        <w:t xml:space="preserve">.</w:t>
      </w:r>
    </w:p>
    <w:bookmarkEnd w:id="112"/>
    <w:bookmarkStart w:id="114" w:name="ref-capitaloneguide"/>
    <w:p>
      <w:pPr>
        <w:pStyle w:val="Bibliography"/>
      </w:pPr>
      <w:r>
        <w:t xml:space="preserve">One, Capital. 2010. “Identity Theft Guide.” 2010.</w:t>
      </w:r>
      <w:r>
        <w:t xml:space="preserve"> </w:t>
      </w:r>
      <w:hyperlink r:id="rId113">
        <w:r>
          <w:rPr>
            <w:rStyle w:val="Hyperlink"/>
          </w:rPr>
          <w:t xml:space="preserve">https://www.capitalone.ca/media/doc/canada/identity-theft-guide.pdf</w:t>
        </w:r>
      </w:hyperlink>
      <w:r>
        <w:t xml:space="preserve">.</w:t>
      </w:r>
    </w:p>
    <w:bookmarkEnd w:id="114"/>
    <w:bookmarkStart w:id="115"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115"/>
    <w:bookmarkStart w:id="116"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116"/>
    <w:bookmarkStart w:id="117"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117"/>
    <w:bookmarkStart w:id="118"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118"/>
    <w:bookmarkStart w:id="119"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hyperlink" Id="rId89" Target="http://www.ey.com/Publication/vwLUAssets/EY-Global-Forensic-Data-Analytics-Survey-2014/$FILE/EY-Global-Forensic-Data-Analytics-Survey-2014.pdf" TargetMode="External" /><Relationship Type="http://schemas.openxmlformats.org/officeDocument/2006/relationships/hyperlink" Id="rId111" Target="https://nilsonreport.com/publication_newsletter_archive_issue.php?issue=1096" TargetMode="External" /><Relationship Type="http://schemas.openxmlformats.org/officeDocument/2006/relationships/hyperlink" Id="rId70" Target="https://www.acl.com/pdfs/DP_Fraud_detection_BANKING.pdf" TargetMode="External" /><Relationship Type="http://schemas.openxmlformats.org/officeDocument/2006/relationships/hyperlink" Id="rId113"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89" Target="http://www.ey.com/Publication/vwLUAssets/EY-Global-Forensic-Data-Analytics-Survey-2014/$FILE/EY-Global-Forensic-Data-Analytics-Survey-2014.pdf" TargetMode="External" /><Relationship Type="http://schemas.openxmlformats.org/officeDocument/2006/relationships/hyperlink" Id="rId111" Target="https://nilsonreport.com/publication_newsletter_archive_issue.php?issue=1096" TargetMode="External" /><Relationship Type="http://schemas.openxmlformats.org/officeDocument/2006/relationships/hyperlink" Id="rId70" Target="https://www.acl.com/pdfs/DP_Fraud_detection_BANKING.pdf" TargetMode="External" /><Relationship Type="http://schemas.openxmlformats.org/officeDocument/2006/relationships/hyperlink" Id="rId113"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2018-04-26T11:35:38Z</dcterms:created>
  <dcterms:modified xsi:type="dcterms:W3CDTF">2018-04-26T11:35:38Z</dcterms:modified>
</cp:coreProperties>
</file>