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1"/>
      </w:pPr>
      <w:bookmarkStart w:id="23" w:name="methodology"/>
      <w:r>
        <w:t xml:space="preserve">3. Methodology</w:t>
      </w:r>
      <w:bookmarkEnd w:id="23"/>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w:t>
      </w:r>
    </w:p>
    <w:p>
      <w:pPr>
        <w:pStyle w:val="Heading2"/>
      </w:pPr>
      <w:bookmarkStart w:id="24" w:name="preliminaries"/>
      <w:r>
        <w:t xml:space="preserve">3.1. Preliminaries</w:t>
      </w:r>
      <w:bookmarkEnd w:id="24"/>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5" w:name="machine-learning-algorithms"/>
      <w:r>
        <w:t xml:space="preserve">3.2. Machine Learning Algorithms</w:t>
      </w:r>
      <w:bookmarkEnd w:id="25"/>
    </w:p>
    <w:p>
      <w:pPr>
        <w:pStyle w:val="Heading3"/>
      </w:pPr>
      <w:bookmarkStart w:id="26" w:name="logistic-regression"/>
      <w:r>
        <w:t xml:space="preserve">3.2.1. Logistic Regression</w:t>
      </w:r>
      <w:bookmarkEnd w:id="26"/>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27" w:name="neural-networks"/>
      <w:r>
        <w:t xml:space="preserve">3.2.2. Neural Networks</w:t>
      </w:r>
      <w:bookmarkEnd w:id="27"/>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28"/>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29" w:name="support-vector-machines"/>
      <w:r>
        <w:t xml:space="preserve">3.2.3. Support Vector Machines</w:t>
      </w:r>
      <w:bookmarkEnd w:id="29"/>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0" w:name="non-cost-sensitive-learning"/>
      <w:r>
        <w:t xml:space="preserve">Non-cost sensitive learning</w:t>
      </w:r>
      <w:bookmarkEnd w:id="30"/>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1" w:name="cost-sensitive-learning"/>
      <w:r>
        <w:t xml:space="preserve">Cost Sensitive learning</w:t>
      </w:r>
      <w:bookmarkEnd w:id="31"/>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2" w:name="kernels"/>
      <w:r>
        <w:t xml:space="preserve">Kernels</w:t>
      </w:r>
      <w:bookmarkEnd w:id="32"/>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3" w:name="tree-based-methods"/>
      <w:r>
        <w:t xml:space="preserve">3.2.4. Tree-Based Methods</w:t>
      </w:r>
      <w:bookmarkEnd w:id="33"/>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4" w:name="random-forests"/>
      <w:r>
        <w:t xml:space="preserve">Random Forests</w:t>
      </w:r>
      <w:bookmarkEnd w:id="34"/>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5" w:name="stochastic-gradient-boosting-machines-and-extreme-gradient-boosting-machines"/>
      <w:r>
        <w:t xml:space="preserve">Stochastic Gradient Boosting Machines and eXtreme Gradient Boosting Machines</w:t>
      </w:r>
      <w:bookmarkEnd w:id="35"/>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36" w:name="cross-validation"/>
      <w:r>
        <w:t xml:space="preserve">3.3. Cross-Validation</w:t>
      </w:r>
      <w:bookmarkEnd w:id="36"/>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37" w:name="data"/>
      <w:r>
        <w:t xml:space="preserve">4. Data</w:t>
      </w:r>
      <w:bookmarkEnd w:id="37"/>
    </w:p>
    <w:p>
      <w:pPr>
        <w:pStyle w:val="Heading2"/>
      </w:pPr>
      <w:bookmarkStart w:id="38" w:name="datasets"/>
      <w:r>
        <w:t xml:space="preserve">4.1. Datasets</w:t>
      </w:r>
      <w:bookmarkEnd w:id="38"/>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39" w:name="real-world-datasets"/>
      <w:r>
        <w:t xml:space="preserve">4.1.1. Real-World Datasets</w:t>
      </w:r>
      <w:bookmarkEnd w:id="39"/>
    </w:p>
    <w:p>
      <w:pPr>
        <w:pStyle w:val="Heading4"/>
      </w:pPr>
      <w:bookmarkStart w:id="40" w:name="ucsd-fico-data-mining-contest-2009"/>
      <w:r>
        <w:t xml:space="preserve">UCSD-FICO Data Mining Contest 2009</w:t>
      </w:r>
      <w:bookmarkEnd w:id="40"/>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1" w:name="universite-libre-de-bruxelles-ulb-machine-learning-group"/>
      <w:r>
        <w:t xml:space="preserve">Université Libre de Bruxelles (ULB) Machine Learning Group</w:t>
      </w:r>
      <w:bookmarkEnd w:id="41"/>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2" w:name="simulated-datasets"/>
      <w:r>
        <w:t xml:space="preserve">4.1.2. Simulated Datasets</w:t>
      </w:r>
      <w:bookmarkEnd w:id="42"/>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3" w:name="paysim"/>
      <w:r>
        <w:t xml:space="preserve">PaySim</w:t>
      </w:r>
      <w:bookmarkEnd w:id="43"/>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4" w:name="banksim"/>
      <w:r>
        <w:t xml:space="preserve">BankSim</w:t>
      </w:r>
      <w:bookmarkEnd w:id="44"/>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5" w:name="problems-of-imbalanced-data-and-data-sampling-techniques"/>
      <w:r>
        <w:t xml:space="preserve">4.2. Problems of Imbalanced Data and Data Sampling Techniques</w:t>
      </w:r>
      <w:bookmarkEnd w:id="45"/>
    </w:p>
    <w:p>
      <w:pPr>
        <w:pStyle w:val="Heading3"/>
      </w:pPr>
      <w:bookmarkStart w:id="46" w:name="problem-of-imbalanced-data"/>
      <w:r>
        <w:t xml:space="preserve">4.2.1. Problem of Imbalanced Data</w:t>
      </w:r>
      <w:bookmarkEnd w:id="46"/>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47" w:name="data-sampling-techniques"/>
      <w:r>
        <w:t xml:space="preserve">4.2.2. Data Sampling Techniques</w:t>
      </w:r>
      <w:bookmarkEnd w:id="47"/>
    </w:p>
    <w:p>
      <w:pPr>
        <w:pStyle w:val="Heading4"/>
      </w:pPr>
      <w:bookmarkStart w:id="48" w:name="random-oversampling-rosand-random-undersampling-rus"/>
      <w:r>
        <w:t xml:space="preserve">Random Oversampling (ROS)and Random UnderSampling (RUS)</w:t>
      </w:r>
      <w:bookmarkEnd w:id="48"/>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49" w:name="smote"/>
      <w:r>
        <w:t xml:space="preserve">SMOTE</w:t>
      </w:r>
      <w:bookmarkEnd w:id="49"/>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0" w:name="results"/>
      <w:r>
        <w:t xml:space="preserve">5. Results</w:t>
      </w:r>
      <w:bookmarkEnd w:id="50"/>
    </w:p>
    <w:p>
      <w:pPr>
        <w:pStyle w:val="Heading1"/>
      </w:pPr>
      <w:bookmarkStart w:id="51" w:name="further-improvements"/>
      <w:r>
        <w:t xml:space="preserve">6. Further Improvements</w:t>
      </w:r>
      <w:bookmarkEnd w:id="51"/>
    </w:p>
    <w:p>
      <w:pPr>
        <w:pStyle w:val="Heading1"/>
      </w:pPr>
      <w:bookmarkStart w:id="52" w:name="conclusion"/>
      <w:r>
        <w:t xml:space="preserve">7. Conclusion</w:t>
      </w:r>
      <w:bookmarkEnd w:id="52"/>
    </w:p>
    <w:p>
      <w:pPr>
        <w:pStyle w:val="Heading1"/>
      </w:pPr>
      <w:bookmarkStart w:id="53" w:name="references"/>
      <w:r>
        <w:t xml:space="preserve">8. References</w:t>
      </w:r>
      <w:bookmarkEnd w:id="53"/>
    </w:p>
    <w:bookmarkStart w:id="81" w:name="refs"/>
    <w:bookmarkStart w:id="54"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54"/>
    <w:bookmarkStart w:id="55" w:name="ref-batuwita2013class"/>
    <w:p>
      <w:pPr>
        <w:pStyle w:val="Bibliography"/>
      </w:pPr>
      <w:r>
        <w:t xml:space="preserve">Batuwita, Rukshan, and Vasile Palade. 2013. “Class Imbalance Learning Methods for Support Vector Machines.”</w:t>
      </w:r>
    </w:p>
    <w:bookmarkEnd w:id="55"/>
    <w:bookmarkStart w:id="56"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56"/>
    <w:bookmarkStart w:id="57"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57"/>
    <w:bookmarkStart w:id="58"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58"/>
    <w:bookmarkStart w:id="59"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59"/>
    <w:bookmarkStart w:id="60"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60"/>
    <w:bookmarkStart w:id="61"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61"/>
    <w:bookmarkStart w:id="62"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62"/>
    <w:bookmarkStart w:id="63"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63"/>
    <w:bookmarkStart w:id="64"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64"/>
    <w:bookmarkStart w:id="65"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65"/>
    <w:bookmarkStart w:id="66"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66"/>
    <w:bookmarkStart w:id="67"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67"/>
    <w:bookmarkStart w:id="68"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68"/>
    <w:bookmarkStart w:id="69"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69"/>
    <w:bookmarkStart w:id="70"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70"/>
    <w:bookmarkStart w:id="71"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71"/>
    <w:bookmarkStart w:id="72"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72"/>
    <w:bookmarkStart w:id="73"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73"/>
    <w:bookmarkStart w:id="74"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74"/>
    <w:bookmarkStart w:id="75" w:name="ref-nielsen2016tree"/>
    <w:p>
      <w:pPr>
        <w:pStyle w:val="Bibliography"/>
      </w:pPr>
      <w:r>
        <w:t xml:space="preserve">Nielsen, Didrik. 2016. “Tree Boosting with Xgboost-Why Does Xgboost Win" Every" Machine Learning Competition?” Master’s thesis, NTNU.</w:t>
      </w:r>
    </w:p>
    <w:bookmarkEnd w:id="75"/>
    <w:bookmarkStart w:id="76"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76"/>
    <w:bookmarkStart w:id="77"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77"/>
    <w:bookmarkStart w:id="78"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78"/>
    <w:bookmarkStart w:id="79"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79"/>
    <w:bookmarkStart w:id="80"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2018-04-15T09:31:53Z</dcterms:created>
  <dcterms:modified xsi:type="dcterms:W3CDTF">2018-04-15T09:31:53Z</dcterms:modified>
</cp:coreProperties>
</file>