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
      <w:r>
        <w:t xml:space="preserve">2.3. Combating Financial Fraud</w:t>
      </w:r>
      <w:bookmarkEnd w:id="26"/>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1"/>
      </w:pPr>
      <w:bookmarkStart w:id="55" w:name="further-improvements"/>
      <w:r>
        <w:t xml:space="preserve">6. Further Improvements</w:t>
      </w:r>
      <w:bookmarkEnd w:id="55"/>
    </w:p>
    <w:p>
      <w:pPr>
        <w:pStyle w:val="Heading1"/>
      </w:pPr>
      <w:bookmarkStart w:id="56" w:name="conclusion"/>
      <w:r>
        <w:t xml:space="preserve">7. Conclusion</w:t>
      </w:r>
      <w:bookmarkEnd w:id="56"/>
    </w:p>
    <w:p>
      <w:pPr>
        <w:pStyle w:val="Heading1"/>
      </w:pPr>
      <w:bookmarkStart w:id="57" w:name="references"/>
      <w:r>
        <w:t xml:space="preserve">8. References</w:t>
      </w:r>
      <w:bookmarkEnd w:id="57"/>
    </w:p>
    <w:bookmarkStart w:id="94" w:name="refs"/>
    <w:bookmarkStart w:id="59" w:name="ref-fraudanalyticsacl"/>
    <w:p>
      <w:pPr>
        <w:pStyle w:val="Bibliography"/>
      </w:pPr>
      <w:r>
        <w:t xml:space="preserve">ACL. 2014. “Fraud Detection Using Data Analytics in the Banking Industry.” 2014.</w:t>
      </w:r>
      <w:r>
        <w:t xml:space="preserve"> </w:t>
      </w:r>
      <w:hyperlink r:id="rId58">
        <w:r>
          <w:rPr>
            <w:rStyle w:val="Hyperlink"/>
          </w:rPr>
          <w:t xml:space="preserve">https://www.acl.com/pdfs/DP_Fraud_detection_BANKING.pdf</w:t>
        </w:r>
      </w:hyperlink>
      <w:r>
        <w:t xml:space="preserve">.</w:t>
      </w:r>
    </w:p>
    <w:bookmarkEnd w:id="59"/>
    <w:bookmarkStart w:id="60"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60"/>
    <w:bookmarkStart w:id="61" w:name="ref-batuwita2013class"/>
    <w:p>
      <w:pPr>
        <w:pStyle w:val="Bibliography"/>
      </w:pPr>
      <w:r>
        <w:t xml:space="preserve">Batuwita, Rukshan, and Vasile Palade. 2013. “Class Imbalance Learning Methods for Support Vector Machines.”</w:t>
      </w:r>
    </w:p>
    <w:bookmarkEnd w:id="61"/>
    <w:bookmarkStart w:id="62"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62"/>
    <w:bookmarkStart w:id="63"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63"/>
    <w:bookmarkStart w:id="64"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64"/>
    <w:bookmarkStart w:id="65"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65"/>
    <w:bookmarkStart w:id="66"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66"/>
    <w:bookmarkStart w:id="67"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67"/>
    <w:bookmarkStart w:id="68"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68"/>
    <w:bookmarkStart w:id="69"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69"/>
    <w:bookmarkStart w:id="70"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70"/>
    <w:bookmarkStart w:id="71"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71"/>
    <w:bookmarkStart w:id="72"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72"/>
    <w:bookmarkStart w:id="73"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73"/>
    <w:bookmarkStart w:id="74"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74"/>
    <w:bookmarkStart w:id="75"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75"/>
    <w:bookmarkStart w:id="76"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76"/>
    <w:bookmarkStart w:id="77"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77"/>
    <w:bookmarkStart w:id="78"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78"/>
    <w:bookmarkStart w:id="79"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79"/>
    <w:bookmarkStart w:id="80"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80"/>
    <w:bookmarkStart w:id="81"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81"/>
    <w:bookmarkStart w:id="82"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82"/>
    <w:bookmarkStart w:id="83"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83"/>
    <w:bookmarkStart w:id="84" w:name="ref-nielsen2016tree"/>
    <w:p>
      <w:pPr>
        <w:pStyle w:val="Bibliography"/>
      </w:pPr>
      <w:r>
        <w:t xml:space="preserve">Nielsen, Didrik. 2016. “Tree Boosting with Xgboost-Why Does Xgboost Win" Every" Machine Learning Competition?” Master’s thesis, NTNU.</w:t>
      </w:r>
    </w:p>
    <w:bookmarkEnd w:id="84"/>
    <w:bookmarkStart w:id="86" w:name="ref-nilson2016nilson"/>
    <w:p>
      <w:pPr>
        <w:pStyle w:val="Bibliography"/>
      </w:pPr>
      <w:r>
        <w:t xml:space="preserve">Nilson, Spencer. 2016. “The Nilson Report.”</w:t>
      </w:r>
      <w:r>
        <w:t xml:space="preserve"> </w:t>
      </w:r>
      <w:hyperlink r:id="rId85">
        <w:r>
          <w:rPr>
            <w:rStyle w:val="Hyperlink"/>
          </w:rPr>
          <w:t xml:space="preserve">https://nilsonreport.com/publication_newsletter_archive_issue.php?issue=1096</w:t>
        </w:r>
      </w:hyperlink>
      <w:r>
        <w:t xml:space="preserve">.</w:t>
      </w:r>
    </w:p>
    <w:bookmarkEnd w:id="86"/>
    <w:bookmarkStart w:id="88" w:name="ref-capitaloneguide"/>
    <w:p>
      <w:pPr>
        <w:pStyle w:val="Bibliography"/>
      </w:pPr>
      <w:r>
        <w:t xml:space="preserve">One, Capital. 2010. “Identity Theft Guide.” 2010.</w:t>
      </w:r>
      <w:r>
        <w:t xml:space="preserve"> </w:t>
      </w:r>
      <w:hyperlink r:id="rId87">
        <w:r>
          <w:rPr>
            <w:rStyle w:val="Hyperlink"/>
          </w:rPr>
          <w:t xml:space="preserve">https://www.capitalone.ca/media/doc/canada/identity-theft-guide.pdf</w:t>
        </w:r>
      </w:hyperlink>
      <w:r>
        <w:t xml:space="preserve">.</w:t>
      </w:r>
    </w:p>
    <w:bookmarkEnd w:id="88"/>
    <w:bookmarkStart w:id="89"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89"/>
    <w:bookmarkStart w:id="90"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90"/>
    <w:bookmarkStart w:id="91"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91"/>
    <w:bookmarkStart w:id="92"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92"/>
    <w:bookmarkStart w:id="93"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85"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87"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85"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87"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2018-04-17T16:49:30Z</dcterms:created>
  <dcterms:modified xsi:type="dcterms:W3CDTF">2018-04-17T16:49:30Z</dcterms:modified>
</cp:coreProperties>
</file>