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F4E79"/>
          <w:sz w:val="44"/>
        </w:rPr>
        <w:t>Yordy Cobas</w:t>
      </w:r>
    </w:p>
    <w:p>
      <w:pPr>
        <w:spacing w:after="20"/>
      </w:pPr>
      <w:r>
        <w:t>Warranty Manager  |  Business Systems, Finance Operations &amp; Process Improvement</w:t>
      </w:r>
    </w:p>
    <w:p>
      <w:pPr>
        <w:spacing w:after="80"/>
        <w:pBdr>
          <w:bottom w:val="single" w:sz="6" w:space="2" w:color="BFBFBF"/>
        </w:pBdr>
      </w:pPr>
      <w:r>
        <w:rPr>
          <w:rFonts w:ascii="Calibri" w:hAnsi="Calibri"/>
          <w:color w:val="595959"/>
          <w:sz w:val="19"/>
        </w:rPr>
        <w:t>Miami, FL  ·  (786) 499-5443  ·  yordycobas22@gmail.com  ·  linkedin.com/in/yordycobas/</w:t>
      </w:r>
    </w:p>
    <w:p>
      <w:pPr>
        <w:keepNext/>
        <w:spacing w:before="80" w:after="30"/>
        <w:pBdr>
          <w:bottom w:val="single" w:sz="8" w:space="1" w:color="1F4E79"/>
        </w:pBdr>
      </w:pPr>
      <w:r>
        <w:rPr>
          <w:rFonts w:ascii="Calibri" w:hAnsi="Calibri"/>
          <w:b/>
          <w:color w:val="1F4E79"/>
          <w:sz w:val="22"/>
        </w:rPr>
        <w:t>PROFESSIONAL SUMMARY</w:t>
      </w:r>
    </w:p>
    <w:p>
      <w:pPr>
        <w:spacing w:after="20"/>
      </w:pPr>
      <w:r>
        <w:t>Operations leader who performs business systems analysis under an operations title: gather requirements from 25+ dealers' leadership, design system and process fixes, roll them out, train users, and measure results. Deep in finance operations — 1,000+ credit notes and 800+ invoices processed in Microsoft Dynamics 365, the accounting team's go-to for settling transactions and correcting errors. Built the systems the department runs on: an AI-assisted claims workflow with automated financial calculations and full audit trails, a dealer self-service portal with automated approval-to-payment finance handoff, and API integration workflows across ticketing and warranty platforms. Systematic claim validation disallowed $555K+ in unsupported costs (2026); every decision documented and auditable.</w:t>
      </w:r>
    </w:p>
    <w:p>
      <w:pPr>
        <w:keepNext/>
        <w:spacing w:before="80" w:after="30"/>
        <w:pBdr>
          <w:bottom w:val="single" w:sz="8" w:space="1" w:color="1F4E79"/>
        </w:pBdr>
      </w:pPr>
      <w:r>
        <w:rPr>
          <w:rFonts w:ascii="Calibri" w:hAnsi="Calibri"/>
          <w:b/>
          <w:color w:val="1F4E79"/>
          <w:sz w:val="22"/>
        </w:rPr>
        <w:t>PROFESSIONAL EXPERIENCE</w:t>
      </w:r>
    </w:p>
    <w:p>
      <w:pPr>
        <w:tabs>
          <w:tab w:pos="10224" w:val="right"/>
        </w:tabs>
        <w:spacing w:after="0"/>
      </w:pPr>
      <w:r>
        <w:rPr>
          <w:b/>
          <w:sz w:val="20"/>
        </w:rPr>
        <w:t>Terberg Taylor Americas</w:t>
      </w:r>
      <w:r>
        <w:rPr>
          <w:sz w:val="19"/>
        </w:rPr>
        <w:t xml:space="preserve"> — Miami, FL</w:t>
        <w:tab/>
        <w:t>April 2023 – Present</w:t>
      </w:r>
    </w:p>
    <w:p>
      <w:pPr>
        <w:spacing w:after="40"/>
      </w:pPr>
      <w:r>
        <w:rPr>
          <w:b/>
          <w:sz w:val="19"/>
        </w:rPr>
        <w:t>Warranty Manager</w:t>
      </w:r>
      <w:r>
        <w:rPr>
          <w:color w:val="595959"/>
          <w:sz w:val="19"/>
        </w:rPr>
        <w:t xml:space="preserve">  (promoted from Product Support Analyst)</w:t>
      </w:r>
    </w:p>
    <w:p>
      <w:pPr>
        <w:pStyle w:val="ListBullet"/>
      </w:pPr>
      <w:r>
        <w:rPr>
          <w:b/>
        </w:rPr>
        <w:t xml:space="preserve">Department transformation — </w:t>
      </w:r>
      <w:r>
        <w:t>Rebuilt the warranty operation from manual email/spreadsheet processing into an AI-assisted, semi-automated workflow (Warranty Hub app, AI warranty agent, dealer self-service portal) — run as a one-person department carrying a workload the company plans to staff with two hires.</w:t>
      </w:r>
    </w:p>
    <w:p>
      <w:pPr>
        <w:pStyle w:val="ListBullet"/>
      </w:pPr>
      <w:r>
        <w:rPr>
          <w:b/>
        </w:rPr>
        <w:t xml:space="preserve">Headcount business case — </w:t>
      </w:r>
      <w:r>
        <w:t>Authored the data-backed justification for departmental expansion — 617 open claims, $863K+ warranty exposure, ~140 new claims/month, single-point-of-failure risk analysis — resulting in approved additional headcount.</w:t>
      </w:r>
    </w:p>
    <w:p>
      <w:pPr>
        <w:pStyle w:val="ListBullet"/>
      </w:pPr>
      <w:r>
        <w:rPr>
          <w:b/>
        </w:rPr>
        <w:t xml:space="preserve">Credit-note payment redesign — </w:t>
      </w:r>
      <w:r>
        <w:t>Eliminated the dealer-invoice waiting game — claims sat open for weeks up to a month awaiting dealer invoices — by issuing credit notes directly at claim approval, closing claims within an hour of the approval notice.</w:t>
      </w:r>
    </w:p>
    <w:p>
      <w:pPr>
        <w:pStyle w:val="ListBullet"/>
      </w:pPr>
      <w:r>
        <w:rPr>
          <w:b/>
        </w:rPr>
        <w:t xml:space="preserve">Finance operations — </w:t>
      </w:r>
      <w:r>
        <w:t>Processed 1,000+ credit notes and 800+ invoices; the go-to for accounting issues in D365 — settling transactions and making corrections.</w:t>
      </w:r>
    </w:p>
    <w:p>
      <w:pPr>
        <w:pStyle w:val="ListBullet"/>
        <w:spacing w:after="10" w:line="240" w:lineRule="auto"/>
      </w:pPr>
      <w:r>
        <w:rPr>
          <w:b/>
        </w:rPr>
        <w:t xml:space="preserve">Full-lifecycle ownership — </w:t>
      </w:r>
      <w:r>
        <w:t>Run the warranty operation solo: claims validation, approvals and denials, RMA returns, service campaigns, and dealer enablement — 700+ warranty tickets a year across 25+ dealers in the Americas (incl. Canada) and 3 Terberg factories (Netherlands, Malaysia, USA). Quantified a 567-claim backlog (~130 new claims/month), modeled productivity scenarios (20–40 claims per workday), and presented a $12K–$24K overtime recovery plan with month-by-month timelines to leadership.</w:t>
      </w:r>
    </w:p>
    <w:p>
      <w:pPr>
        <w:pStyle w:val="ListBullet"/>
        <w:spacing w:after="10" w:line="240" w:lineRule="auto"/>
      </w:pPr>
      <w:r>
        <w:rPr>
          <w:b/>
        </w:rPr>
        <w:t xml:space="preserve">Cost validation &amp; savings — </w:t>
      </w:r>
      <w:r>
        <w:t>Reviewed over $2.1M in submitted claims across three factory entities (U.S., Netherlands, Malaysia); disallowed over $555K (just in 2026) in unsupported costs, protecting margin while honoring legitimate claims.</w:t>
      </w:r>
    </w:p>
    <w:p>
      <w:pPr>
        <w:pStyle w:val="ListBullet"/>
        <w:spacing w:after="10" w:line="240" w:lineRule="auto"/>
      </w:pPr>
      <w:r>
        <w:rPr>
          <w:b/>
          <w:sz w:val="19"/>
        </w:rPr>
        <w:t xml:space="preserve">Warranty Hub build — </w:t>
      </w:r>
      <w:r>
        <w:rPr>
          <w:sz w:val="19"/>
        </w:rPr>
        <w:t xml:space="preserve"> Designed and built the TTA Warranty Hub in ~1 week using Microsoft Copilot's AI app builder — automated financial calculations, claim management, full audit trail of every change, user management, dealer rate management, and dashboards tracking KPIs, workload, and finance performance — replacing fragmented spreadsheets and manual processes.</w:t>
      </w:r>
    </w:p>
    <w:p>
      <w:pPr>
        <w:pStyle w:val="ListBullet"/>
      </w:pPr>
      <w:r>
        <w:rPr>
          <w:b/>
        </w:rPr>
        <w:t xml:space="preserve">AI warranty agent — </w:t>
      </w:r>
      <w:r>
        <w:t>Built a dedicated Copilot AI agent trained on TTA's warranty terms, conditions, and policy — an on-demand warranty expert that breaks down claim descriptions and complex coverage questions with the right answer ~90% of the time, cutting complex-claim review time by ~80% and deflecting routine internal questions that used to take 2–5 minutes each. Piloted with Parts, Support, and Sales teams for instant coverage answers (e.g., travel-to-site eligibility).</w:t>
      </w:r>
    </w:p>
    <w:p>
      <w:pPr>
        <w:pStyle w:val="ListBullet"/>
        <w:spacing w:after="10" w:line="240" w:lineRule="auto"/>
      </w:pPr>
      <w:r>
        <w:rPr>
          <w:b/>
        </w:rPr>
        <w:t xml:space="preserve">Warranty portal rollout &amp; automation — </w:t>
      </w:r>
      <w:r>
        <w:t>Led post-launch rollout of the new warranty portal across the N/S Americas dealer network — hands-on outreach and 1-on-1 dealer support — delivering an estimated 15–20% efficiency gain through workflow automation: copy-claim functionality, auto-populated claim fields, and automated approval-to-payment finance handoff. Designed the Jira↔Halifax API integration workflow (standard-claim and dispute/goodwill flows, 8-step system interaction matrix) and built a 696-claim dealer approval-rate matrix defining auto-approval thresholds for the phased rollout. TTA’s key contributor to the Halifax platform’s global redesign led by Terberg Benschop.</w:t>
      </w:r>
    </w:p>
    <w:p>
      <w:pPr>
        <w:pStyle w:val="ListBullet"/>
        <w:spacing w:after="10" w:line="240" w:lineRule="auto"/>
      </w:pPr>
      <w:r>
        <w:rPr>
          <w:b/>
          <w:sz w:val="19"/>
        </w:rPr>
        <w:t xml:space="preserve">Process redesign — pre-authorization SLA — </w:t>
      </w:r>
      <w:r>
        <w:rPr>
          <w:sz w:val="19"/>
        </w:rPr>
        <w:t>Diagnosed the email-based factory pre-authorization bottleneck and proposed delegated approval authority for recurring claims (≤$1,500), a 24-hour factory response SLA, and tiered 24/48/72-hour escalation — cutting routine-claim resolution from over a week to as little as two hours, documented across five cases.</w:t>
      </w:r>
    </w:p>
    <w:p>
      <w:pPr>
        <w:pStyle w:val="ListBullet"/>
        <w:spacing w:after="10" w:line="240" w:lineRule="auto"/>
      </w:pPr>
      <w:r>
        <w:rPr>
          <w:b/>
        </w:rPr>
        <w:t xml:space="preserve">DOT &amp; EPA compliance project — </w:t>
      </w:r>
      <w:r>
        <w:t>Initiated and led a 14-month DOT-vehicle / Cummins EPA compliance project (February 2025–April 2026) coordinating TTA teams, Terberg Benschop homologation and engineering, the dealer network, and Cummins — vehicle identification, VIN/serial validation, regulatory clarification, EPA Clean Idle sticker procurement and field application, and final Cummins registration documentation. Achieved full compliance, closing the issue with Engineering and mitigating DOT/EPA risk; assigned ownership to a junior colleague and mentored him through delivery as a development assignment.</w:t>
      </w:r>
    </w:p>
    <w:p>
      <w:pPr>
        <w:pStyle w:val="ListBullet"/>
        <w:spacing w:after="10" w:line="240" w:lineRule="auto"/>
      </w:pPr>
      <w:r>
        <w:rPr>
          <w:b/>
        </w:rPr>
        <w:t xml:space="preserve">Safety-campaign warranty policy — </w:t>
      </w:r>
      <w:r>
        <w:t>Partnered with Legal Counsel and the Netherlands factory to establish warranty-handling policy for safety-related campaigns in the USA (DOT and non-DOT): safety claims remain supported regardless of warranty status or campaign end dates, set as the standing rule so corrective action is never time-barred. Drove CAM0175 field campaign to 33/33 completion, reporting progress to board members weekly given its criticality.</w:t>
      </w:r>
    </w:p>
    <w:p>
      <w:pPr>
        <w:pStyle w:val="ListBullet"/>
      </w:pPr>
      <w:r>
        <w:rPr>
          <w:b/>
        </w:rPr>
        <w:t xml:space="preserve">Emergency safety campaign — </w:t>
      </w:r>
      <w:r>
        <w:t>Stood up a full safety campaign in under 24 hours for a critical factory defect (improperly torqued chassis bolts — handrails, chassis supports, stairs detaching in the field): campaign design, dealer work instructions, affected-unit identification — achieving 100% completion across the dealer network.</w:t>
      </w:r>
    </w:p>
    <w:p>
      <w:pPr>
        <w:pStyle w:val="ListBullet"/>
        <w:spacing w:after="10" w:line="240" w:lineRule="auto"/>
      </w:pPr>
      <w:r>
        <w:rPr>
          <w:b/>
          <w:sz w:val="19"/>
        </w:rPr>
        <w:t xml:space="preserve">Rejection-rate analytics — </w:t>
      </w:r>
      <w:r>
        <w:rPr>
          <w:sz w:val="19"/>
        </w:rPr>
        <w:t>Ran rejection-rate analytics across the dealer network (dealer rates ranging 31–73%), isolating the drivers — excessive labor time vs. standards, inflated parts pricing, inconsistent labor rates, missing documentation — benchmarking best practice at 97% approval and driving SRT and documentation standardization, including an Issue→Diagnosis→Root Cause→Repair claim-narrative framework taught to dealers.</w:t>
      </w:r>
    </w:p>
    <w:p>
      <w:pPr>
        <w:pStyle w:val="ListBullet"/>
        <w:spacing w:after="10" w:line="240" w:lineRule="auto"/>
      </w:pPr>
      <w:r>
        <w:rPr>
          <w:b/>
          <w:sz w:val="19"/>
        </w:rPr>
        <w:t xml:space="preserve">Cross-border process standardization — </w:t>
      </w:r>
      <w:r>
        <w:rPr>
          <w:sz w:val="19"/>
        </w:rPr>
        <w:t>Standardized the end-to-end international RMA return process between Terberg Benschop (Netherlands), TTA, dealers, and customs — ownership steps, response timelines, documentation package, and workflow map — replacing one-off coordination with a repeatable, scalable process.</w:t>
      </w:r>
    </w:p>
    <w:p>
      <w:pPr>
        <w:pStyle w:val="ListBullet"/>
        <w:spacing w:after="10" w:line="240" w:lineRule="auto"/>
      </w:pPr>
      <w:r>
        <w:rPr>
          <w:b/>
          <w:sz w:val="19"/>
        </w:rPr>
        <w:t xml:space="preserve">Failure analytics — </w:t>
      </w:r>
      <w:r>
        <w:rPr>
          <w:sz w:val="19"/>
        </w:rPr>
        <w:t>Built claim-failure analytics across 709 claims by model and failure type; identified hydraulic system failures as the costliest per-claim defect category and fed the findings to factory quality teams in Malaysia and the Netherlands to drive corrective action.</w:t>
      </w:r>
    </w:p>
    <w:p>
      <w:pPr>
        <w:pStyle w:val="ListBullet"/>
        <w:spacing w:after="10" w:line="240" w:lineRule="auto"/>
      </w:pPr>
      <w:r>
        <w:rPr>
          <w:b/>
        </w:rPr>
        <w:t xml:space="preserve">Board-recognized initiatives — </w:t>
      </w:r>
      <w:r>
        <w:t>Recognized in the 2025 board review: executed a same-day TTAM campaign and unified the rental &amp; leasing pre-approval process across the product support and warranty systems. Run factory service campaigns end-to-end as factory–dealer liaison (e.g., TTAM-CAM0002 Front Alignment Check &amp; Adjustment), negotiating factory deadline extensions and driving dealer compliance. Presented to the board of directors twice at annual board meetings.</w:t>
      </w:r>
    </w:p>
    <w:p>
      <w:pPr>
        <w:pStyle w:val="ListBullet"/>
        <w:spacing w:after="10" w:line="240" w:lineRule="auto"/>
      </w:pPr>
      <w:r>
        <w:rPr>
          <w:b/>
          <w:sz w:val="19"/>
        </w:rPr>
        <w:t xml:space="preserve">Dealer enablement — </w:t>
      </w:r>
      <w:r>
        <w:rPr>
          <w:sz w:val="19"/>
        </w:rPr>
        <w:t>Onboard and train dealers across the Americas (e.g., new-dealer start-up for Mi-Jack) on POL Parts OnLine, Jira ticketing, and Terberg Connect telematics — step-by-step guides and demo-video training that make dealer teams self-sufficient and shorten support turnaround.; presenting warranty training to dealer leadership rooms — GMs, VPs, regional/warranty/service managers</w:t>
      </w:r>
    </w:p>
    <w:p>
      <w:pPr/>
      <w:r>
        <w:t>TTEC — Remote</w:t>
        <w:tab/>
        <w:t>August 2022 – March 2023</w:t>
      </w:r>
    </w:p>
    <w:p>
      <w:pPr/>
      <w:r>
        <w:t>BofA Fraud Analyst (Contract) · Health Insurance Agent (Contract)</w:t>
      </w:r>
    </w:p>
    <w:p>
      <w:pPr>
        <w:pStyle w:val="ListBullet"/>
      </w:pPr>
      <w:r>
        <w:rPr>
          <w:b/>
        </w:rPr>
        <w:t xml:space="preserve">Fraud analysis — </w:t>
      </w:r>
      <w:r>
        <w:t>Performed judgmental reviews of high-risk BofA transactions: approving legitimate activity, restricting compromised accounts, and guiding clients through fraud and security events.</w:t>
      </w:r>
    </w:p>
    <w:p>
      <w:pPr/>
      <w:r>
        <w:rPr>
          <w:b/>
        </w:rPr>
        <w:t>Headquarter Toyota</w:t>
      </w:r>
      <w:r>
        <w:rPr>
          <w:b w:val="0"/>
        </w:rPr>
        <w:t xml:space="preserve"> — Hialeah, FL</w:t>
        <w:tab/>
        <w:t>July 2018 – May 2019</w:t>
      </w:r>
    </w:p>
    <w:p>
      <w:pPr/>
      <w:r>
        <w:rPr>
          <w:b/>
        </w:rPr>
        <w:t>Service Advisor / Assistant Manager</w:t>
      </w:r>
    </w:p>
    <w:p>
      <w:pPr>
        <w:pStyle w:val="ListBullet"/>
      </w:pPr>
      <w:r>
        <w:rPr>
          <w:b/>
        </w:rPr>
        <w:t xml:space="preserve">Warranty &amp; service experience — </w:t>
      </w:r>
      <w:r>
        <w:t>Advised customers on warranty protections, cost-saving options, and trade-in advantages; collaborated with the insurance department on claims and settlements; managed service-department follow-ups and vehicle status updates.</w:t>
      </w:r>
    </w:p>
    <w:p>
      <w:pPr>
        <w:keepNext/>
        <w:spacing w:before="80" w:after="30"/>
        <w:pBdr>
          <w:bottom w:val="single" w:sz="8" w:space="1" w:color="1F4E79"/>
        </w:pBdr>
      </w:pPr>
      <w:r>
        <w:rPr>
          <w:rFonts w:ascii="Calibri" w:hAnsi="Calibri"/>
          <w:b/>
          <w:color w:val="1F4E79"/>
          <w:sz w:val="22"/>
        </w:rPr>
        <w:t>EDUCATION &amp; CERTIFICATIONS</w:t>
      </w:r>
    </w:p>
    <w:p>
      <w:pPr>
        <w:spacing w:after="10"/>
      </w:pPr>
      <w:r>
        <w:t>Education:  Universal Technical Institute (UTI), Orlando, FL — Automotive Technology &amp; BMW FastTrack Training Program (January 2016 – April 2017)  ·  American Senior High School, Hialeah, FL — High School Diploma (Honors, GPA 3.6; May 2015)</w:t>
      </w:r>
    </w:p>
    <w:p>
      <w:pPr>
        <w:spacing w:after="10"/>
      </w:pPr>
      <w:r>
        <w:rPr>
          <w:b/>
          <w:color w:val="1F4E79"/>
          <w:sz w:val="19"/>
        </w:rPr>
        <w:t xml:space="preserve">Certifications:  </w:t>
      </w:r>
      <w:r>
        <w:rPr>
          <w:sz w:val="19"/>
        </w:rPr>
        <w:t>Codecademy — Data Scientist Analytics Specialist Certificate (January 2023)  ·  Google — IT Support Professional Certificate (December 2022)</w:t>
      </w:r>
    </w:p>
    <w:p>
      <w:pPr>
        <w:keepNext/>
        <w:spacing w:before="80" w:after="30"/>
        <w:pBdr>
          <w:bottom w:val="single" w:sz="8" w:space="1" w:color="1F4E79"/>
        </w:pBdr>
      </w:pPr>
      <w:r>
        <w:rPr>
          <w:rFonts w:ascii="Calibri" w:hAnsi="Calibri"/>
          <w:b/>
          <w:color w:val="1F4E79"/>
          <w:sz w:val="22"/>
        </w:rPr>
        <w:t>CORE COMPETENCIES &amp; SYSTEMS</w:t>
      </w:r>
    </w:p>
    <w:p>
      <w:pPr>
        <w:spacing w:after="10"/>
      </w:pPr>
      <w:r>
        <w:t>Competencies:  Requirements Gathering &amp; UAT · Systems Implementation &amp; Rollout · Stakeholder Management · Change Management · Audit Controls &amp; Documentation · Warranty Process Redesign · SOP &amp; Workflow Design · SLA &amp; Escalation Frameworks · Claim Validation &amp; Cost Avoidance · RMA / Returns Logistics · Field Campaign Management · Dealer Enablement &amp; Training · Cross-Border Factory Coordination · Warranty Cost Analytics  ·  Applied AI: ChatGPT, Claude, Microsoft Copilot · Prompt Engineering · AI Workflow Automation</w:t>
      </w:r>
    </w:p>
    <w:p>
      <w:pPr>
        <w:spacing w:after="10"/>
      </w:pPr>
      <w:r>
        <w:t>Systems:  Microsoft Dynamics 365 · Jira · Microsoft 365 (Excel, Word, PowerPoint, Outlook, Teams) · Microsoft Copilot · Halifax (warranty portal) · POL Parts OnLine · Terberg Connect    |    Languages: English · Spanish</w:t>
      </w:r>
    </w:p>
    <w:sectPr w:rsidR="00FC693F" w:rsidRPr="0006063C" w:rsidSect="00034616">
      <w:pgSz w:w="12240" w:h="15840"/>
      <w:pgMar w:top="576" w:right="1008" w:bottom="36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color w:val="2626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Yordy Cobas — Resume</dc:title>
  <dc:subject>Resume — Warranty Manager, Process Improvement, Operations</dc:subject>
  <dc:creator>Yordy Cobas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