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5651D"/>
          <w:sz w:val="20"/>
          <w:szCs w:val="20"/>
        </w:rPr>
        <w:t xml:space="preserve">IGNIS LEADERSHIP</w:t>
      </w:r>
    </w:p>
    <w:p>
      <w:pPr>
        <w:spacing w:after="60"/>
      </w:pPr>
      <w:r>
        <w:rPr>
          <w:b/>
          <w:bCs/>
          <w:color w:val="1F2A44"/>
          <w:sz w:val="44"/>
          <w:szCs w:val="44"/>
        </w:rPr>
        <w:t xml:space="preserve">Technical SEO Audit &amp; Fixes</w:t>
      </w:r>
    </w:p>
    <w:p>
      <w:pPr>
        <w:spacing w:after="300"/>
      </w:pPr>
      <w:r>
        <w:rPr>
          <w:i/>
          <w:iCs/>
          <w:color w:val="5B5B5B"/>
          <w:sz w:val="22"/>
          <w:szCs w:val="22"/>
        </w:rPr>
        <w:t xml:space="preserve">Findings from the Semrush Site Audit of ignisleadership.com, and the fixes applied directly to the site.</w:t>
      </w:r>
    </w:p>
    <w:p>
      <w:pPr>
        <w:spacing w:after="80"/>
      </w:pPr>
      <w:r>
        <w:rPr>
          <w:b/>
          <w:bCs/>
        </w:rPr>
        <w:t xml:space="preserve">Prepared for: </w:t>
      </w:r>
      <w:r>
        <w:t xml:space="preserve">Yorik Tisseau</w:t>
      </w:r>
    </w:p>
    <w:p>
      <w:pPr>
        <w:spacing w:after="80"/>
      </w:pPr>
      <w:r>
        <w:rPr>
          <w:b/>
          <w:bCs/>
        </w:rPr>
        <w:t xml:space="preserve">Date: </w:t>
      </w:r>
      <w:r>
        <w:t xml:space="preserve">4 September 2026</w:t>
      </w:r>
    </w:p>
    <w:p>
      <w:pPr>
        <w:spacing w:after="80"/>
      </w:pPr>
      <w:r>
        <w:rPr>
          <w:b/>
          <w:bCs/>
        </w:rPr>
        <w:t xml:space="preserve">Source: </w:t>
      </w:r>
      <w:r>
        <w:t xml:space="preserve">Semrush Site Audit, run 4 September 2026 (20 of 100 pages crawled)</w:t>
      </w:r>
    </w:p>
    <w:p>
      <w:pPr>
        <w:spacing w:after="80"/>
      </w:pPr>
      <w:r>
        <w:rPr>
          <w:b/>
          <w:bCs/>
        </w:rPr>
        <w:t xml:space="preserve">Scope agreed: </w:t>
      </w:r>
      <w:r>
        <w:t xml:space="preserve">Fix redirect links, improve internal linking, review noindex on legal pages</w:t>
      </w:r>
    </w:p>
    <w:p>
      <w:pPr>
        <w:pStyle w:val="Heading1"/>
        <w:spacing w:after="160" w:before="320"/>
      </w:pPr>
      <w:r>
        <w:t xml:space="preserve">Executive summary</w:t>
      </w:r>
    </w:p>
    <w:p>
      <w:pPr>
        <w:spacing w:after="160" w:line="300"/>
      </w:pPr>
      <w:r>
        <w:t xml:space="preserve">Your Semrush weekly email flagged three issues on ignisleadership.com: 28 URLs with a permanent redirect, 2 pages blocked from crawling, and 4 pages with only one incoming internal link. All three traced back to the same root cause: internal links across the site were written with .html endings (e.g. insights.html), while the site's hosting configuration permanently redirects those endings to clean URLs (e.g. /insights). Every internal click and every crawl of an internal link was triggering an avoidable redirect hop, and Semrush's link count for the destination pages did not credit links that arrived via a redirect.</w:t>
      </w:r>
    </w:p>
    <w:p>
      <w:pPr>
        <w:spacing w:after="160" w:line="300"/>
      </w:pPr>
      <w:r>
        <w:t xml:space="preserve">I rewrote all 118 internal links across the site's 8 HTML files to point directly at the clean URLs, which resolves the redirect notice and, as a side effect, restores the internal link count to the four pages that were flagged as under-linked. I also added one further link to the archive page that was missing from the homepage. The two pages blocked from crawling are Privacy Policy and Terms of Use, which already carry a deliberate noindex tag; this is standard practice and needed no change.</w:t>
      </w:r>
    </w:p>
    <w:p>
      <w:pPr>
        <w:spacing w:after="160" w:line="300"/>
      </w:pPr>
      <w:r>
        <w:t xml:space="preserve">One further issue turned up during the review that Semrush had not flagged, most likely because it is not linked from anywhere on the site and so a crawler starting from your homepage would not reach it: a duplicate copy of the homepage is sitting live on the server. This is flagged in section 4 for your decision, no change has been made to it.</w:t>
      </w:r>
    </w:p>
    <w:p>
      <w:pPr>
        <w:pStyle w:val="Heading1"/>
        <w:spacing w:after="160" w:before="320"/>
      </w:pPr>
      <w:r>
        <w:t xml:space="preserve">Site health snapshot</w:t>
      </w:r>
    </w:p>
    <w:p>
      <w:pPr>
        <w:spacing w:after="160" w:line="300"/>
      </w:pPr>
      <w:r>
        <w:rPr>
          <w:i/>
          <w:iCs/>
          <w:color w:val="5B5B5B"/>
        </w:rPr>
        <w:t xml:space="preserve">As shown on the Semrush SEO dashboard, 4 September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2EFEA" w:val="clear"/>
            <w:tcMar>
              <w:top w:type="dxa" w:w="160"/>
              <w:left w:type="dxa" w:w="140"/>
              <w:bottom w:type="dxa" w:w="160"/>
              <w:right w:type="dxa" w:w="140"/>
            </w:tcMar>
          </w:tcPr>
          <w:p>
            <w:pPr>
              <w:jc w:val="center"/>
            </w:pPr>
            <w:r>
              <w:rPr>
                <w:b/>
                <w:bCs/>
                <w:color w:val="1F2A44"/>
                <w:sz w:val="28"/>
                <w:szCs w:val="28"/>
              </w:rPr>
              <w:t xml:space="preserve">93%</w:t>
            </w:r>
          </w:p>
          <w:p>
            <w:pPr>
              <w:spacing w:before="40"/>
              <w:jc w:val="center"/>
            </w:pPr>
            <w:r>
              <w:rPr>
                <w:color w:val="5B5B5B"/>
                <w:sz w:val="18"/>
                <w:szCs w:val="18"/>
              </w:rPr>
              <w:t xml:space="preserve">Site Health</w:t>
            </w:r>
          </w:p>
          <w:p>
            <w:pPr>
              <w:jc w:val="center"/>
            </w:pPr>
            <w:r>
              <w:rPr>
                <w:i/>
                <w:iCs/>
                <w:color w:val="5B5B5B"/>
                <w:sz w:val="16"/>
                <w:szCs w:val="16"/>
              </w:rPr>
              <w:t xml:space="preserve">no change</w:t>
            </w:r>
          </w:p>
        </w:tc>
        <w:tc>
          <w:tcPr>
            <w:tcW w:type="pct" w:w="25%"/>
            <w:shd w:fill="F2EFEA" w:val="clear"/>
            <w:tcMar>
              <w:top w:type="dxa" w:w="160"/>
              <w:left w:type="dxa" w:w="140"/>
              <w:bottom w:type="dxa" w:w="160"/>
              <w:right w:type="dxa" w:w="140"/>
            </w:tcMar>
          </w:tcPr>
          <w:p>
            <w:pPr>
              <w:jc w:val="center"/>
            </w:pPr>
            <w:r>
              <w:rPr>
                <w:b/>
                <w:bCs/>
                <w:color w:val="1F2A44"/>
                <w:sz w:val="28"/>
                <w:szCs w:val="28"/>
              </w:rPr>
              <w:t xml:space="preserve">20</w:t>
            </w:r>
          </w:p>
          <w:p>
            <w:pPr>
              <w:spacing w:before="40"/>
              <w:jc w:val="center"/>
            </w:pPr>
            <w:r>
              <w:rPr>
                <w:color w:val="5B5B5B"/>
                <w:sz w:val="18"/>
                <w:szCs w:val="18"/>
              </w:rPr>
              <w:t xml:space="preserve">Authority Score</w:t>
            </w:r>
          </w:p>
          <w:p/>
        </w:tc>
        <w:tc>
          <w:tcPr>
            <w:tcW w:type="pct" w:w="25%"/>
            <w:shd w:fill="F2EFEA" w:val="clear"/>
            <w:tcMar>
              <w:top w:type="dxa" w:w="160"/>
              <w:left w:type="dxa" w:w="140"/>
              <w:bottom w:type="dxa" w:w="160"/>
              <w:right w:type="dxa" w:w="140"/>
            </w:tcMar>
          </w:tcPr>
          <w:p>
            <w:pPr>
              <w:jc w:val="center"/>
            </w:pPr>
            <w:r>
              <w:rPr>
                <w:b/>
                <w:bCs/>
                <w:color w:val="1F2A44"/>
                <w:sz w:val="28"/>
                <w:szCs w:val="28"/>
              </w:rPr>
              <w:t xml:space="preserve">1</w:t>
            </w:r>
          </w:p>
          <w:p>
            <w:pPr>
              <w:spacing w:before="40"/>
              <w:jc w:val="center"/>
            </w:pPr>
            <w:r>
              <w:rPr>
                <w:color w:val="5B5B5B"/>
                <w:sz w:val="18"/>
                <w:szCs w:val="18"/>
              </w:rPr>
              <w:t xml:space="preserve">Errors</w:t>
            </w:r>
          </w:p>
          <w:p>
            <w:pPr>
              <w:jc w:val="center"/>
            </w:pPr>
            <w:r>
              <w:rPr>
                <w:i/>
                <w:iCs/>
                <w:color w:val="5B5B5B"/>
                <w:sz w:val="16"/>
                <w:szCs w:val="16"/>
              </w:rPr>
              <w:t xml:space="preserve">-1 vs last crawl</w:t>
            </w:r>
          </w:p>
        </w:tc>
        <w:tc>
          <w:tcPr>
            <w:tcW w:type="pct" w:w="25%"/>
            <w:shd w:fill="F2EFEA" w:val="clear"/>
            <w:tcMar>
              <w:top w:type="dxa" w:w="160"/>
              <w:left w:type="dxa" w:w="140"/>
              <w:bottom w:type="dxa" w:w="160"/>
              <w:right w:type="dxa" w:w="140"/>
            </w:tcMar>
          </w:tcPr>
          <w:p>
            <w:pPr>
              <w:jc w:val="center"/>
            </w:pPr>
            <w:r>
              <w:rPr>
                <w:b/>
                <w:bCs/>
                <w:color w:val="1F2A44"/>
                <w:sz w:val="28"/>
                <w:szCs w:val="28"/>
              </w:rPr>
              <w:t xml:space="preserve">13</w:t>
            </w:r>
          </w:p>
          <w:p>
            <w:pPr>
              <w:spacing w:before="40"/>
              <w:jc w:val="center"/>
            </w:pPr>
            <w:r>
              <w:rPr>
                <w:color w:val="5B5B5B"/>
                <w:sz w:val="18"/>
                <w:szCs w:val="18"/>
              </w:rPr>
              <w:t xml:space="preserve">Warnings</w:t>
            </w:r>
          </w:p>
          <w:p>
            <w:pPr>
              <w:jc w:val="center"/>
            </w:pPr>
            <w:r>
              <w:rPr>
                <w:i/>
                <w:iCs/>
                <w:color w:val="5B5B5B"/>
                <w:sz w:val="16"/>
                <w:szCs w:val="16"/>
              </w:rPr>
              <w:t xml:space="preserve">+9 vs last crawl</w:t>
            </w:r>
          </w:p>
        </w:tc>
      </w:tr>
      <w:tr>
        <w:tc>
          <w:tcPr>
            <w:tcW w:type="pct" w:w="25%"/>
            <w:shd w:fill="F2EFEA" w:val="clear"/>
            <w:tcMar>
              <w:top w:type="dxa" w:w="160"/>
              <w:left w:type="dxa" w:w="140"/>
              <w:bottom w:type="dxa" w:w="160"/>
              <w:right w:type="dxa" w:w="140"/>
            </w:tcMar>
          </w:tcPr>
          <w:p>
            <w:pPr>
              <w:jc w:val="center"/>
            </w:pPr>
            <w:r>
              <w:rPr>
                <w:b/>
                <w:bCs/>
                <w:color w:val="1F2A44"/>
                <w:sz w:val="28"/>
                <w:szCs w:val="28"/>
              </w:rPr>
              <w:t xml:space="preserve">0</w:t>
            </w:r>
          </w:p>
          <w:p>
            <w:pPr>
              <w:spacing w:before="40"/>
              <w:jc w:val="center"/>
            </w:pPr>
            <w:r>
              <w:rPr>
                <w:color w:val="5B5B5B"/>
                <w:sz w:val="18"/>
                <w:szCs w:val="18"/>
              </w:rPr>
              <w:t xml:space="preserve">Organic Traffic</w:t>
            </w:r>
          </w:p>
          <w:p>
            <w:pPr>
              <w:jc w:val="center"/>
            </w:pPr>
            <w:r>
              <w:rPr>
                <w:i/>
                <w:iCs/>
                <w:color w:val="5B5B5B"/>
                <w:sz w:val="16"/>
                <w:szCs w:val="16"/>
              </w:rPr>
              <w:t xml:space="preserve">site is pre-ranking</w:t>
            </w:r>
          </w:p>
        </w:tc>
        <w:tc>
          <w:tcPr>
            <w:tcW w:type="pct" w:w="25%"/>
            <w:shd w:fill="F2EFEA" w:val="clear"/>
            <w:tcMar>
              <w:top w:type="dxa" w:w="160"/>
              <w:left w:type="dxa" w:w="140"/>
              <w:bottom w:type="dxa" w:w="160"/>
              <w:right w:type="dxa" w:w="140"/>
            </w:tcMar>
          </w:tcPr>
          <w:p>
            <w:pPr>
              <w:jc w:val="center"/>
            </w:pPr>
            <w:r>
              <w:rPr>
                <w:b/>
                <w:bCs/>
                <w:color w:val="1F2A44"/>
                <w:sz w:val="28"/>
                <w:szCs w:val="28"/>
              </w:rPr>
              <w:t xml:space="preserve">0</w:t>
            </w:r>
          </w:p>
          <w:p>
            <w:pPr>
              <w:spacing w:before="40"/>
              <w:jc w:val="center"/>
            </w:pPr>
            <w:r>
              <w:rPr>
                <w:color w:val="5B5B5B"/>
                <w:sz w:val="18"/>
                <w:szCs w:val="18"/>
              </w:rPr>
              <w:t xml:space="preserve">Organic Keywords</w:t>
            </w:r>
          </w:p>
          <w:p>
            <w:pPr>
              <w:jc w:val="center"/>
            </w:pPr>
            <w:r>
              <w:rPr>
                <w:i/>
                <w:iCs/>
                <w:color w:val="5B5B5B"/>
                <w:sz w:val="16"/>
                <w:szCs w:val="16"/>
              </w:rPr>
              <w:t xml:space="preserve">site is pre-ranking</w:t>
            </w:r>
          </w:p>
        </w:tc>
        <w:tc>
          <w:tcPr>
            <w:tcW w:type="pct" w:w="25%"/>
            <w:shd w:fill="F2EFEA" w:val="clear"/>
            <w:tcMar>
              <w:top w:type="dxa" w:w="160"/>
              <w:left w:type="dxa" w:w="140"/>
              <w:bottom w:type="dxa" w:w="160"/>
              <w:right w:type="dxa" w:w="140"/>
            </w:tcMar>
          </w:tcPr>
          <w:p>
            <w:pPr>
              <w:jc w:val="center"/>
            </w:pPr>
            <w:r>
              <w:rPr>
                <w:b/>
                <w:bCs/>
                <w:color w:val="1F2A44"/>
                <w:sz w:val="28"/>
                <w:szCs w:val="28"/>
              </w:rPr>
              <w:t xml:space="preserve">114</w:t>
            </w:r>
          </w:p>
          <w:p>
            <w:pPr>
              <w:spacing w:before="40"/>
              <w:jc w:val="center"/>
            </w:pPr>
            <w:r>
              <w:rPr>
                <w:color w:val="5B5B5B"/>
                <w:sz w:val="18"/>
                <w:szCs w:val="18"/>
              </w:rPr>
              <w:t xml:space="preserve">Referring Domains</w:t>
            </w:r>
          </w:p>
          <w:p>
            <w:pPr>
              <w:jc w:val="center"/>
            </w:pPr>
            <w:r>
              <w:rPr>
                <w:i/>
                <w:iCs/>
                <w:color w:val="5B5B5B"/>
                <w:sz w:val="16"/>
                <w:szCs w:val="16"/>
              </w:rPr>
              <w:t xml:space="preserve">-3.39%</w:t>
            </w:r>
          </w:p>
        </w:tc>
        <w:tc>
          <w:tcPr>
            <w:tcW w:type="pct" w:w="25%"/>
            <w:shd w:fill="F2EFEA" w:val="clear"/>
            <w:tcMar>
              <w:top w:type="dxa" w:w="160"/>
              <w:left w:type="dxa" w:w="140"/>
              <w:bottom w:type="dxa" w:w="160"/>
              <w:right w:type="dxa" w:w="140"/>
            </w:tcMar>
          </w:tcPr>
          <w:p>
            <w:pPr>
              <w:jc w:val="center"/>
            </w:pPr>
            <w:r>
              <w:rPr>
                <w:b/>
                <w:bCs/>
                <w:color w:val="1F2A44"/>
                <w:sz w:val="28"/>
                <w:szCs w:val="28"/>
              </w:rPr>
              <w:t xml:space="preserve">↓ 198</w:t>
            </w:r>
          </w:p>
          <w:p>
            <w:pPr>
              <w:spacing w:before="40"/>
              <w:jc w:val="center"/>
            </w:pPr>
            <w:r>
              <w:rPr>
                <w:color w:val="5B5B5B"/>
                <w:sz w:val="18"/>
                <w:szCs w:val="18"/>
              </w:rPr>
              <w:t xml:space="preserve">Backlinks</w:t>
            </w:r>
          </w:p>
          <w:p>
            <w:pPr>
              <w:jc w:val="center"/>
            </w:pPr>
            <w:r>
              <w:rPr>
                <w:i/>
                <w:iCs/>
                <w:color w:val="5B5B5B"/>
                <w:sz w:val="16"/>
                <w:szCs w:val="16"/>
              </w:rPr>
              <w:t xml:space="preserve">trending down</w:t>
            </w:r>
          </w:p>
        </w:tc>
      </w:tr>
    </w:tbl>
    <w:p>
      <w:pPr>
        <w:spacing w:after="160"/>
      </w:pPr>
    </w:p>
    <w:p>
      <w:pPr>
        <w:spacing w:after="160" w:line="300"/>
      </w:pPr>
      <w:r>
        <w:t xml:space="preserve">Organic traffic and keyword counts at zero are expected for a site this young (the current pages were published within the last few weeks) rather than a sign of a problem. There simply hasn't been time to rank yet. The referring domain and backlink dip is worth keeping an eye on but is not addressed in this technical audit; a link-building review would be a separate piece of work.</w:t>
      </w:r>
    </w:p>
    <w:p>
      <w:pPr>
        <w:pStyle w:val="Heading1"/>
        <w:spacing w:after="160" w:before="320"/>
      </w:pPr>
      <w:r>
        <w:t xml:space="preserve">Issues found and fixes applied</w:t>
      </w:r>
    </w:p>
    <w:p>
      <w:pPr>
        <w:pStyle w:val="Heading2"/>
        <w:spacing w:after="160" w:before="320"/>
      </w:pPr>
      <w:r>
        <w:t xml:space="preserve">1. 28 URLs with a permanent redirect</w:t>
      </w:r>
    </w:p>
    <w:tbl>
      <w:tblPr>
        <w:tblW w:type="pct" w:w="100%"/>
        <w:tblBorders>
          <w:top w:val="single" w:color="D9D5CE" w:sz="2"/>
          <w:left w:val="single" w:color="D9D5CE" w:sz="2"/>
          <w:bottom w:val="single" w:color="D9D5CE" w:sz="2"/>
          <w:right w:val="single" w:color="D9D5CE" w:sz="2"/>
          <w:insideH w:val="single" w:color="D9D5CE" w:sz="2"/>
          <w:insideV w:val="single" w:color="D9D5CE" w:sz="2"/>
        </w:tblBorders>
      </w:tblPr>
      <w:tblGrid>
        <w:gridCol w:w="2500"/>
        <w:gridCol w:w="7500"/>
      </w:tblGrid>
      <w:tr>
        <w:trPr>
          <w:tblHeader/>
        </w:trPr>
        <w:tc>
          <w:tcPr>
            <w:tcW w:type="pct" w:w="25%"/>
            <w:shd w:fill="1F2A44" w:val="clear"/>
            <w:tcMar>
              <w:top w:type="dxa" w:w="100"/>
              <w:left w:type="dxa" w:w="120"/>
              <w:bottom w:type="dxa" w:w="100"/>
              <w:right w:type="dxa" w:w="120"/>
            </w:tcMar>
          </w:tcPr>
          <w:p>
            <w:r>
              <w:rPr>
                <w:b/>
                <w:bCs/>
                <w:color w:val="FFFFFF"/>
                <w:sz w:val="20"/>
                <w:szCs w:val="20"/>
              </w:rPr>
              <w:t xml:space="preserve">Field</w:t>
            </w:r>
          </w:p>
        </w:tc>
        <w:tc>
          <w:tcPr>
            <w:tcW w:type="pct" w:w="25%"/>
            <w:shd w:fill="1F2A44" w:val="clear"/>
            <w:tcMar>
              <w:top w:type="dxa" w:w="100"/>
              <w:left w:type="dxa" w:w="120"/>
              <w:bottom w:type="dxa" w:w="100"/>
              <w:right w:type="dxa" w:w="120"/>
            </w:tcMar>
          </w:tcPr>
          <w:p>
            <w:r>
              <w:rPr>
                <w:b/>
                <w:bCs/>
                <w:color w:val="FFFFFF"/>
                <w:sz w:val="20"/>
                <w:szCs w:val="20"/>
              </w:rPr>
              <w:t xml:space="preserve">Detail</w:t>
            </w:r>
          </w:p>
        </w:tc>
      </w:tr>
      <w:tr>
        <w:tc>
          <w:tcPr>
            <w:tcW w:type="pct" w:w="25%"/>
            <w:shd w:fill="FAFAF8" w:val="clear"/>
            <w:tcMar>
              <w:top w:type="dxa" w:w="100"/>
              <w:left w:type="dxa" w:w="120"/>
              <w:bottom w:type="dxa" w:w="100"/>
              <w:right w:type="dxa" w:w="120"/>
            </w:tcMar>
          </w:tcPr>
          <w:p>
            <w:r>
              <w:rPr>
                <w:b/>
                <w:bCs/>
                <w:sz w:val="20"/>
                <w:szCs w:val="20"/>
              </w:rPr>
              <w:t xml:space="preserve">Semrush category</w:t>
            </w:r>
          </w:p>
        </w:tc>
        <w:tc>
          <w:tcPr>
            <w:tcW w:type="pct" w:w="75%"/>
            <w:tcMar>
              <w:top w:type="dxa" w:w="100"/>
              <w:left w:type="dxa" w:w="120"/>
              <w:bottom w:type="dxa" w:w="100"/>
              <w:right w:type="dxa" w:w="120"/>
            </w:tcMar>
          </w:tcPr>
          <w:p>
            <w:r>
              <w:rPr>
                <w:sz w:val="20"/>
                <w:szCs w:val="20"/>
              </w:rPr>
              <w:t xml:space="preserve">HTTP Status, Crawlability, Notice</w:t>
            </w:r>
          </w:p>
        </w:tc>
      </w:tr>
      <w:tr>
        <w:tc>
          <w:tcPr>
            <w:tcW w:type="pct" w:w="25%"/>
            <w:shd w:fill="FAFAF8" w:val="clear"/>
            <w:tcMar>
              <w:top w:type="dxa" w:w="100"/>
              <w:left w:type="dxa" w:w="120"/>
              <w:bottom w:type="dxa" w:w="100"/>
              <w:right w:type="dxa" w:w="120"/>
            </w:tcMar>
          </w:tcPr>
          <w:p>
            <w:r>
              <w:rPr>
                <w:b/>
                <w:bCs/>
                <w:sz w:val="20"/>
                <w:szCs w:val="20"/>
              </w:rPr>
              <w:t xml:space="preserve">Root cause</w:t>
            </w:r>
          </w:p>
        </w:tc>
        <w:tc>
          <w:tcPr>
            <w:tcW w:type="pct" w:w="75%"/>
            <w:tcMar>
              <w:top w:type="dxa" w:w="100"/>
              <w:left w:type="dxa" w:w="120"/>
              <w:bottom w:type="dxa" w:w="100"/>
              <w:right w:type="dxa" w:w="120"/>
            </w:tcMar>
          </w:tcPr>
          <w:p>
            <w:r>
              <w:rPr>
                <w:sz w:val="20"/>
                <w:szCs w:val="20"/>
              </w:rPr>
              <w:t xml:space="preserve">Internal links throughout the site used .html endings (index.html, insights.html, privacy.html, terms.html, and both insight article URLs), while vercel.json permanently redirects .html URLs to their clean equivalents. Every internal link was therefore sending users and crawlers through an unnecessary 308 redirect before landing on the real page.</w:t>
            </w:r>
          </w:p>
        </w:tc>
      </w:tr>
      <w:tr>
        <w:tc>
          <w:tcPr>
            <w:tcW w:type="pct" w:w="25%"/>
            <w:shd w:fill="FAFAF8" w:val="clear"/>
            <w:tcMar>
              <w:top w:type="dxa" w:w="100"/>
              <w:left w:type="dxa" w:w="120"/>
              <w:bottom w:type="dxa" w:w="100"/>
              <w:right w:type="dxa" w:w="120"/>
            </w:tcMar>
          </w:tcPr>
          <w:p>
            <w:r>
              <w:rPr>
                <w:b/>
                <w:bCs/>
                <w:sz w:val="20"/>
                <w:szCs w:val="20"/>
              </w:rPr>
              <w:t xml:space="preserve">Fix applied</w:t>
            </w:r>
          </w:p>
        </w:tc>
        <w:tc>
          <w:tcPr>
            <w:tcW w:type="pct" w:w="75%"/>
            <w:tcMar>
              <w:top w:type="dxa" w:w="100"/>
              <w:left w:type="dxa" w:w="120"/>
              <w:bottom w:type="dxa" w:w="100"/>
              <w:right w:type="dxa" w:w="120"/>
            </w:tcMar>
          </w:tcPr>
          <w:p>
            <w:r>
              <w:rPr>
                <w:sz w:val="20"/>
                <w:szCs w:val="20"/>
              </w:rPr>
              <w:t xml:space="preserve">Rewrote every internal href in the site's navigation, footers, homepage, insights hub, archive, both article pages, and both legal pages to point directly at the clean URL. 118 links updated across 8 files. Nothing about the URLs themselves changed, only how the site links to them.</w:t>
            </w:r>
          </w:p>
        </w:tc>
      </w:tr>
      <w:tr>
        <w:tc>
          <w:tcPr>
            <w:tcW w:type="pct" w:w="25%"/>
            <w:shd w:fill="FAFAF8" w:val="clear"/>
            <w:tcMar>
              <w:top w:type="dxa" w:w="100"/>
              <w:left w:type="dxa" w:w="120"/>
              <w:bottom w:type="dxa" w:w="100"/>
              <w:right w:type="dxa" w:w="120"/>
            </w:tcMar>
          </w:tcPr>
          <w:p>
            <w:r>
              <w:rPr>
                <w:b/>
                <w:bCs/>
                <w:sz w:val="20"/>
                <w:szCs w:val="20"/>
              </w:rPr>
              <w:t xml:space="preserve">Why it matters</w:t>
            </w:r>
          </w:p>
        </w:tc>
        <w:tc>
          <w:tcPr>
            <w:tcW w:type="pct" w:w="75%"/>
            <w:tcMar>
              <w:top w:type="dxa" w:w="100"/>
              <w:left w:type="dxa" w:w="120"/>
              <w:bottom w:type="dxa" w:w="100"/>
              <w:right w:type="dxa" w:w="120"/>
            </w:tcMar>
          </w:tcPr>
          <w:p>
            <w:r>
              <w:rPr>
                <w:sz w:val="20"/>
                <w:szCs w:val="20"/>
              </w:rPr>
              <w:t xml:space="preserve">Redirect hops waste crawl budget and slow down navigation slightly. Removing self-inflicted redirects is one of the highest-value, lowest-risk technical SEO fixes available.</w:t>
            </w:r>
          </w:p>
        </w:tc>
      </w:tr>
      <w:tr>
        <w:tc>
          <w:tcPr>
            <w:tcW w:type="pct" w:w="25%"/>
            <w:shd w:fill="FAFAF8" w:val="clear"/>
            <w:tcMar>
              <w:top w:type="dxa" w:w="100"/>
              <w:left w:type="dxa" w:w="120"/>
              <w:bottom w:type="dxa" w:w="100"/>
              <w:right w:type="dxa" w:w="120"/>
            </w:tcMar>
          </w:tcPr>
          <w:p>
            <w:r>
              <w:rPr>
                <w:b/>
                <w:bCs/>
                <w:sz w:val="20"/>
                <w:szCs w:val="20"/>
              </w:rPr>
              <w:t xml:space="preserve">Status</w:t>
            </w:r>
          </w:p>
        </w:tc>
        <w:tc>
          <w:tcPr>
            <w:tcW w:type="pct" w:w="75%"/>
            <w:tcMar>
              <w:top w:type="dxa" w:w="100"/>
              <w:left w:type="dxa" w:w="120"/>
              <w:bottom w:type="dxa" w:w="100"/>
              <w:right w:type="dxa" w:w="120"/>
            </w:tcMar>
          </w:tcPr>
          <w:p>
            <w:r>
              <w:rPr>
                <w:sz w:val="20"/>
                <w:szCs w:val="20"/>
              </w:rPr>
              <w:t xml:space="preserve">Fixed. Old .html URLs still work correctly for anyone with an old bookmark or external link. The redirect rule in vercel.json is untouched, it's just no longer being triggered by the site's own links.</w:t>
            </w:r>
          </w:p>
        </w:tc>
      </w:tr>
    </w:tbl>
    <w:p>
      <w:pPr>
        <w:pStyle w:val="Heading2"/>
        <w:spacing w:after="160" w:before="320"/>
      </w:pPr>
      <w:r>
        <w:t xml:space="preserve">2. 2 pages blocked from crawling</w:t>
      </w:r>
    </w:p>
    <w:tbl>
      <w:tblPr>
        <w:tblW w:type="pct" w:w="100%"/>
        <w:tblBorders>
          <w:top w:val="single" w:color="D9D5CE" w:sz="2"/>
          <w:left w:val="single" w:color="D9D5CE" w:sz="2"/>
          <w:bottom w:val="single" w:color="D9D5CE" w:sz="2"/>
          <w:right w:val="single" w:color="D9D5CE" w:sz="2"/>
          <w:insideH w:val="single" w:color="D9D5CE" w:sz="2"/>
          <w:insideV w:val="single" w:color="D9D5CE" w:sz="2"/>
        </w:tblBorders>
      </w:tblPr>
      <w:tblGrid>
        <w:gridCol w:w="2500"/>
        <w:gridCol w:w="7500"/>
      </w:tblGrid>
      <w:tr>
        <w:trPr>
          <w:tblHeader/>
        </w:trPr>
        <w:tc>
          <w:tcPr>
            <w:tcW w:type="pct" w:w="25%"/>
            <w:shd w:fill="1F2A44" w:val="clear"/>
            <w:tcMar>
              <w:top w:type="dxa" w:w="100"/>
              <w:left w:type="dxa" w:w="120"/>
              <w:bottom w:type="dxa" w:w="100"/>
              <w:right w:type="dxa" w:w="120"/>
            </w:tcMar>
          </w:tcPr>
          <w:p>
            <w:r>
              <w:rPr>
                <w:b/>
                <w:bCs/>
                <w:color w:val="FFFFFF"/>
                <w:sz w:val="20"/>
                <w:szCs w:val="20"/>
              </w:rPr>
              <w:t xml:space="preserve">Field</w:t>
            </w:r>
          </w:p>
        </w:tc>
        <w:tc>
          <w:tcPr>
            <w:tcW w:type="pct" w:w="25%"/>
            <w:shd w:fill="1F2A44" w:val="clear"/>
            <w:tcMar>
              <w:top w:type="dxa" w:w="100"/>
              <w:left w:type="dxa" w:w="120"/>
              <w:bottom w:type="dxa" w:w="100"/>
              <w:right w:type="dxa" w:w="120"/>
            </w:tcMar>
          </w:tcPr>
          <w:p>
            <w:r>
              <w:rPr>
                <w:b/>
                <w:bCs/>
                <w:color w:val="FFFFFF"/>
                <w:sz w:val="20"/>
                <w:szCs w:val="20"/>
              </w:rPr>
              <w:t xml:space="preserve">Detail</w:t>
            </w:r>
          </w:p>
        </w:tc>
      </w:tr>
      <w:tr>
        <w:tc>
          <w:tcPr>
            <w:tcW w:type="pct" w:w="25%"/>
            <w:shd w:fill="FAFAF8" w:val="clear"/>
            <w:tcMar>
              <w:top w:type="dxa" w:w="100"/>
              <w:left w:type="dxa" w:w="120"/>
              <w:bottom w:type="dxa" w:w="100"/>
              <w:right w:type="dxa" w:w="120"/>
            </w:tcMar>
          </w:tcPr>
          <w:p>
            <w:r>
              <w:rPr>
                <w:b/>
                <w:bCs/>
                <w:sz w:val="20"/>
                <w:szCs w:val="20"/>
              </w:rPr>
              <w:t xml:space="preserve">Semrush category</w:t>
            </w:r>
          </w:p>
        </w:tc>
        <w:tc>
          <w:tcPr>
            <w:tcW w:type="pct" w:w="75%"/>
            <w:tcMar>
              <w:top w:type="dxa" w:w="100"/>
              <w:left w:type="dxa" w:w="120"/>
              <w:bottom w:type="dxa" w:w="100"/>
              <w:right w:type="dxa" w:w="120"/>
            </w:tcMar>
          </w:tcPr>
          <w:p>
            <w:r>
              <w:rPr>
                <w:sz w:val="20"/>
                <w:szCs w:val="20"/>
              </w:rPr>
              <w:t xml:space="preserve">Notice</w:t>
            </w:r>
          </w:p>
        </w:tc>
      </w:tr>
      <w:tr>
        <w:tc>
          <w:tcPr>
            <w:tcW w:type="pct" w:w="25%"/>
            <w:shd w:fill="FAFAF8" w:val="clear"/>
            <w:tcMar>
              <w:top w:type="dxa" w:w="100"/>
              <w:left w:type="dxa" w:w="120"/>
              <w:bottom w:type="dxa" w:w="100"/>
              <w:right w:type="dxa" w:w="120"/>
            </w:tcMar>
          </w:tcPr>
          <w:p>
            <w:r>
              <w:rPr>
                <w:b/>
                <w:bCs/>
                <w:sz w:val="20"/>
                <w:szCs w:val="20"/>
              </w:rPr>
              <w:t xml:space="preserve">Pages affected</w:t>
            </w:r>
          </w:p>
        </w:tc>
        <w:tc>
          <w:tcPr>
            <w:tcW w:type="pct" w:w="75%"/>
            <w:tcMar>
              <w:top w:type="dxa" w:w="100"/>
              <w:left w:type="dxa" w:w="120"/>
              <w:bottom w:type="dxa" w:w="100"/>
              <w:right w:type="dxa" w:w="120"/>
            </w:tcMar>
          </w:tcPr>
          <w:p>
            <w:r>
              <w:rPr>
                <w:sz w:val="20"/>
                <w:szCs w:val="20"/>
              </w:rPr>
              <w:t xml:space="preserve">/privacy (Privacy Policy) and /terms (Terms of Use)</w:t>
            </w:r>
          </w:p>
        </w:tc>
      </w:tr>
      <w:tr>
        <w:tc>
          <w:tcPr>
            <w:tcW w:type="pct" w:w="25%"/>
            <w:shd w:fill="FAFAF8" w:val="clear"/>
            <w:tcMar>
              <w:top w:type="dxa" w:w="100"/>
              <w:left w:type="dxa" w:w="120"/>
              <w:bottom w:type="dxa" w:w="100"/>
              <w:right w:type="dxa" w:w="120"/>
            </w:tcMar>
          </w:tcPr>
          <w:p>
            <w:r>
              <w:rPr>
                <w:b/>
                <w:bCs/>
                <w:sz w:val="20"/>
                <w:szCs w:val="20"/>
              </w:rPr>
              <w:t xml:space="preserve">Finding</w:t>
            </w:r>
          </w:p>
        </w:tc>
        <w:tc>
          <w:tcPr>
            <w:tcW w:type="pct" w:w="75%"/>
            <w:tcMar>
              <w:top w:type="dxa" w:w="100"/>
              <w:left w:type="dxa" w:w="120"/>
              <w:bottom w:type="dxa" w:w="100"/>
              <w:right w:type="dxa" w:w="120"/>
            </w:tcMar>
          </w:tcPr>
          <w:p>
            <w:r>
              <w:rPr>
                <w:sz w:val="20"/>
                <w:szCs w:val="20"/>
              </w:rPr>
              <w:t xml:space="preserve">Both pages carry &lt;meta name="robots" content="noindex, follow"&gt;. This is a deliberate, standard choice. Legal boilerplate pages are usually kept out of search results, while still allowing the links on them to be followed.</w:t>
            </w:r>
          </w:p>
        </w:tc>
      </w:tr>
      <w:tr>
        <w:tc>
          <w:tcPr>
            <w:tcW w:type="pct" w:w="25%"/>
            <w:shd w:fill="FAFAF8" w:val="clear"/>
            <w:tcMar>
              <w:top w:type="dxa" w:w="100"/>
              <w:left w:type="dxa" w:w="120"/>
              <w:bottom w:type="dxa" w:w="100"/>
              <w:right w:type="dxa" w:w="120"/>
            </w:tcMar>
          </w:tcPr>
          <w:p>
            <w:r>
              <w:rPr>
                <w:b/>
                <w:bCs/>
                <w:sz w:val="20"/>
                <w:szCs w:val="20"/>
              </w:rPr>
              <w:t xml:space="preserve">Fix applied</w:t>
            </w:r>
          </w:p>
        </w:tc>
        <w:tc>
          <w:tcPr>
            <w:tcW w:type="pct" w:w="75%"/>
            <w:tcMar>
              <w:top w:type="dxa" w:w="100"/>
              <w:left w:type="dxa" w:w="120"/>
              <w:bottom w:type="dxa" w:w="100"/>
              <w:right w:type="dxa" w:w="120"/>
            </w:tcMar>
          </w:tcPr>
          <w:p>
            <w:r>
              <w:rPr>
                <w:sz w:val="20"/>
                <w:szCs w:val="20"/>
              </w:rPr>
              <w:t xml:space="preserve">None. This is working as intended.</w:t>
            </w:r>
          </w:p>
        </w:tc>
      </w:tr>
      <w:tr>
        <w:tc>
          <w:tcPr>
            <w:tcW w:type="pct" w:w="25%"/>
            <w:shd w:fill="FAFAF8" w:val="clear"/>
            <w:tcMar>
              <w:top w:type="dxa" w:w="100"/>
              <w:left w:type="dxa" w:w="120"/>
              <w:bottom w:type="dxa" w:w="100"/>
              <w:right w:type="dxa" w:w="120"/>
            </w:tcMar>
          </w:tcPr>
          <w:p>
            <w:r>
              <w:rPr>
                <w:b/>
                <w:bCs/>
                <w:sz w:val="20"/>
                <w:szCs w:val="20"/>
              </w:rPr>
              <w:t xml:space="preserve">Recommendation</w:t>
            </w:r>
          </w:p>
        </w:tc>
        <w:tc>
          <w:tcPr>
            <w:tcW w:type="pct" w:w="75%"/>
            <w:tcMar>
              <w:top w:type="dxa" w:w="100"/>
              <w:left w:type="dxa" w:w="120"/>
              <w:bottom w:type="dxa" w:w="100"/>
              <w:right w:type="dxa" w:w="120"/>
            </w:tcMar>
          </w:tcPr>
          <w:p>
            <w:r>
              <w:rPr>
                <w:sz w:val="20"/>
                <w:szCs w:val="20"/>
              </w:rPr>
              <w:t xml:space="preserve">Leave as is. If you'd ever like these pages to appear in search results, the meta tag can be removed, but that's not typical practice for Privacy/Terms pages.</w:t>
            </w:r>
          </w:p>
        </w:tc>
      </w:tr>
    </w:tbl>
    <w:p>
      <w:pPr>
        <w:pStyle w:val="Heading2"/>
        <w:spacing w:after="160" w:before="320"/>
      </w:pPr>
      <w:r>
        <w:t xml:space="preserve">3. 4 pages with only one incoming internal link</w:t>
      </w:r>
    </w:p>
    <w:tbl>
      <w:tblPr>
        <w:tblW w:type="pct" w:w="100%"/>
        <w:tblBorders>
          <w:top w:val="single" w:color="D9D5CE" w:sz="2"/>
          <w:left w:val="single" w:color="D9D5CE" w:sz="2"/>
          <w:bottom w:val="single" w:color="D9D5CE" w:sz="2"/>
          <w:right w:val="single" w:color="D9D5CE" w:sz="2"/>
          <w:insideH w:val="single" w:color="D9D5CE" w:sz="2"/>
          <w:insideV w:val="single" w:color="D9D5CE" w:sz="2"/>
        </w:tblBorders>
      </w:tblPr>
      <w:tblGrid>
        <w:gridCol w:w="2500"/>
        <w:gridCol w:w="7500"/>
      </w:tblGrid>
      <w:tr>
        <w:trPr>
          <w:tblHeader/>
        </w:trPr>
        <w:tc>
          <w:tcPr>
            <w:tcW w:type="pct" w:w="25%"/>
            <w:shd w:fill="1F2A44" w:val="clear"/>
            <w:tcMar>
              <w:top w:type="dxa" w:w="100"/>
              <w:left w:type="dxa" w:w="120"/>
              <w:bottom w:type="dxa" w:w="100"/>
              <w:right w:type="dxa" w:w="120"/>
            </w:tcMar>
          </w:tcPr>
          <w:p>
            <w:r>
              <w:rPr>
                <w:b/>
                <w:bCs/>
                <w:color w:val="FFFFFF"/>
                <w:sz w:val="20"/>
                <w:szCs w:val="20"/>
              </w:rPr>
              <w:t xml:space="preserve">Field</w:t>
            </w:r>
          </w:p>
        </w:tc>
        <w:tc>
          <w:tcPr>
            <w:tcW w:type="pct" w:w="25%"/>
            <w:shd w:fill="1F2A44" w:val="clear"/>
            <w:tcMar>
              <w:top w:type="dxa" w:w="100"/>
              <w:left w:type="dxa" w:w="120"/>
              <w:bottom w:type="dxa" w:w="100"/>
              <w:right w:type="dxa" w:w="120"/>
            </w:tcMar>
          </w:tcPr>
          <w:p>
            <w:r>
              <w:rPr>
                <w:b/>
                <w:bCs/>
                <w:color w:val="FFFFFF"/>
                <w:sz w:val="20"/>
                <w:szCs w:val="20"/>
              </w:rPr>
              <w:t xml:space="preserve">Detail</w:t>
            </w:r>
          </w:p>
        </w:tc>
      </w:tr>
      <w:tr>
        <w:tc>
          <w:tcPr>
            <w:tcW w:type="pct" w:w="25%"/>
            <w:shd w:fill="FAFAF8" w:val="clear"/>
            <w:tcMar>
              <w:top w:type="dxa" w:w="100"/>
              <w:left w:type="dxa" w:w="120"/>
              <w:bottom w:type="dxa" w:w="100"/>
              <w:right w:type="dxa" w:w="120"/>
            </w:tcMar>
          </w:tcPr>
          <w:p>
            <w:r>
              <w:rPr>
                <w:b/>
                <w:bCs/>
                <w:sz w:val="20"/>
                <w:szCs w:val="20"/>
              </w:rPr>
              <w:t xml:space="preserve">Semrush category</w:t>
            </w:r>
          </w:p>
        </w:tc>
        <w:tc>
          <w:tcPr>
            <w:tcW w:type="pct" w:w="75%"/>
            <w:tcMar>
              <w:top w:type="dxa" w:w="100"/>
              <w:left w:type="dxa" w:w="120"/>
              <w:bottom w:type="dxa" w:w="100"/>
              <w:right w:type="dxa" w:w="120"/>
            </w:tcMar>
          </w:tcPr>
          <w:p>
            <w:r>
              <w:rPr>
                <w:sz w:val="20"/>
                <w:szCs w:val="20"/>
              </w:rPr>
              <w:t xml:space="preserve">Notice</w:t>
            </w:r>
          </w:p>
        </w:tc>
      </w:tr>
      <w:tr>
        <w:tc>
          <w:tcPr>
            <w:tcW w:type="pct" w:w="25%"/>
            <w:shd w:fill="FAFAF8" w:val="clear"/>
            <w:tcMar>
              <w:top w:type="dxa" w:w="100"/>
              <w:left w:type="dxa" w:w="120"/>
              <w:bottom w:type="dxa" w:w="100"/>
              <w:right w:type="dxa" w:w="120"/>
            </w:tcMar>
          </w:tcPr>
          <w:p>
            <w:r>
              <w:rPr>
                <w:b/>
                <w:bCs/>
                <w:sz w:val="20"/>
                <w:szCs w:val="20"/>
              </w:rPr>
              <w:t xml:space="preserve">Pages affected</w:t>
            </w:r>
          </w:p>
        </w:tc>
        <w:tc>
          <w:tcPr>
            <w:tcW w:type="pct" w:w="75%"/>
            <w:tcMar>
              <w:top w:type="dxa" w:w="100"/>
              <w:left w:type="dxa" w:w="120"/>
              <w:bottom w:type="dxa" w:w="100"/>
              <w:right w:type="dxa" w:w="120"/>
            </w:tcMar>
          </w:tcPr>
          <w:p>
            <w:r>
              <w:rPr>
                <w:sz w:val="20"/>
                <w:szCs w:val="20"/>
              </w:rPr>
              <w:t xml:space="preserve">/archive, /insights, and both article pages (“Why does every bid feel like starting again?” and “Bids are lost before the writing starts”)</w:t>
            </w:r>
          </w:p>
        </w:tc>
      </w:tr>
      <w:tr>
        <w:tc>
          <w:tcPr>
            <w:tcW w:type="pct" w:w="25%"/>
            <w:shd w:fill="FAFAF8" w:val="clear"/>
            <w:tcMar>
              <w:top w:type="dxa" w:w="100"/>
              <w:left w:type="dxa" w:w="120"/>
              <w:bottom w:type="dxa" w:w="100"/>
              <w:right w:type="dxa" w:w="120"/>
            </w:tcMar>
          </w:tcPr>
          <w:p>
            <w:r>
              <w:rPr>
                <w:b/>
                <w:bCs/>
                <w:sz w:val="20"/>
                <w:szCs w:val="20"/>
              </w:rPr>
              <w:t xml:space="preserve">Root cause</w:t>
            </w:r>
          </w:p>
        </w:tc>
        <w:tc>
          <w:tcPr>
            <w:tcW w:type="pct" w:w="75%"/>
            <w:tcMar>
              <w:top w:type="dxa" w:w="100"/>
              <w:left w:type="dxa" w:w="120"/>
              <w:bottom w:type="dxa" w:w="100"/>
              <w:right w:type="dxa" w:w="120"/>
            </w:tcMar>
          </w:tcPr>
          <w:p>
            <w:r>
              <w:rPr>
                <w:sz w:val="20"/>
                <w:szCs w:val="20"/>
              </w:rPr>
              <w:t xml:space="preserve">Largely the same redirect issue as (1): because internal links pointed at the pre-redirect .html address, Semrush's crawler did not attribute them as direct links to the final, clean URL. On top of that, the homepage never linked to the archive page at all.</w:t>
            </w:r>
          </w:p>
        </w:tc>
      </w:tr>
      <w:tr>
        <w:tc>
          <w:tcPr>
            <w:tcW w:type="pct" w:w="25%"/>
            <w:shd w:fill="FAFAF8" w:val="clear"/>
            <w:tcMar>
              <w:top w:type="dxa" w:w="100"/>
              <w:left w:type="dxa" w:w="120"/>
              <w:bottom w:type="dxa" w:w="100"/>
              <w:right w:type="dxa" w:w="120"/>
            </w:tcMar>
          </w:tcPr>
          <w:p>
            <w:r>
              <w:rPr>
                <w:b/>
                <w:bCs/>
                <w:sz w:val="20"/>
                <w:szCs w:val="20"/>
              </w:rPr>
              <w:t xml:space="preserve">Fix applied</w:t>
            </w:r>
          </w:p>
        </w:tc>
        <w:tc>
          <w:tcPr>
            <w:tcW w:type="pct" w:w="75%"/>
            <w:tcMar>
              <w:top w:type="dxa" w:w="100"/>
              <w:left w:type="dxa" w:w="120"/>
              <w:bottom w:type="dxa" w:w="100"/>
              <w:right w:type="dxa" w:w="120"/>
            </w:tcMar>
          </w:tcPr>
          <w:p>
            <w:r>
              <w:rPr>
                <w:sz w:val="20"/>
                <w:szCs w:val="20"/>
              </w:rPr>
              <w:t xml:space="preserve">Resolved as a direct consequence of fixing the .html links in issue 1, so every existing link now points straight at the canonical URL. In addition, added a “Browse the archive→” link to the homepage newsletter section, which previously had no link to /archive at all.</w:t>
            </w:r>
          </w:p>
        </w:tc>
      </w:tr>
      <w:tr>
        <w:tc>
          <w:tcPr>
            <w:tcW w:type="pct" w:w="25%"/>
            <w:shd w:fill="FAFAF8" w:val="clear"/>
            <w:tcMar>
              <w:top w:type="dxa" w:w="100"/>
              <w:left w:type="dxa" w:w="120"/>
              <w:bottom w:type="dxa" w:w="100"/>
              <w:right w:type="dxa" w:w="120"/>
            </w:tcMar>
          </w:tcPr>
          <w:p>
            <w:r>
              <w:rPr>
                <w:b/>
                <w:bCs/>
                <w:sz w:val="20"/>
                <w:szCs w:val="20"/>
              </w:rPr>
              <w:t xml:space="preserve">Status</w:t>
            </w:r>
          </w:p>
        </w:tc>
        <w:tc>
          <w:tcPr>
            <w:tcW w:type="pct" w:w="75%"/>
            <w:tcMar>
              <w:top w:type="dxa" w:w="100"/>
              <w:left w:type="dxa" w:w="120"/>
              <w:bottom w:type="dxa" w:w="100"/>
              <w:right w:type="dxa" w:w="120"/>
            </w:tcMar>
          </w:tcPr>
          <w:p>
            <w:r>
              <w:rPr>
                <w:sz w:val="20"/>
                <w:szCs w:val="20"/>
              </w:rPr>
              <w:t xml:space="preserve">Fixed. Worth re-running the Semrush Site Audit after this update goes live to confirm the notice clears.</w:t>
            </w:r>
          </w:p>
        </w:tc>
      </w:tr>
    </w:tbl>
    <w:p>
      <w:pPr>
        <w:pStyle w:val="Heading1"/>
        <w:spacing w:after="160" w:before="320"/>
      </w:pPr>
      <w:r>
        <w:t xml:space="preserve">4. Additional finding: duplicate homepage file (not flagged by Semrush)</w:t>
      </w:r>
    </w:p>
    <w:p>
      <w:pPr>
        <w:spacing w:after="160" w:line="300"/>
      </w:pPr>
      <w:r>
        <w:t xml:space="preserve">A file called no_sector_test.html is live on the server, publicly reachable, and is a byte-for-byte duplicate of the homepage: identical title tag, meta description, canonical tag (which itself points to the real homepage URL) and body content. It isn't linked from anywhere on the site, isn't in the sitemap, and isn't blocked in robots.txt.</w:t>
      </w:r>
    </w:p>
    <w:p>
      <w:pPr>
        <w:pStyle w:val="ListParagraph"/>
        <w:numPr>
          <w:ilvl w:val="0"/>
          <w:numId w:val="1"/>
        </w:numPr>
        <w:spacing w:after="100" w:line="280"/>
      </w:pPr>
      <w:r>
        <w:t xml:space="preserve">Likely explanation: a leftover from testing an alternative homepage version.</w:t>
      </w:r>
    </w:p>
    <w:p>
      <w:pPr>
        <w:pStyle w:val="ListParagraph"/>
        <w:numPr>
          <w:ilvl w:val="0"/>
          <w:numId w:val="1"/>
        </w:numPr>
        <w:spacing w:after="100" w:line="280"/>
      </w:pPr>
      <w:r>
        <w:t xml:space="preserve">Risk: if a search engine ever discovers and indexes it (for example, if it's ever linked to externally), it creates duplicate content competing with your real homepage.</w:t>
      </w:r>
    </w:p>
    <w:p>
      <w:pPr>
        <w:pStyle w:val="ListParagraph"/>
        <w:numPr>
          <w:ilvl w:val="0"/>
          <w:numId w:val="1"/>
        </w:numPr>
        <w:spacing w:after="100" w:line="280"/>
      </w:pPr>
      <w:r>
        <w:t xml:space="preserve">No action has been taken. This is your call. The two safest options are to remove the file from the live site, or to add a noindex tag to it if it needs to stay live for internal reference.</w:t>
      </w:r>
    </w:p>
    <w:p>
      <w:pPr>
        <w:pStyle w:val="Heading1"/>
        <w:spacing w:after="160" w:before="320"/>
      </w:pPr>
      <w:r>
        <w:t xml:space="preserve">Files changed</w:t>
      </w:r>
    </w:p>
    <w:p>
      <w:pPr>
        <w:spacing w:after="160" w:line="300"/>
      </w:pPr>
      <w:r>
        <w:t xml:space="preserve">index.html, archive.html, insights.html, privacy.html, terms.html, no_sector_test.html, insights/why-does-every-bid-feel-like-starting-again.html, insights/bids-are-lost-before-the-writing-starts.html</w:t>
      </w:r>
    </w:p>
    <w:p>
      <w:pPr>
        <w:spacing w:after="160" w:line="300"/>
      </w:pPr>
      <w:r>
        <w:t xml:space="preserve">118 internal href attributes rewritten to clean URLs, plus one new link added from the homepage to /archive. No visible design, copy or page structure changed. This was a links-only fix.</w:t>
      </w:r>
    </w:p>
    <w:p>
      <w:pPr>
        <w:pStyle w:val="Heading1"/>
        <w:spacing w:after="160" w:before="320"/>
      </w:pPr>
      <w:r>
        <w:t xml:space="preserve">Recommended next steps</w:t>
      </w:r>
    </w:p>
    <w:p>
      <w:pPr>
        <w:pStyle w:val="ListParagraph"/>
        <w:numPr>
          <w:ilvl w:val="0"/>
          <w:numId w:val="1"/>
        </w:numPr>
        <w:spacing w:after="100" w:line="280"/>
      </w:pPr>
      <w:r>
        <w:t xml:space="preserve">Deploy these changes, then re-run the Semrush Site Audit in a few days to confirm all three notices have cleared.</w:t>
      </w:r>
    </w:p>
    <w:p>
      <w:pPr>
        <w:pStyle w:val="ListParagraph"/>
        <w:numPr>
          <w:ilvl w:val="0"/>
          <w:numId w:val="1"/>
        </w:numPr>
        <w:spacing w:after="100" w:line="280"/>
      </w:pPr>
      <w:r>
        <w:t xml:space="preserve">Decide what to do with no_sector_test.html (remove or noindex).</w:t>
      </w:r>
    </w:p>
    <w:p>
      <w:pPr>
        <w:pStyle w:val="ListParagraph"/>
        <w:numPr>
          <w:ilvl w:val="0"/>
          <w:numId w:val="1"/>
        </w:numPr>
        <w:spacing w:after="100" w:line="280"/>
      </w:pPr>
      <w:r>
        <w:t xml:space="preserve">Once re-crawled clean, this is a good moment to also submit the sitemap in Google Search Console if that hasn't been done recently, so the newer edition pages get picked up faster.</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5651D" w:sz="6" w:space="4"/>
      </w:pBdr>
      <w:spacing w:after="160" w:before="320"/>
    </w:pPr>
    <w:rPr>
      <w:rFonts w:ascii="Calibri" w:cs="Calibri" w:eastAsia="Calibri" w:hAnsi="Calibri"/>
      <w:b/>
      <w:bCs/>
      <w:color w:val="1F2A44"/>
      <w:sz w:val="30"/>
      <w:szCs w:val="30"/>
    </w:rPr>
  </w:style>
  <w:style w:type="paragraph" w:styleId="Heading2">
    <w:name w:val="Heading 2"/>
    <w:basedOn w:val="Normal"/>
    <w:next w:val="Normal"/>
    <w:qFormat/>
    <w:pPr>
      <w:spacing w:after="120" w:before="280"/>
    </w:pPr>
    <w:rPr>
      <w:rFonts w:ascii="Calibri" w:cs="Calibri" w:eastAsia="Calibri" w:hAnsi="Calibri"/>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2026-09-04T17:14:20.503Z</dcterms:created>
  <dcterms:modified xsi:type="dcterms:W3CDTF">2026-09-04T17:14:20.503Z</dcterms:modified>
</cp:coreProperties>
</file>

<file path=docProps/custom.xml><?xml version="1.0" encoding="utf-8"?>
<Properties xmlns="http://schemas.openxmlformats.org/officeDocument/2006/custom-properties" xmlns:vt="http://schemas.openxmlformats.org/officeDocument/2006/docPropsVTypes"/>
</file>