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6485A"/>
          <w:spacing w:val="40"/>
          <w:sz w:val="18"/>
          <w:szCs w:val="18"/>
        </w:rPr>
        <w:t xml:space="preserve">IGNIS LEADERSHIP</w:t>
      </w:r>
    </w:p>
    <w:p>
      <w:pPr>
        <w:spacing w:after="100"/>
      </w:pPr>
      <w:r>
        <w:rPr>
          <w:rFonts w:ascii="Calibri" w:cs="Calibri" w:eastAsia="Calibri" w:hAnsi="Calibri"/>
          <w:b/>
          <w:bCs/>
          <w:color w:val="12213A"/>
          <w:sz w:val="44"/>
          <w:szCs w:val="44"/>
        </w:rPr>
        <w:t xml:space="preserve">AI Citation Strategy</w:t>
      </w:r>
    </w:p>
    <w:p>
      <w:pPr>
        <w:pBdr>
          <w:bottom w:val="single" w:color="16485A" w:sz="12" w:space="10"/>
        </w:pBdr>
        <w:spacing w:after="140"/>
      </w:pPr>
      <w:r>
        <w:rPr>
          <w:rFonts w:ascii="Calibri" w:cs="Calibri" w:eastAsia="Calibri" w:hAnsi="Calibri"/>
          <w:color w:val="4A5568"/>
          <w:sz w:val="24"/>
          <w:szCs w:val="24"/>
        </w:rPr>
        <w:t xml:space="preserve">Getting named by ChatGPT, Perplexity, Claude, Copilot and Google AI Overviews</w:t>
      </w:r>
    </w:p>
    <w:p>
      <w:pPr>
        <w:spacing w:after="300"/>
      </w:pPr>
      <w:r>
        <w:rPr>
          <w:rFonts w:ascii="Calibri" w:cs="Calibri" w:eastAsia="Calibri" w:hAnsi="Calibri"/>
          <w:i/>
          <w:iCs/>
          <w:color w:val="4A5568"/>
          <w:sz w:val="18"/>
          <w:szCs w:val="18"/>
        </w:rPr>
        <w:t xml:space="preserve">Prepared 10 September 2026  |  Owner: Yorik Tisseau  |  Test monthly, revise quarterly</w:t>
      </w:r>
    </w:p>
    <w:p>
      <w:pPr>
        <w:pStyle w:val="Heading1"/>
        <w:pBdr>
          <w:bottom w:val="single" w:color="16485A" w:sz="8" w:space="6"/>
        </w:pBdr>
        <w:spacing w:after="160" w:before="360"/>
      </w:pPr>
      <w:r>
        <w:rPr>
          <w:rFonts w:ascii="Calibri" w:cs="Calibri" w:eastAsia="Calibri" w:hAnsi="Calibri"/>
          <w:b/>
          <w:bCs/>
          <w:color w:val="12213A"/>
          <w:sz w:val="30"/>
          <w:szCs w:val="30"/>
        </w:rPr>
        <w:t xml:space="preserve">1. Why this is a separate discipline</w:t>
      </w:r>
    </w:p>
    <w:p>
      <w:pPr>
        <w:spacing w:after="140" w:line="276"/>
      </w:pPr>
      <w:r>
        <w:rPr>
          <w:rFonts w:ascii="Calibri" w:cs="Calibri" w:eastAsia="Calibri" w:hAnsi="Calibri"/>
          <w:color w:val="22292F"/>
          <w:sz w:val="21"/>
          <w:szCs w:val="21"/>
        </w:rPr>
        <w:t xml:space="preserve">Classic search gives you ten results and a scroll. Getting to position seven is a partial win: some people scroll. Answer engines do not work like that. ChatGPT, Perplexity, Claude, Copilot and Google's AI Overviews synthesise a single answer from typically three to eight sources and name a handful of them. You are either in that set or you do not exist. There is no page two, and there is no partial credit.</w:t>
      </w:r>
    </w:p>
    <w:p>
      <w:pPr>
        <w:spacing w:after="140" w:line="276"/>
      </w:pPr>
      <w:r>
        <w:rPr>
          <w:rFonts w:ascii="Calibri" w:cs="Calibri" w:eastAsia="Calibri" w:hAnsi="Calibri"/>
          <w:color w:val="22292F"/>
          <w:sz w:val="21"/>
          <w:szCs w:val="21"/>
        </w:rPr>
        <w:t xml:space="preserve">This matters more for you than for most businesses, and for a specific reason. Your buyer is a bid director or commercial lead in a construction, infrastructure or energy business who has been told to work out what AI means for their bid function. That person is, almost by definition, using an AI assistant to research the question. The query is something like "how should we introduce AI into our bid team" or "what does a governed AI bid process look like". Whoever gets cited in that answer is the shortlist.</w:t>
      </w:r>
    </w:p>
    <w:p>
      <w:pPr>
        <w:spacing w:after="140"/>
      </w:pPr>
    </w:p>
    <w:tbl>
      <w:tblPr>
        <w:tblW w:type="dxa" w:w="9746"/>
        <w:tblBorders>
          <w:top w:val="single" w:color="D6DCE5" w:sz="2"/>
          <w:left w:val="single" w:color="16485A" w:sz="18"/>
          <w:bottom w:val="single" w:color="D6DCE5" w:sz="2"/>
          <w:right w:val="single" w:color="D6DCE5" w:sz="2"/>
          <w:insideH w:val="none" w:color="FFFFFF" w:sz="0"/>
          <w:insideV w:val="none" w:color="FFFFFF" w:sz="0"/>
        </w:tblBorders>
      </w:tblPr>
      <w:tblGrid>
        <w:gridCol w:w="9746"/>
      </w:tblGrid>
      <w:tr>
        <w:tc>
          <w:tcPr>
            <w:tcW w:type="dxa" w:w="9746"/>
            <w:shd w:fill="EEF2F7" w:val="clear"/>
            <w:tcMar>
              <w:top w:type="dxa" w:w="140"/>
              <w:left w:type="dxa" w:w="200"/>
              <w:bottom w:type="dxa" w:w="140"/>
              <w:right w:type="dxa" w:w="200"/>
            </w:tcMar>
          </w:tcPr>
          <w:p>
            <w:pPr>
              <w:spacing w:after="60"/>
            </w:pPr>
            <w:r>
              <w:rPr>
                <w:rFonts w:ascii="Calibri" w:cs="Calibri" w:eastAsia="Calibri" w:hAnsi="Calibri"/>
                <w:b/>
                <w:bCs/>
                <w:color w:val="12213A"/>
                <w:sz w:val="21"/>
                <w:szCs w:val="21"/>
              </w:rPr>
              <w:t xml:space="preserve">The uncomfortable arithmetic</w:t>
            </w:r>
          </w:p>
          <w:p>
            <w:pPr>
              <w:spacing w:after="0"/>
            </w:pPr>
            <w:r>
              <w:rPr>
                <w:rFonts w:ascii="Calibri" w:cs="Calibri" w:eastAsia="Calibri" w:hAnsi="Calibri"/>
                <w:color w:val="4A5568"/>
                <w:sz w:val="20"/>
                <w:szCs w:val="20"/>
              </w:rPr>
              <w:t xml:space="preserve">A page-one Google ranking for a niche B2B phrase might bring you thirty visits a month. Being one of four sources named in the AI answer to the question your buyer is actually asking brings you fewer visits and considerably more meetings, because the person arrives already persuaded that you are the authority. The traffic numbers will look worse. The pipeline will look better.</w:t>
            </w:r>
          </w:p>
        </w:tc>
      </w:tr>
    </w:tbl>
    <w:p>
      <w:pPr>
        <w:spacing w:after="200"/>
      </w:pPr>
    </w:p>
    <w:p>
      <w:pPr>
        <w:pStyle w:val="Heading2"/>
        <w:spacing w:after="120" w:before="300"/>
      </w:pPr>
      <w:r>
        <w:rPr>
          <w:rFonts w:ascii="Calibri" w:cs="Calibri" w:eastAsia="Calibri" w:hAnsi="Calibri"/>
          <w:b/>
          <w:bCs/>
          <w:color w:val="16485A"/>
          <w:sz w:val="25"/>
          <w:szCs w:val="25"/>
        </w:rPr>
        <w:t xml:space="preserve">The two layers, and which one you can control</w:t>
      </w:r>
    </w:p>
    <w:p>
      <w:pPr>
        <w:spacing w:after="140" w:line="276"/>
      </w:pPr>
      <w:r>
        <w:rPr>
          <w:rFonts w:ascii="Calibri" w:cs="Calibri" w:eastAsia="Calibri" w:hAnsi="Calibri"/>
          <w:color w:val="22292F"/>
          <w:sz w:val="21"/>
          <w:szCs w:val="21"/>
        </w:rPr>
        <w:t xml:space="preserve">There are two distinct routes by which a model can end up mentioning you, and conflating them leads to wasted effort.</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1364"/>
        <w:gridCol w:w="4288"/>
        <w:gridCol w:w="1364"/>
        <w:gridCol w:w="2730"/>
      </w:tblGrid>
      <w:tr>
        <w:trPr>
          <w:tblHeader/>
        </w:trPr>
        <w:tc>
          <w:tcPr>
            <w:tcW w:type="dxa" w:w="136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Layer</w:t>
            </w:r>
          </w:p>
        </w:tc>
        <w:tc>
          <w:tcPr>
            <w:tcW w:type="dxa" w:w="4288"/>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How it works</w:t>
            </w:r>
          </w:p>
        </w:tc>
        <w:tc>
          <w:tcPr>
            <w:tcW w:type="dxa" w:w="136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Timescale</w:t>
            </w:r>
          </w:p>
        </w:tc>
        <w:tc>
          <w:tcPr>
            <w:tcW w:type="dxa" w:w="2730"/>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How much control you have</w:t>
            </w:r>
          </w:p>
        </w:tc>
      </w:tr>
      <w:tr>
        <w:trPr>
          <w:tblHeader w:val="false"/>
        </w:trPr>
        <w:tc>
          <w:tcPr>
            <w:tcW w:type="dxa" w:w="1364"/>
            <w:tcMar>
              <w:top w:type="dxa" w:w="90"/>
              <w:left w:type="dxa" w:w="130"/>
              <w:bottom w:type="dxa" w:w="90"/>
              <w:right w:type="dxa" w:w="130"/>
            </w:tcMar>
          </w:tcPr>
          <w:p>
            <w:pPr>
              <w:spacing w:after="50" w:line="260"/>
            </w:pPr>
            <w:r>
              <w:rPr>
                <w:rFonts w:ascii="Calibri" w:cs="Calibri" w:eastAsia="Calibri" w:hAnsi="Calibri"/>
                <w:b w:val="false"/>
                <w:bCs w:val="false"/>
                <w:color w:val="22292F"/>
                <w:sz w:val="19"/>
                <w:szCs w:val="19"/>
              </w:rPr>
              <w:t xml:space="preserve">Retrieval</w:t>
            </w:r>
          </w:p>
          <w:p>
            <w:pPr>
              <w:spacing w:after="0" w:line="260"/>
            </w:pPr>
            <w:r>
              <w:rPr>
                <w:rFonts w:ascii="Calibri" w:cs="Calibri" w:eastAsia="Calibri" w:hAnsi="Calibri"/>
                <w:b w:val="false"/>
                <w:bCs w:val="false"/>
                <w:color w:val="22292F"/>
                <w:sz w:val="19"/>
                <w:szCs w:val="19"/>
              </w:rPr>
              <w:t xml:space="preserve">(live web)</w:t>
            </w:r>
          </w:p>
        </w:tc>
        <w:tc>
          <w:tcPr>
            <w:tcW w:type="dxa" w:w="428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model runs a search, fetches pages, and synthesises an answer from what it reads right now. This is how ChatGPT search, Perplexity, Copilot, Google AI Overviews and Claude with web access all work.</w:t>
            </w:r>
          </w:p>
        </w:tc>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Days to weeks</w:t>
            </w:r>
          </w:p>
        </w:tc>
        <w:tc>
          <w:tcPr>
            <w:tcW w:type="dxa" w:w="273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High. This is essentially SEO plus extractability, and it responds to work quickly.</w:t>
            </w:r>
          </w:p>
        </w:tc>
      </w:tr>
      <w:tr>
        <w:trPr>
          <w:tblHeader w:val="false"/>
        </w:trPr>
        <w:tc>
          <w:tcPr>
            <w:tcW w:type="dxa" w:w="1364"/>
            <w:shd w:fill="F7F9FC" w:val="clear"/>
            <w:tcMar>
              <w:top w:type="dxa" w:w="90"/>
              <w:left w:type="dxa" w:w="130"/>
              <w:bottom w:type="dxa" w:w="90"/>
              <w:right w:type="dxa" w:w="130"/>
            </w:tcMar>
          </w:tcPr>
          <w:p>
            <w:pPr>
              <w:spacing w:after="50" w:line="260"/>
            </w:pPr>
            <w:r>
              <w:rPr>
                <w:rFonts w:ascii="Calibri" w:cs="Calibri" w:eastAsia="Calibri" w:hAnsi="Calibri"/>
                <w:b w:val="false"/>
                <w:bCs w:val="false"/>
                <w:color w:val="22292F"/>
                <w:sz w:val="19"/>
                <w:szCs w:val="19"/>
              </w:rPr>
              <w:t xml:space="preserve">Training</w:t>
            </w:r>
          </w:p>
          <w:p>
            <w:pPr>
              <w:spacing w:after="0" w:line="260"/>
            </w:pPr>
            <w:r>
              <w:rPr>
                <w:rFonts w:ascii="Calibri" w:cs="Calibri" w:eastAsia="Calibri" w:hAnsi="Calibri"/>
                <w:b w:val="false"/>
                <w:bCs w:val="false"/>
                <w:color w:val="22292F"/>
                <w:sz w:val="19"/>
                <w:szCs w:val="19"/>
              </w:rPr>
              <w:t xml:space="preserve">(model weights)</w:t>
            </w:r>
          </w:p>
        </w:tc>
        <w:tc>
          <w:tcPr>
            <w:tcW w:type="dxa" w:w="428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model absorbed your content during training and can mention you with no search at all. Sources include Common Crawl, licensed datasets, and public web scrapes with cutoffs typically a year or more behind.</w:t>
            </w:r>
          </w:p>
        </w:tc>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12 to 36 months</w:t>
            </w:r>
          </w:p>
        </w:tc>
        <w:tc>
          <w:tcPr>
            <w:tcW w:type="dxa" w:w="273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Low and indirect. You influence it by existing broadly across the open web over a long period, and then you wait.</w:t>
            </w:r>
          </w:p>
        </w:tc>
      </w:tr>
    </w:tbl>
    <w:p>
      <w:pPr>
        <w:spacing w:after="200"/>
      </w:pPr>
    </w:p>
    <w:p>
      <w:pPr>
        <w:spacing w:after="140" w:line="276"/>
      </w:pPr>
      <w:r>
        <w:rPr>
          <w:rFonts w:ascii="Calibri" w:cs="Calibri" w:eastAsia="Calibri" w:hAnsi="Calibri"/>
          <w:color w:val="22292F"/>
          <w:sz w:val="21"/>
          <w:szCs w:val="21"/>
        </w:rPr>
        <w:t xml:space="preserve">Almost everything in this document targets the retrieval layer, because that is where effort converts to outcome inside a year. The training layer is a by-product: do the retrieval work and the off-site work consistently, and in two years the models will know who you are without looking. Anyone selling you "training data optimisation" as a service is selling you something they cannot deliver.</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2. How a model decides who to cite</w:t>
      </w:r>
    </w:p>
    <w:p>
      <w:pPr>
        <w:spacing w:after="140" w:line="276"/>
      </w:pPr>
      <w:r>
        <w:rPr>
          <w:rFonts w:ascii="Calibri" w:cs="Calibri" w:eastAsia="Calibri" w:hAnsi="Calibri"/>
          <w:color w:val="22292F"/>
          <w:sz w:val="21"/>
          <w:szCs w:val="21"/>
        </w:rPr>
        <w:t xml:space="preserve">Six factors, in rough order of how much they matter and how much you can influence them. Understanding these is what makes the tactics in the rest of the document make sense rather than reading as a checklist.</w:t>
      </w:r>
    </w:p>
    <w:p>
      <w:pPr>
        <w:pStyle w:val="Heading3"/>
        <w:spacing w:after="90" w:before="220"/>
      </w:pPr>
      <w:r>
        <w:rPr>
          <w:rFonts w:ascii="Calibri" w:cs="Calibri" w:eastAsia="Calibri" w:hAnsi="Calibri"/>
          <w:b/>
          <w:bCs/>
          <w:color w:val="12213A"/>
          <w:sz w:val="22"/>
          <w:szCs w:val="22"/>
        </w:rPr>
        <w:t xml:space="preserve">Retrievability</w:t>
      </w:r>
    </w:p>
    <w:p>
      <w:pPr>
        <w:spacing w:after="140" w:line="276"/>
      </w:pPr>
      <w:r>
        <w:rPr>
          <w:rFonts w:ascii="Calibri" w:cs="Calibri" w:eastAsia="Calibri" w:hAnsi="Calibri"/>
          <w:color w:val="22292F"/>
          <w:sz w:val="21"/>
          <w:szCs w:val="21"/>
        </w:rPr>
        <w:t xml:space="preserve">The model has to be able to find and read the page inside a short timeout. AI crawlers are less patient than Googlebot: they fetch, and if the page is slow or the content only appears after JavaScript executes, they move on. Server-rendered HTML, fast response, no login, no consent wall blocking the content, crawler explicitly permitted. This is table stakes and it is the part we have already fixed.</w:t>
      </w:r>
    </w:p>
    <w:p>
      <w:pPr>
        <w:pStyle w:val="Heading3"/>
        <w:spacing w:after="90" w:before="220"/>
      </w:pPr>
      <w:r>
        <w:rPr>
          <w:rFonts w:ascii="Calibri" w:cs="Calibri" w:eastAsia="Calibri" w:hAnsi="Calibri"/>
          <w:b/>
          <w:bCs/>
          <w:color w:val="12213A"/>
          <w:sz w:val="22"/>
          <w:szCs w:val="22"/>
        </w:rPr>
        <w:t xml:space="preserve">Chunk quality</w:t>
      </w:r>
    </w:p>
    <w:p>
      <w:pPr>
        <w:spacing w:after="140" w:line="276"/>
      </w:pPr>
      <w:r>
        <w:rPr>
          <w:rFonts w:ascii="Calibri" w:cs="Calibri" w:eastAsia="Calibri" w:hAnsi="Calibri"/>
          <w:color w:val="22292F"/>
          <w:sz w:val="21"/>
          <w:szCs w:val="21"/>
        </w:rPr>
        <w:t xml:space="preserve">This is the factor most people miss, and it is the highest-leverage thing you can change about your writing. Retrieval systems do not read your page. They break it into passages, embed each passage, and match individual passages against the query. A passage that only makes sense in the context of the three paragraphs above it will never be retrieved, because it will never look like an answer on its own. A passage that opens with a complete, self-contained statement of the answer will be retrieved constantly.</w:t>
      </w:r>
    </w:p>
    <w:p>
      <w:pPr>
        <w:spacing w:after="140" w:line="276"/>
      </w:pPr>
      <w:r>
        <w:rPr>
          <w:rFonts w:ascii="Calibri" w:cs="Calibri" w:eastAsia="Calibri" w:hAnsi="Calibri"/>
          <w:color w:val="22292F"/>
          <w:sz w:val="21"/>
          <w:szCs w:val="21"/>
        </w:rPr>
        <w:t xml:space="preserve">In practical terms: every section of every page should survive being cut out and read in isolation. No "as we discussed above". No "this approach" without saying what the approach is. No pronoun whose referent is two paragraphs back. Write each section as if it will be quoted alone, because it will be.</w:t>
      </w:r>
    </w:p>
    <w:p>
      <w:pPr>
        <w:pStyle w:val="Heading3"/>
        <w:spacing w:after="90" w:before="220"/>
      </w:pPr>
      <w:r>
        <w:rPr>
          <w:rFonts w:ascii="Calibri" w:cs="Calibri" w:eastAsia="Calibri" w:hAnsi="Calibri"/>
          <w:b/>
          <w:bCs/>
          <w:color w:val="12213A"/>
          <w:sz w:val="22"/>
          <w:szCs w:val="22"/>
        </w:rPr>
        <w:t xml:space="preserve">Corroboration</w:t>
      </w:r>
    </w:p>
    <w:p>
      <w:pPr>
        <w:spacing w:after="140" w:line="276"/>
      </w:pPr>
      <w:r>
        <w:rPr>
          <w:rFonts w:ascii="Calibri" w:cs="Calibri" w:eastAsia="Calibri" w:hAnsi="Calibri"/>
          <w:color w:val="22292F"/>
          <w:sz w:val="21"/>
          <w:szCs w:val="21"/>
        </w:rPr>
        <w:t xml:space="preserve">Models are trained to prefer claims that appear across multiple independent sources, which is a reasonable proxy for reliability and a hard constraint for a new practice. If "AI-augmented bid practice" appears only on ignisleadership.com, a model has no way to distinguish a real concept from one person's coinage. If it appears in a Construction News article, an APMP chapter piece, three podcast transcripts and a LinkedIn discussion, it becomes a real thing that a real person named Yorik Tisseau originated. This is why the backlink strategy and this document are two halves of one job: off-site mentions are the raw material for citation, whether or not they carry a link.</w:t>
      </w:r>
    </w:p>
    <w:p>
      <w:pPr>
        <w:pStyle w:val="Heading3"/>
        <w:spacing w:after="90" w:before="220"/>
      </w:pPr>
      <w:r>
        <w:rPr>
          <w:rFonts w:ascii="Calibri" w:cs="Calibri" w:eastAsia="Calibri" w:hAnsi="Calibri"/>
          <w:b/>
          <w:bCs/>
          <w:color w:val="12213A"/>
          <w:sz w:val="22"/>
          <w:szCs w:val="22"/>
        </w:rPr>
        <w:t xml:space="preserve">Entity clarity</w:t>
      </w:r>
    </w:p>
    <w:p>
      <w:pPr>
        <w:spacing w:after="140" w:line="276"/>
      </w:pPr>
      <w:r>
        <w:rPr>
          <w:rFonts w:ascii="Calibri" w:cs="Calibri" w:eastAsia="Calibri" w:hAnsi="Calibri"/>
          <w:color w:val="22292F"/>
          <w:sz w:val="21"/>
          <w:szCs w:val="21"/>
        </w:rPr>
        <w:t xml:space="preserve">The model needs to resolve "Ignis Leadership" and "Yorik Tisseau" to specific entities with specific attributes. This comes from consistency: the same name, the same description, the same URL, the same credentials appearing the same way across your site, LinkedIn, professional directories, Crunchbase, Wikidata and every article byline. Inconsistency, such as "Ignis Leadership Ltd" in one place and "Ignis" in another, actively fragments the entity.</w:t>
      </w:r>
    </w:p>
    <w:p>
      <w:pPr>
        <w:pStyle w:val="Heading3"/>
        <w:spacing w:after="90" w:before="220"/>
      </w:pPr>
      <w:r>
        <w:rPr>
          <w:rFonts w:ascii="Calibri" w:cs="Calibri" w:eastAsia="Calibri" w:hAnsi="Calibri"/>
          <w:b/>
          <w:bCs/>
          <w:color w:val="12213A"/>
          <w:sz w:val="22"/>
          <w:szCs w:val="22"/>
        </w:rPr>
        <w:t xml:space="preserve">Specificity and quantification</w:t>
      </w:r>
    </w:p>
    <w:p>
      <w:pPr>
        <w:spacing w:after="140" w:line="276"/>
      </w:pPr>
      <w:r>
        <w:rPr>
          <w:rFonts w:ascii="Calibri" w:cs="Calibri" w:eastAsia="Calibri" w:hAnsi="Calibri"/>
          <w:color w:val="22292F"/>
          <w:sz w:val="21"/>
          <w:szCs w:val="21"/>
        </w:rPr>
        <w:t xml:space="preserve">Models preferentially cite content that contains something concrete: a number, a named framework, a defined term, a dated finding, a step-by-step process. Vague thought leadership does not get cited because there is nothing in it to attribute. "Bid teams should think differently about AI" is uncitable. "Sixty-two per cent of UK bid functions have used AI in a live submission, and eleven per cent have any written policy governing it" is a sentence that will be repeated for two years with your name attached.</w:t>
      </w:r>
    </w:p>
    <w:p>
      <w:pPr>
        <w:pStyle w:val="Heading3"/>
        <w:spacing w:after="90" w:before="220"/>
      </w:pPr>
      <w:r>
        <w:rPr>
          <w:rFonts w:ascii="Calibri" w:cs="Calibri" w:eastAsia="Calibri" w:hAnsi="Calibri"/>
          <w:b/>
          <w:bCs/>
          <w:color w:val="12213A"/>
          <w:sz w:val="22"/>
          <w:szCs w:val="22"/>
        </w:rPr>
        <w:t xml:space="preserve">Recency</w:t>
      </w:r>
    </w:p>
    <w:p>
      <w:pPr>
        <w:spacing w:after="140" w:line="276"/>
      </w:pPr>
      <w:r>
        <w:rPr>
          <w:rFonts w:ascii="Calibri" w:cs="Calibri" w:eastAsia="Calibri" w:hAnsi="Calibri"/>
          <w:color w:val="22292F"/>
          <w:sz w:val="21"/>
          <w:szCs w:val="21"/>
        </w:rPr>
        <w:t xml:space="preserve">Answer engines weight recent content heavily, particularly on technology topics where they have learned that old information is often wrong. Visible publication dates, visible update dates, and a genuine refresh cycle on your evergreen pages. A guide last updated in 2024 is at a real disadvantage against the same guide updated last month, even when the content has barely changed.</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3. The technical layer: already complete</w:t>
      </w:r>
    </w:p>
    <w:p>
      <w:pPr>
        <w:spacing w:after="140" w:line="276"/>
      </w:pPr>
      <w:r>
        <w:rPr>
          <w:rFonts w:ascii="Calibri" w:cs="Calibri" w:eastAsia="Calibri" w:hAnsi="Calibri"/>
          <w:color w:val="22292F"/>
          <w:sz w:val="21"/>
          <w:szCs w:val="21"/>
        </w:rPr>
        <w:t xml:space="preserve">Everything in this section has been implemented on the site as part of the SEO remediation work. It is recorded here so you know what is in place and can check it stays in place after future redesigns, since this is exactly the sort of thing that quietly gets dropped.</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534"/>
        <w:gridCol w:w="975"/>
        <w:gridCol w:w="6237"/>
      </w:tblGrid>
      <w:tr>
        <w:trPr>
          <w:tblHeader/>
        </w:trPr>
        <w:tc>
          <w:tcPr>
            <w:tcW w:type="dxa" w:w="253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What</w:t>
            </w:r>
          </w:p>
        </w:tc>
        <w:tc>
          <w:tcPr>
            <w:tcW w:type="dxa" w:w="975"/>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Status</w:t>
            </w:r>
          </w:p>
        </w:tc>
        <w:tc>
          <w:tcPr>
            <w:tcW w:type="dxa" w:w="6237"/>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Why it matters for citation</w:t>
            </w:r>
          </w:p>
        </w:tc>
      </w:tr>
      <w:tr>
        <w:trPr>
          <w:tblHeader w:val="false"/>
        </w:trPr>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llms.txt at the site root</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Done</w:t>
            </w:r>
          </w:p>
        </w:tc>
        <w:tc>
          <w:tcPr>
            <w:tcW w:type="dxa" w:w="6237"/>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 plain-language summary of the practice, the services, the key concepts and the canonical URLs, written for machine consumption. Adoption of the standard is still partial and it is not a ranking factor, but it costs nothing and several crawlers now request it. More usefully, it forces you to state the entity clearly in one place.</w:t>
            </w:r>
          </w:p>
        </w:tc>
      </w:tr>
      <w:tr>
        <w:trPr>
          <w:tblHeader w:val="false"/>
        </w:trPr>
        <w:tc>
          <w:tcPr>
            <w:tcW w:type="dxa" w:w="253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robots.txt with explicit AI crawler permissions</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Done</w:t>
            </w:r>
          </w:p>
        </w:tc>
        <w:tc>
          <w:tcPr>
            <w:tcW w:type="dxa" w:w="6237"/>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GPTBot, OAI-SearchBot, ChatGPT-User, ClaudeBot, Claude-User, PerplexityBot, Perplexity-User, Google-Extended, Applebot-Extended, CCBot and Bingbot are all named and allowed. A wildcard allow already covered them, but naming them removes any ambiguity and documents the intent for whoever maintains the site next.</w:t>
            </w:r>
          </w:p>
        </w:tc>
      </w:tr>
      <w:tr>
        <w:trPr>
          <w:tblHeader w:val="false"/>
        </w:trPr>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Page weight reduced by 92 per cent</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Done</w:t>
            </w:r>
          </w:p>
        </w:tc>
        <w:tc>
          <w:tcPr>
            <w:tcW w:type="dxa" w:w="6237"/>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homepage went from 5.82MB to 490KB and every page is now under 500KB. AI fetchers time out far more aggressively than Googlebot. A multi-megabyte page is not slow to them, it is invisible.</w:t>
            </w:r>
          </w:p>
        </w:tc>
      </w:tr>
      <w:tr>
        <w:trPr>
          <w:tblHeader w:val="false"/>
        </w:trPr>
        <w:tc>
          <w:tcPr>
            <w:tcW w:type="dxa" w:w="253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JSON-LD structured data</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In place</w:t>
            </w:r>
          </w:p>
        </w:tc>
        <w:tc>
          <w:tcPr>
            <w:tcW w:type="dxa" w:w="6237"/>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Organization, Person, WebSite and WebPage schema. Machine-readable statements of who you are, what you do and how the pages relate. Directly feeds entity resolution.</w:t>
            </w:r>
          </w:p>
        </w:tc>
      </w:tr>
      <w:tr>
        <w:trPr>
          <w:tblHeader w:val="false"/>
        </w:trPr>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Semantic HTML, one H1 per page, descriptive alt text</w:t>
            </w:r>
          </w:p>
        </w:tc>
        <w:tc>
          <w:tcPr>
            <w:tcW w:type="dxa" w:w="97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Done</w:t>
            </w:r>
          </w:p>
        </w:tc>
        <w:tc>
          <w:tcPr>
            <w:tcW w:type="dxa" w:w="6237"/>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Clean heading hierarchy is what chunking algorithms use to decide where one passage ends and the next begins. Bad heading structure produces bad chunks, which produce no citations.</w:t>
            </w:r>
          </w:p>
        </w:tc>
      </w:tr>
      <w:tr>
        <w:trPr>
          <w:tblHeader w:val="false"/>
        </w:trPr>
        <w:tc>
          <w:tcPr>
            <w:tcW w:type="dxa" w:w="253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Sitemap and clean URLs</w:t>
            </w:r>
          </w:p>
        </w:tc>
        <w:tc>
          <w:tcPr>
            <w:tcW w:type="dxa" w:w="97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In place</w:t>
            </w:r>
          </w:p>
        </w:tc>
        <w:tc>
          <w:tcPr>
            <w:tcW w:type="dxa" w:w="6237"/>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Standard, but worth confirming after any redesign.</w:t>
            </w:r>
          </w:p>
        </w:tc>
      </w:tr>
    </w:tbl>
    <w:p>
      <w:pPr>
        <w:spacing w:after="200"/>
      </w:pPr>
    </w:p>
    <w:p>
      <w:pPr>
        <w:pStyle w:val="Heading2"/>
        <w:spacing w:after="120" w:before="300"/>
      </w:pPr>
      <w:r>
        <w:rPr>
          <w:rFonts w:ascii="Calibri" w:cs="Calibri" w:eastAsia="Calibri" w:hAnsi="Calibri"/>
          <w:b/>
          <w:bCs/>
          <w:color w:val="16485A"/>
          <w:sz w:val="25"/>
          <w:szCs w:val="25"/>
        </w:rPr>
        <w:t xml:space="preserve">Three technical items still worth adding</w:t>
      </w:r>
    </w:p>
    <w:p>
      <w:pPr>
        <w:spacing w:after="140" w:line="276"/>
      </w:pPr>
      <w:r>
        <w:rPr>
          <w:rFonts w:ascii="Calibri" w:cs="Calibri" w:eastAsia="Calibri" w:hAnsi="Calibri"/>
          <w:color w:val="22292F"/>
          <w:sz w:val="21"/>
          <w:szCs w:val="21"/>
        </w:rPr>
        <w:t xml:space="preserve">None urgent, all cheap.</w:t>
      </w:r>
    </w:p>
    <w:p>
      <w:pPr>
        <w:pStyle w:val="ListParagraph"/>
        <w:numPr>
          <w:ilvl w:val="0"/>
          <w:numId w:val="2"/>
        </w:numPr>
        <w:spacing w:after="70" w:line="276"/>
      </w:pPr>
      <w:r>
        <w:rPr>
          <w:rFonts w:ascii="Calibri" w:cs="Calibri" w:eastAsia="Calibri" w:hAnsi="Calibri"/>
          <w:color w:val="22292F"/>
          <w:sz w:val="21"/>
          <w:szCs w:val="21"/>
        </w:rPr>
        <w:t xml:space="preserve">FAQPage schema on the three resource guides. Each guide already answers several implicit questions. Making them explicit, with an FAQ block and matching schema, gives retrieval systems pre-chunked question-and-answer pairs, which is the format they handle best.</w:t>
      </w:r>
    </w:p>
    <w:p>
      <w:pPr>
        <w:pStyle w:val="ListParagraph"/>
        <w:numPr>
          <w:ilvl w:val="0"/>
          <w:numId w:val="2"/>
        </w:numPr>
        <w:spacing w:after="70" w:line="276"/>
      </w:pPr>
      <w:r>
        <w:rPr>
          <w:rFonts w:ascii="Calibri" w:cs="Calibri" w:eastAsia="Calibri" w:hAnsi="Calibri"/>
          <w:color w:val="22292F"/>
          <w:sz w:val="21"/>
          <w:szCs w:val="21"/>
        </w:rPr>
        <w:t xml:space="preserve">Visible "last updated" dates on the guides, not just in the metadata. Models read the rendered page. A date in the HTML that a human can see is a date the model can see.</w:t>
      </w:r>
    </w:p>
    <w:p>
      <w:pPr>
        <w:pStyle w:val="ListParagraph"/>
        <w:numPr>
          <w:ilvl w:val="0"/>
          <w:numId w:val="2"/>
        </w:numPr>
        <w:spacing w:after="70" w:line="276"/>
      </w:pPr>
      <w:r>
        <w:rPr>
          <w:rFonts w:ascii="Calibri" w:cs="Calibri" w:eastAsia="Calibri" w:hAnsi="Calibri"/>
          <w:color w:val="22292F"/>
          <w:sz w:val="21"/>
          <w:szCs w:val="21"/>
        </w:rPr>
        <w:t xml:space="preserve">A server log check, once a quarter, for hits from GPTBot, ClaudeBot, PerplexityBot and OAI-SearchBot. This tells you directly whether the AI crawlers are visiting and what they are reading. On Vercel this is available in the analytics or log drain; it is the cheapest diagnostic you have and almost nobody looks at it.</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4. The content layer: writing for extraction</w:t>
      </w:r>
    </w:p>
    <w:p>
      <w:pPr>
        <w:spacing w:after="140" w:line="276"/>
      </w:pPr>
      <w:r>
        <w:rPr>
          <w:rFonts w:ascii="Calibri" w:cs="Calibri" w:eastAsia="Calibri" w:hAnsi="Calibri"/>
          <w:color w:val="22292F"/>
          <w:sz w:val="21"/>
          <w:szCs w:val="21"/>
        </w:rPr>
        <w:t xml:space="preserve">This is the part that requires a change in habit rather than a change in configuration, and it is where most of the available gain sits. The good news is that writing for extraction and writing clearly are almost the same thing. The discipline improves the pages for human readers too.</w:t>
      </w:r>
    </w:p>
    <w:p>
      <w:pPr>
        <w:pStyle w:val="Heading2"/>
        <w:spacing w:after="120" w:before="300"/>
      </w:pPr>
      <w:r>
        <w:rPr>
          <w:rFonts w:ascii="Calibri" w:cs="Calibri" w:eastAsia="Calibri" w:hAnsi="Calibri"/>
          <w:b/>
          <w:bCs/>
          <w:color w:val="16485A"/>
          <w:sz w:val="25"/>
          <w:szCs w:val="25"/>
        </w:rPr>
        <w:t xml:space="preserve">Six rules for every page from now on</w:t>
      </w:r>
    </w:p>
    <w:p>
      <w:pPr>
        <w:pStyle w:val="Heading3"/>
        <w:spacing w:after="90" w:before="220"/>
      </w:pPr>
      <w:r>
        <w:rPr>
          <w:rFonts w:ascii="Calibri" w:cs="Calibri" w:eastAsia="Calibri" w:hAnsi="Calibri"/>
          <w:b/>
          <w:bCs/>
          <w:color w:val="12213A"/>
          <w:sz w:val="22"/>
          <w:szCs w:val="22"/>
        </w:rPr>
        <w:t xml:space="preserve">Rule 1: question-shaped headings</w:t>
      </w:r>
    </w:p>
    <w:p>
      <w:pPr>
        <w:spacing w:after="140" w:line="276"/>
      </w:pPr>
      <w:r>
        <w:rPr>
          <w:rFonts w:ascii="Calibri" w:cs="Calibri" w:eastAsia="Calibri" w:hAnsi="Calibri"/>
          <w:color w:val="22292F"/>
          <w:sz w:val="21"/>
          <w:szCs w:val="21"/>
        </w:rPr>
        <w:t xml:space="preserve">Turn section headings into the question the section answers. "Governance" becomes "Who signs off an AI-drafted bid response?". "Implementation" becomes "Where should a bid team start with AI?". This does two things: it matches the shape of the query, and it forces you to check that the section actually answers something.</w:t>
      </w:r>
    </w:p>
    <w:p>
      <w:pPr>
        <w:pStyle w:val="Heading3"/>
        <w:spacing w:after="90" w:before="220"/>
      </w:pPr>
      <w:r>
        <w:rPr>
          <w:rFonts w:ascii="Calibri" w:cs="Calibri" w:eastAsia="Calibri" w:hAnsi="Calibri"/>
          <w:b/>
          <w:bCs/>
          <w:color w:val="12213A"/>
          <w:sz w:val="22"/>
          <w:szCs w:val="22"/>
        </w:rPr>
        <w:t xml:space="preserve">Rule 2: answer first, then explain</w:t>
      </w:r>
    </w:p>
    <w:p>
      <w:pPr>
        <w:spacing w:after="140" w:line="276"/>
      </w:pPr>
      <w:r>
        <w:rPr>
          <w:rFonts w:ascii="Calibri" w:cs="Calibri" w:eastAsia="Calibri" w:hAnsi="Calibri"/>
          <w:color w:val="22292F"/>
          <w:sz w:val="21"/>
          <w:szCs w:val="21"/>
        </w:rPr>
        <w:t xml:space="preserve">The first forty to sixty words under each heading should be a complete, standalone answer to the heading. Then elaborate. This is the opposite of good essay structure, where you build to the point, and it takes some getting used to. It is also how any retrieval system decides whether a passage is an answer.</w:t>
      </w:r>
    </w:p>
    <w:p>
      <w:pPr>
        <w:spacing w:after="100"/>
      </w:pP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4873"/>
        <w:gridCol w:w="4873"/>
      </w:tblGrid>
      <w:tr>
        <w:trPr>
          <w:tblHeader/>
        </w:trPr>
        <w:tc>
          <w:tcPr>
            <w:tcW w:type="dxa" w:w="4873"/>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Not this</w:t>
            </w:r>
          </w:p>
        </w:tc>
        <w:tc>
          <w:tcPr>
            <w:tcW w:type="dxa" w:w="4873"/>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This</w:t>
            </w:r>
          </w:p>
        </w:tc>
      </w:tr>
      <w:tr>
        <w:trPr>
          <w:tblHeader w:val="false"/>
        </w:trPr>
        <w:tc>
          <w:tcPr>
            <w:tcW w:type="dxa" w:w="4873"/>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"There has been a great deal of discussion recently about where organisations ought to begin when they consider introducing artificial intelligence into their bid processes, and the honest answer is that it depends considerably on context..."</w:t>
            </w:r>
          </w:p>
        </w:tc>
        <w:tc>
          <w:tcPr>
            <w:tcW w:type="dxa" w:w="4873"/>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"Start with a single, repeatable, low-risk task that a bid team already does badly under time pressure. Compliance matrix construction is usually the right first use case: it is rule-bound, it is checkable, it fails visibly rather than silently, and nobody will defend the current process. Here is why each of those properties matters..."</w:t>
            </w:r>
          </w:p>
        </w:tc>
      </w:tr>
    </w:tbl>
    <w:p>
      <w:pPr>
        <w:spacing w:after="200"/>
      </w:pPr>
    </w:p>
    <w:p>
      <w:pPr>
        <w:pStyle w:val="Heading3"/>
        <w:spacing w:after="90" w:before="220"/>
      </w:pPr>
      <w:r>
        <w:rPr>
          <w:rFonts w:ascii="Calibri" w:cs="Calibri" w:eastAsia="Calibri" w:hAnsi="Calibri"/>
          <w:b/>
          <w:bCs/>
          <w:color w:val="12213A"/>
          <w:sz w:val="22"/>
          <w:szCs w:val="22"/>
        </w:rPr>
        <w:t xml:space="preserve">Rule 3: define your terms in place</w:t>
      </w:r>
    </w:p>
    <w:p>
      <w:pPr>
        <w:spacing w:after="140" w:line="276"/>
      </w:pPr>
      <w:r>
        <w:rPr>
          <w:rFonts w:ascii="Calibri" w:cs="Calibri" w:eastAsia="Calibri" w:hAnsi="Calibri"/>
          <w:color w:val="22292F"/>
          <w:sz w:val="21"/>
          <w:szCs w:val="21"/>
        </w:rPr>
        <w:t xml:space="preserve">Every time you use one of your own terms, define it in the same sentence or the one after, even if you defined it earlier on the page. Repetition that feels slightly redundant to a human reader is what makes each chunk independently intelligible. "An AI-augmented bid practice, meaning a bid operating model designed jointly around people and agents rather than an existing process with tools bolted on, differs from..."</w:t>
      </w:r>
    </w:p>
    <w:p>
      <w:pPr>
        <w:pStyle w:val="Heading3"/>
        <w:spacing w:after="90" w:before="220"/>
      </w:pPr>
      <w:r>
        <w:rPr>
          <w:rFonts w:ascii="Calibri" w:cs="Calibri" w:eastAsia="Calibri" w:hAnsi="Calibri"/>
          <w:b/>
          <w:bCs/>
          <w:color w:val="12213A"/>
          <w:sz w:val="22"/>
          <w:szCs w:val="22"/>
        </w:rPr>
        <w:t xml:space="preserve">Rule 4: use tables and numbered steps</w:t>
      </w:r>
    </w:p>
    <w:p>
      <w:pPr>
        <w:spacing w:after="140" w:line="276"/>
      </w:pPr>
      <w:r>
        <w:rPr>
          <w:rFonts w:ascii="Calibri" w:cs="Calibri" w:eastAsia="Calibri" w:hAnsi="Calibri"/>
          <w:color w:val="22292F"/>
          <w:sz w:val="21"/>
          <w:szCs w:val="21"/>
        </w:rPr>
        <w:t xml:space="preserve">Structured content extracts cleanly and gets quoted disproportionately often. A comparison table, a maturity scale, a five-step process with numbered steps. These survive chunking intact in a way that flowing prose does not, and answer engines reproduce them readily because the structure does the summarising work for them.</w:t>
      </w:r>
    </w:p>
    <w:p>
      <w:pPr>
        <w:pStyle w:val="Heading3"/>
        <w:spacing w:after="90" w:before="220"/>
      </w:pPr>
      <w:r>
        <w:rPr>
          <w:rFonts w:ascii="Calibri" w:cs="Calibri" w:eastAsia="Calibri" w:hAnsi="Calibri"/>
          <w:b/>
          <w:bCs/>
          <w:color w:val="12213A"/>
          <w:sz w:val="22"/>
          <w:szCs w:val="22"/>
        </w:rPr>
        <w:t xml:space="preserve">Rule 5: put a number on it wherever you honestly can</w:t>
      </w:r>
    </w:p>
    <w:p>
      <w:pPr>
        <w:spacing w:after="140" w:line="276"/>
      </w:pPr>
      <w:r>
        <w:rPr>
          <w:rFonts w:ascii="Calibri" w:cs="Calibri" w:eastAsia="Calibri" w:hAnsi="Calibri"/>
          <w:color w:val="22292F"/>
          <w:sz w:val="21"/>
          <w:szCs w:val="21"/>
        </w:rPr>
        <w:t xml:space="preserve">Not invented numbers. But most of your claims have a quantifiable version available: how many stages, how many decision points, what proportion of bid effort goes where, how long a typical cycle runs. Where you have direct experience, say so with specificity: "in fifteen years running bids at bp, RWE and Bouygues" is a citable credential in a way that "extensive experience" is not.</w:t>
      </w:r>
    </w:p>
    <w:p>
      <w:pPr>
        <w:pStyle w:val="Heading3"/>
        <w:spacing w:after="90" w:before="220"/>
      </w:pPr>
      <w:r>
        <w:rPr>
          <w:rFonts w:ascii="Calibri" w:cs="Calibri" w:eastAsia="Calibri" w:hAnsi="Calibri"/>
          <w:b/>
          <w:bCs/>
          <w:color w:val="12213A"/>
          <w:sz w:val="22"/>
          <w:szCs w:val="22"/>
        </w:rPr>
        <w:t xml:space="preserve">Rule 6: state the credential near the claim</w:t>
      </w:r>
    </w:p>
    <w:p>
      <w:pPr>
        <w:spacing w:after="140" w:line="276"/>
      </w:pPr>
      <w:r>
        <w:rPr>
          <w:rFonts w:ascii="Calibri" w:cs="Calibri" w:eastAsia="Calibri" w:hAnsi="Calibri"/>
          <w:color w:val="22292F"/>
          <w:sz w:val="21"/>
          <w:szCs w:val="21"/>
        </w:rPr>
        <w:t xml:space="preserve">Models look for evidence of expertise adjacent to the assertion, not on a separate about page. An author line, a byline sentence, or a parenthetical that connects the person making the claim to the reason they are qualified to make it. This is the mechanism by which the model decides your page is worth citing over a content-farm article on the same topic.</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5. Owning your vocabulary</w:t>
      </w:r>
    </w:p>
    <w:p>
      <w:pPr>
        <w:spacing w:after="140" w:line="276"/>
      </w:pPr>
      <w:r>
        <w:rPr>
          <w:rFonts w:ascii="Calibri" w:cs="Calibri" w:eastAsia="Calibri" w:hAnsi="Calibri"/>
          <w:color w:val="22292F"/>
          <w:sz w:val="21"/>
          <w:szCs w:val="21"/>
        </w:rPr>
        <w:t xml:space="preserve">This is the most distinctive opportunity you have, and it is worth treating as a deliberate campaign rather than a side effect.</w:t>
      </w:r>
    </w:p>
    <w:p>
      <w:pPr>
        <w:spacing w:after="140" w:line="276"/>
      </w:pPr>
      <w:r>
        <w:rPr>
          <w:rFonts w:ascii="Calibri" w:cs="Calibri" w:eastAsia="Calibri" w:hAnsi="Calibri"/>
          <w:color w:val="22292F"/>
          <w:sz w:val="21"/>
          <w:szCs w:val="21"/>
        </w:rPr>
        <w:t xml:space="preserve">You have already coined or adopted a small set of terms that structure your argument. When someone asks a model what one of those terms means, the model has to cite whoever defined it. If that is you, every use of the term by anyone else becomes an inbound path to your practice. Terms are, in effect, the cheapest permanent asset in the whole strategy.</w:t>
      </w:r>
    </w:p>
    <w:p>
      <w:pPr>
        <w:spacing w:after="140"/>
      </w:pP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339"/>
        <w:gridCol w:w="3119"/>
        <w:gridCol w:w="4288"/>
      </w:tblGrid>
      <w:tr>
        <w:trPr>
          <w:tblHeader/>
        </w:trPr>
        <w:tc>
          <w:tcPr>
            <w:tcW w:type="dxa" w:w="2339"/>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Term</w:t>
            </w:r>
          </w:p>
        </w:tc>
        <w:tc>
          <w:tcPr>
            <w:tcW w:type="dxa" w:w="3119"/>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Ownership position</w:t>
            </w:r>
          </w:p>
        </w:tc>
        <w:tc>
          <w:tcPr>
            <w:tcW w:type="dxa" w:w="4288"/>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What to do</w:t>
            </w:r>
          </w:p>
        </w:tc>
      </w:tr>
      <w:tr>
        <w:trPr>
          <w:tblHeader w:val="false"/>
        </w:trPr>
        <w:tc>
          <w:tcPr>
            <w:tcW w:type="dxa" w:w="233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AI-augmented bid practice</w:t>
            </w:r>
          </w:p>
        </w:tc>
        <w:tc>
          <w:tcPr>
            <w:tcW w:type="dxa" w:w="311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Strong. Distinctive phrasing, closely associated with you already, no established competing definition.</w:t>
            </w:r>
          </w:p>
        </w:tc>
        <w:tc>
          <w:tcPr>
            <w:tcW w:type="dxa" w:w="428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Build a canonical definition page at a stable URL. Open with a one-sentence definition, then what it is not, then the components, then how it differs from adding tools to an existing process. Link every other use of the term on the site to it.</w:t>
            </w:r>
          </w:p>
        </w:tc>
      </w:tr>
      <w:tr>
        <w:trPr>
          <w:tblHeader w:val="false"/>
        </w:trPr>
        <w:tc>
          <w:tcPr>
            <w:tcW w:type="dxa" w:w="233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Governed bid delivery framework</w:t>
            </w:r>
          </w:p>
        </w:tc>
        <w:tc>
          <w:tcPr>
            <w:tcW w:type="dxa" w:w="311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Strong and highly distinctive. The most defensible term you have.</w:t>
            </w:r>
          </w:p>
        </w:tc>
        <w:tc>
          <w:tcPr>
            <w:tcW w:type="dxa" w:w="428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Same treatment, plus a diagram. This is the concept that most needs a picture: direction, execution, validation and governance as a layer around the model. Publish the diagram at a stable URL with a visible source line.</w:t>
            </w:r>
          </w:p>
        </w:tc>
      </w:tr>
      <w:tr>
        <w:trPr>
          <w:tblHeader w:val="false"/>
        </w:trPr>
        <w:tc>
          <w:tcPr>
            <w:tcW w:type="dxa" w:w="233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Capture, pursuit and proposal, handover and learning</w:t>
            </w:r>
          </w:p>
        </w:tc>
        <w:tc>
          <w:tcPr>
            <w:tcW w:type="dxa" w:w="311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Moderate. The individual stages are common industry language; your three-stage framing of them is not.</w:t>
            </w:r>
          </w:p>
        </w:tc>
        <w:tc>
          <w:tcPr>
            <w:tcW w:type="dxa" w:w="428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Own the framing rather than the words. A page that presents the three stages as a single named lifecycle, with the decision rights marked at each transition, is what gets cited.</w:t>
            </w:r>
          </w:p>
        </w:tc>
      </w:tr>
      <w:tr>
        <w:trPr>
          <w:tblHeader w:val="false"/>
        </w:trPr>
        <w:tc>
          <w:tcPr>
            <w:tcW w:type="dxa" w:w="233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Human in the loop</w:t>
            </w:r>
          </w:p>
        </w:tc>
        <w:tc>
          <w:tcPr>
            <w:tcW w:type="dxa" w:w="311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None. Widely used across the whole AI field, and you will not own it.</w:t>
            </w:r>
          </w:p>
        </w:tc>
        <w:tc>
          <w:tcPr>
            <w:tcW w:type="dxa" w:w="428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Do not compete for the definition. Instead, own a specific application of it: what human-in-the-loop means concretely in bid governance, which named roles hold which approvals. That is a question nobody else is answering.</w:t>
            </w:r>
          </w:p>
        </w:tc>
      </w:tr>
    </w:tbl>
    <w:p>
      <w:pPr>
        <w:spacing w:after="200"/>
      </w:pPr>
    </w:p>
    <w:p>
      <w:pPr>
        <w:pStyle w:val="Heading2"/>
        <w:spacing w:after="120" w:before="300"/>
      </w:pPr>
      <w:r>
        <w:rPr>
          <w:rFonts w:ascii="Calibri" w:cs="Calibri" w:eastAsia="Calibri" w:hAnsi="Calibri"/>
          <w:b/>
          <w:bCs/>
          <w:color w:val="16485A"/>
          <w:sz w:val="25"/>
          <w:szCs w:val="25"/>
        </w:rPr>
        <w:t xml:space="preserve">Making the terms travel</w:t>
      </w:r>
    </w:p>
    <w:p>
      <w:pPr>
        <w:spacing w:after="140" w:line="276"/>
      </w:pPr>
      <w:r>
        <w:rPr>
          <w:rFonts w:ascii="Calibri" w:cs="Calibri" w:eastAsia="Calibri" w:hAnsi="Calibri"/>
          <w:color w:val="22292F"/>
          <w:sz w:val="21"/>
          <w:szCs w:val="21"/>
        </w:rPr>
        <w:t xml:space="preserve">A definition page nobody else references is a dictionary of one. The term becomes real when it appears in other people's writing, which is where this document and the backlink strategy join up.</w:t>
      </w:r>
    </w:p>
    <w:p>
      <w:pPr>
        <w:pStyle w:val="ListParagraph"/>
        <w:numPr>
          <w:ilvl w:val="0"/>
          <w:numId w:val="3"/>
        </w:numPr>
        <w:spacing w:after="70" w:line="276"/>
      </w:pPr>
      <w:r>
        <w:rPr>
          <w:rFonts w:ascii="Calibri" w:cs="Calibri" w:eastAsia="Calibri" w:hAnsi="Calibri"/>
          <w:color w:val="22292F"/>
          <w:sz w:val="21"/>
          <w:szCs w:val="21"/>
        </w:rPr>
        <w:t xml:space="preserve">Use the term consistently in every guest article, podcast appearance and LinkedIn post. Consistency is more important than frequency.</w:t>
      </w:r>
    </w:p>
    <w:p>
      <w:pPr>
        <w:pStyle w:val="ListParagraph"/>
        <w:numPr>
          <w:ilvl w:val="0"/>
          <w:numId w:val="3"/>
        </w:numPr>
        <w:spacing w:after="70" w:line="276"/>
      </w:pPr>
      <w:r>
        <w:rPr>
          <w:rFonts w:ascii="Calibri" w:cs="Calibri" w:eastAsia="Calibri" w:hAnsi="Calibri"/>
          <w:color w:val="22292F"/>
          <w:sz w:val="21"/>
          <w:szCs w:val="21"/>
        </w:rPr>
        <w:t xml:space="preserve">When someone else uses it, thank them publicly and link to their piece. This is cheap and it encourages repetition.</w:t>
      </w:r>
    </w:p>
    <w:p>
      <w:pPr>
        <w:pStyle w:val="ListParagraph"/>
        <w:numPr>
          <w:ilvl w:val="0"/>
          <w:numId w:val="3"/>
        </w:numPr>
        <w:spacing w:after="70" w:line="276"/>
      </w:pPr>
      <w:r>
        <w:rPr>
          <w:rFonts w:ascii="Calibri" w:cs="Calibri" w:eastAsia="Calibri" w:hAnsi="Calibri"/>
          <w:color w:val="22292F"/>
          <w:sz w:val="21"/>
          <w:szCs w:val="21"/>
        </w:rPr>
        <w:t xml:space="preserve">Put the term in the title of at least one piece of published research, so it enters the citation record attached to data.</w:t>
      </w:r>
    </w:p>
    <w:p>
      <w:pPr>
        <w:pStyle w:val="ListParagraph"/>
        <w:numPr>
          <w:ilvl w:val="0"/>
          <w:numId w:val="3"/>
        </w:numPr>
        <w:spacing w:after="70" w:line="276"/>
      </w:pPr>
      <w:r>
        <w:rPr>
          <w:rFonts w:ascii="Calibri" w:cs="Calibri" w:eastAsia="Calibri" w:hAnsi="Calibri"/>
          <w:color w:val="22292F"/>
          <w:sz w:val="21"/>
          <w:szCs w:val="21"/>
        </w:rPr>
        <w:t xml:space="preserve">Add each term to the llms.txt key-concepts section as it stabilises. That file already carries four of them.</w:t>
      </w:r>
    </w:p>
    <w:p>
      <w:pPr>
        <w:pStyle w:val="ListParagraph"/>
        <w:numPr>
          <w:ilvl w:val="0"/>
          <w:numId w:val="3"/>
        </w:numPr>
        <w:spacing w:after="70" w:line="276"/>
      </w:pPr>
      <w:r>
        <w:rPr>
          <w:rFonts w:ascii="Calibri" w:cs="Calibri" w:eastAsia="Calibri" w:hAnsi="Calibri"/>
          <w:color w:val="22292F"/>
          <w:sz w:val="21"/>
          <w:szCs w:val="21"/>
        </w:rPr>
        <w:t xml:space="preserve">Resist the temptation to coin more. Four terms used relentlessly will land; twelve terms used occasionally will not.</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6. The off-site layer</w:t>
      </w:r>
    </w:p>
    <w:p>
      <w:pPr>
        <w:spacing w:after="140" w:line="276"/>
      </w:pPr>
      <w:r>
        <w:rPr>
          <w:rFonts w:ascii="Calibri" w:cs="Calibri" w:eastAsia="Calibri" w:hAnsi="Calibri"/>
          <w:color w:val="22292F"/>
          <w:sz w:val="21"/>
          <w:szCs w:val="21"/>
        </w:rPr>
        <w:t xml:space="preserve">Your own site is roughly a third of the citation problem. The rest is what the wider web says about you, and answer engines draw on some sources far more heavily than the corresponding search rankings would suggest.</w:t>
      </w:r>
    </w:p>
    <w:p>
      <w:pPr>
        <w:pStyle w:val="Heading2"/>
        <w:spacing w:after="120" w:before="300"/>
      </w:pPr>
      <w:r>
        <w:rPr>
          <w:rFonts w:ascii="Calibri" w:cs="Calibri" w:eastAsia="Calibri" w:hAnsi="Calibri"/>
          <w:b/>
          <w:bCs/>
          <w:color w:val="16485A"/>
          <w:sz w:val="25"/>
          <w:szCs w:val="25"/>
        </w:rPr>
        <w:t xml:space="preserve">Sources that punch above their weight</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1754"/>
        <w:gridCol w:w="3314"/>
        <w:gridCol w:w="4678"/>
      </w:tblGrid>
      <w:tr>
        <w:trPr>
          <w:tblHeader/>
        </w:trPr>
        <w:tc>
          <w:tcPr>
            <w:tcW w:type="dxa" w:w="175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Source</w:t>
            </w:r>
          </w:p>
        </w:tc>
        <w:tc>
          <w:tcPr>
            <w:tcW w:type="dxa" w:w="331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Why models lean on it</w:t>
            </w:r>
          </w:p>
        </w:tc>
        <w:tc>
          <w:tcPr>
            <w:tcW w:type="dxa" w:w="4678"/>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Realistic approach for you</w:t>
            </w:r>
          </w:p>
        </w:tc>
      </w:tr>
      <w:tr>
        <w:trPr>
          <w:tblHeader w:val="false"/>
        </w:trPr>
        <w:tc>
          <w:tcPr>
            <w:tcW w:type="dxa" w:w="175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Reddit</w:t>
            </w:r>
          </w:p>
        </w:tc>
        <w:tc>
          <w:tcPr>
            <w:tcW w:type="dxa" w:w="331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Heavily weighted in Google AI Overviews and frequently retrieved by ChatGPT, because it reads as authentic practitioner experience rather than marketing.</w:t>
            </w:r>
          </w:p>
        </w:tc>
        <w:tc>
          <w:tcPr>
            <w:tcW w:type="dxa" w:w="467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Participate genuinely in r/consulting, r/procurement, r/construction and relevant UK business subreddits. Answer questions properly with no link and no pitch. Mention what you do only when directly asked. This is slow and it is the single most commonly botched tactic; overt self-promotion gets you banned and the ban is permanent.</w:t>
            </w:r>
          </w:p>
        </w:tc>
      </w:tr>
      <w:tr>
        <w:trPr>
          <w:tblHeader w:val="false"/>
        </w:trPr>
        <w:tc>
          <w:tcPr>
            <w:tcW w:type="dxa" w:w="175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LinkedIn</w:t>
            </w:r>
          </w:p>
        </w:tc>
        <w:tc>
          <w:tcPr>
            <w:tcW w:type="dxa" w:w="331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Increasingly retrieved for professional and B2B questions, and it is where your existing audience already is.</w:t>
            </w:r>
          </w:p>
        </w:tc>
        <w:tc>
          <w:tcPr>
            <w:tcW w:type="dxa" w:w="467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Post the newsletter content natively. Comment substantively on other people's posts in the sector. Your LinkedIn presence is probably your strongest existing asset for this whole strategy.</w:t>
            </w:r>
          </w:p>
        </w:tc>
      </w:tr>
      <w:tr>
        <w:trPr>
          <w:tblHeader w:val="false"/>
        </w:trPr>
        <w:tc>
          <w:tcPr>
            <w:tcW w:type="dxa" w:w="175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Podcast transcripts</w:t>
            </w:r>
          </w:p>
        </w:tc>
        <w:tc>
          <w:tcPr>
            <w:tcW w:type="dxa" w:w="331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Transcripts are text, they are indexed, they are long-form, and they attribute claims to a named speaker with a stated credential. Close to ideal source material.</w:t>
            </w:r>
          </w:p>
        </w:tc>
        <w:tc>
          <w:tcPr>
            <w:tcW w:type="dxa" w:w="467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Ask every host whether they publish a transcript. If they do not, offer to supply one. It costs you ten minutes and it converts an audio appearance into a retrievable document.</w:t>
            </w:r>
          </w:p>
        </w:tc>
      </w:tr>
      <w:tr>
        <w:trPr>
          <w:tblHeader w:val="false"/>
        </w:trPr>
        <w:tc>
          <w:tcPr>
            <w:tcW w:type="dxa" w:w="175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YouTube</w:t>
            </w:r>
          </w:p>
        </w:tc>
        <w:tc>
          <w:tcPr>
            <w:tcW w:type="dxa" w:w="331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Auto-transcribed, retrieved by several engines, and Google surfaces it in AI answers.</w:t>
            </w:r>
          </w:p>
        </w:tc>
        <w:tc>
          <w:tcPr>
            <w:tcW w:type="dxa" w:w="467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Even simple screen-recorded explanations of the framework, with a clean description and a link, are worth doing. Production value matters much less than transcript quality.</w:t>
            </w:r>
          </w:p>
        </w:tc>
      </w:tr>
      <w:tr>
        <w:trPr>
          <w:tblHeader w:val="false"/>
        </w:trPr>
        <w:tc>
          <w:tcPr>
            <w:tcW w:type="dxa" w:w="175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Wikidata</w:t>
            </w:r>
          </w:p>
        </w:tc>
        <w:tc>
          <w:tcPr>
            <w:tcW w:type="dxa" w:w="331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Structured entity data, directly consumed by knowledge graphs and heavily represented in training corpora.</w:t>
            </w:r>
          </w:p>
        </w:tc>
        <w:tc>
          <w:tcPr>
            <w:tcW w:type="dxa" w:w="467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Create the item. Low effort, and it is one of the few places you can state the entity in machine-readable form on a third-party authority.</w:t>
            </w:r>
          </w:p>
        </w:tc>
      </w:tr>
      <w:tr>
        <w:trPr>
          <w:tblHeader w:val="false"/>
        </w:trPr>
        <w:tc>
          <w:tcPr>
            <w:tcW w:type="dxa" w:w="175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Trade press and industry publications</w:t>
            </w:r>
          </w:p>
        </w:tc>
        <w:tc>
          <w:tcPr>
            <w:tcW w:type="dxa" w:w="331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High trust weighting, and an attributed quote is exactly the corroboration signal models look for.</w:t>
            </w:r>
          </w:p>
        </w:tc>
        <w:tc>
          <w:tcPr>
            <w:tcW w:type="dxa" w:w="467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Covered in detail in the backlink strategy. Note that here the link matters less than the attributed mention, so a no-link publication is still fully worth pitching.</w:t>
            </w:r>
          </w:p>
        </w:tc>
      </w:tr>
      <w:tr>
        <w:trPr>
          <w:tblHeader w:val="false"/>
        </w:trPr>
        <w:tc>
          <w:tcPr>
            <w:tcW w:type="dxa" w:w="175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Q and A sites</w:t>
            </w:r>
          </w:p>
        </w:tc>
        <w:tc>
          <w:tcPr>
            <w:tcW w:type="dxa" w:w="331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Quora and Stack-style sites still get retrieved, though less than they did.</w:t>
            </w:r>
          </w:p>
        </w:tc>
        <w:tc>
          <w:tcPr>
            <w:tcW w:type="dxa" w:w="467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Low priority. Worth answering two or three genuinely relevant questions well rather than volume posting.</w:t>
            </w:r>
          </w:p>
        </w:tc>
      </w:tr>
    </w:tbl>
    <w:p>
      <w:pPr>
        <w:spacing w:after="200"/>
      </w:pPr>
    </w:p>
    <w:tbl>
      <w:tblPr>
        <w:tblW w:type="dxa" w:w="9746"/>
        <w:tblBorders>
          <w:top w:val="single" w:color="D6DCE5" w:sz="2"/>
          <w:left w:val="single" w:color="16485A" w:sz="18"/>
          <w:bottom w:val="single" w:color="D6DCE5" w:sz="2"/>
          <w:right w:val="single" w:color="D6DCE5" w:sz="2"/>
          <w:insideH w:val="none" w:color="FFFFFF" w:sz="0"/>
          <w:insideV w:val="none" w:color="FFFFFF" w:sz="0"/>
        </w:tblBorders>
      </w:tblPr>
      <w:tblGrid>
        <w:gridCol w:w="9746"/>
      </w:tblGrid>
      <w:tr>
        <w:tc>
          <w:tcPr>
            <w:tcW w:type="dxa" w:w="9746"/>
            <w:shd w:fill="EEF2F7" w:val="clear"/>
            <w:tcMar>
              <w:top w:type="dxa" w:w="140"/>
              <w:left w:type="dxa" w:w="200"/>
              <w:bottom w:type="dxa" w:w="140"/>
              <w:right w:type="dxa" w:w="200"/>
            </w:tcMar>
          </w:tcPr>
          <w:p>
            <w:pPr>
              <w:spacing w:after="60"/>
            </w:pPr>
            <w:r>
              <w:rPr>
                <w:rFonts w:ascii="Calibri" w:cs="Calibri" w:eastAsia="Calibri" w:hAnsi="Calibri"/>
                <w:b/>
                <w:bCs/>
                <w:color w:val="12213A"/>
                <w:sz w:val="21"/>
                <w:szCs w:val="21"/>
              </w:rPr>
              <w:t xml:space="preserve">The one-line version</w:t>
            </w:r>
          </w:p>
          <w:p>
            <w:pPr>
              <w:spacing w:after="0"/>
            </w:pPr>
            <w:r>
              <w:rPr>
                <w:rFonts w:ascii="Calibri" w:cs="Calibri" w:eastAsia="Calibri" w:hAnsi="Calibri"/>
                <w:color w:val="4A5568"/>
                <w:sz w:val="20"/>
                <w:szCs w:val="20"/>
              </w:rPr>
              <w:t xml:space="preserve">You cannot make a model cite you by editing your own website. You make it cite you by being the person that several independent, credible sources describe the same way. The site is where the model confirms what it already suspects.</w:t>
            </w:r>
          </w:p>
        </w:tc>
      </w:tr>
    </w:tbl>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7. Original research: the highest-leverage asset</w:t>
      </w:r>
    </w:p>
    <w:p>
      <w:pPr>
        <w:spacing w:after="140" w:line="276"/>
      </w:pPr>
      <w:r>
        <w:rPr>
          <w:rFonts w:ascii="Calibri" w:cs="Calibri" w:eastAsia="Calibri" w:hAnsi="Calibri"/>
          <w:color w:val="22292F"/>
          <w:sz w:val="21"/>
          <w:szCs w:val="21"/>
        </w:rPr>
        <w:t xml:space="preserve">The benchmark study proposed in the backlink strategy is, if anything, more valuable here than it is there, and for a mechanical reason worth spelling out.</w:t>
      </w:r>
    </w:p>
    <w:p>
      <w:pPr>
        <w:spacing w:after="140" w:line="276"/>
      </w:pPr>
      <w:r>
        <w:rPr>
          <w:rFonts w:ascii="Calibri" w:cs="Calibri" w:eastAsia="Calibri" w:hAnsi="Calibri"/>
          <w:color w:val="22292F"/>
          <w:sz w:val="21"/>
          <w:szCs w:val="21"/>
        </w:rPr>
        <w:t xml:space="preserve">Language models attribute statistics. It is close to a hard rule of how they are trained and reinforced: an unsourced number is a hallucination risk, so a model that has a number with a clear source attached will name the source. If you publish "forty-one per cent of UK contractors have used AI in a live bid submission, Ignis Leadership Bid Practice Benchmark 2027", then every model answering a question about AI adoption in bid teams has a strong incentive to reproduce both the figure and your name. Opinions get absorbed anonymously. Numbers get cited.</w:t>
      </w:r>
    </w:p>
    <w:p>
      <w:pPr>
        <w:spacing w:after="140"/>
      </w:pPr>
    </w:p>
    <w:p>
      <w:pPr>
        <w:pStyle w:val="Heading3"/>
        <w:spacing w:after="90" w:before="220"/>
      </w:pPr>
      <w:r>
        <w:rPr>
          <w:rFonts w:ascii="Calibri" w:cs="Calibri" w:eastAsia="Calibri" w:hAnsi="Calibri"/>
          <w:b/>
          <w:bCs/>
          <w:color w:val="12213A"/>
          <w:sz w:val="22"/>
          <w:szCs w:val="22"/>
        </w:rPr>
        <w:t xml:space="preserve">The publication rules that make it work</w:t>
      </w:r>
    </w:p>
    <w:p>
      <w:pPr>
        <w:pStyle w:val="ListParagraph"/>
        <w:numPr>
          <w:ilvl w:val="0"/>
          <w:numId w:val="2"/>
        </w:numPr>
        <w:spacing w:after="70" w:line="276"/>
      </w:pPr>
      <w:r>
        <w:rPr>
          <w:rFonts w:ascii="Calibri" w:cs="Calibri" w:eastAsia="Calibri" w:hAnsi="Calibri"/>
          <w:color w:val="22292F"/>
          <w:sz w:val="21"/>
          <w:szCs w:val="21"/>
        </w:rPr>
        <w:t xml:space="preserve">Publish the headline findings as an open, indexable HTML page. Not a PDF, not behind a form. A gated PDF is invisible to every retrieval system there is, and gating the whole study is the most common way organisations waste a research investment. Gate the detailed report if you want the email addresses; keep the summary open.</w:t>
      </w:r>
    </w:p>
    <w:p>
      <w:pPr>
        <w:pStyle w:val="ListParagraph"/>
        <w:numPr>
          <w:ilvl w:val="0"/>
          <w:numId w:val="2"/>
        </w:numPr>
        <w:spacing w:after="70" w:line="276"/>
      </w:pPr>
      <w:r>
        <w:rPr>
          <w:rFonts w:ascii="Calibri" w:cs="Calibri" w:eastAsia="Calibri" w:hAnsi="Calibri"/>
          <w:color w:val="22292F"/>
          <w:sz w:val="21"/>
          <w:szCs w:val="21"/>
        </w:rPr>
        <w:t xml:space="preserve">State each headline finding as a single complete sentence containing the number, the population, the year and the source. Write these to be lifted verbatim, because they will be.</w:t>
      </w:r>
    </w:p>
    <w:p>
      <w:pPr>
        <w:pStyle w:val="ListParagraph"/>
        <w:numPr>
          <w:ilvl w:val="0"/>
          <w:numId w:val="2"/>
        </w:numPr>
        <w:spacing w:after="70" w:line="276"/>
      </w:pPr>
      <w:r>
        <w:rPr>
          <w:rFonts w:ascii="Calibri" w:cs="Calibri" w:eastAsia="Calibri" w:hAnsi="Calibri"/>
          <w:color w:val="22292F"/>
          <w:sz w:val="21"/>
          <w:szCs w:val="21"/>
        </w:rPr>
        <w:t xml:space="preserve">Put the methodology on the same page: sample size, respondent profile, fieldwork dates, how they were recruited. Models weight sourced claims with visible methodology considerably higher, and an honest small sample stated plainly is more citable than a large one left vague.</w:t>
      </w:r>
    </w:p>
    <w:p>
      <w:pPr>
        <w:pStyle w:val="ListParagraph"/>
        <w:numPr>
          <w:ilvl w:val="0"/>
          <w:numId w:val="2"/>
        </w:numPr>
        <w:spacing w:after="70" w:line="276"/>
      </w:pPr>
      <w:r>
        <w:rPr>
          <w:rFonts w:ascii="Calibri" w:cs="Calibri" w:eastAsia="Calibri" w:hAnsi="Calibri"/>
          <w:color w:val="22292F"/>
          <w:sz w:val="21"/>
          <w:szCs w:val="21"/>
        </w:rPr>
        <w:t xml:space="preserve">Give the study a name that includes your practice name, so the citation carries the brand even when the link does not.</w:t>
      </w:r>
    </w:p>
    <w:p>
      <w:pPr>
        <w:pStyle w:val="ListParagraph"/>
        <w:numPr>
          <w:ilvl w:val="0"/>
          <w:numId w:val="2"/>
        </w:numPr>
        <w:spacing w:after="70" w:line="276"/>
      </w:pPr>
      <w:r>
        <w:rPr>
          <w:rFonts w:ascii="Calibri" w:cs="Calibri" w:eastAsia="Calibri" w:hAnsi="Calibri"/>
          <w:color w:val="22292F"/>
          <w:sz w:val="21"/>
          <w:szCs w:val="21"/>
        </w:rPr>
        <w:t xml:space="preserve">Repeat annually. Trend data is more citable than a snapshot, and the second edition inherits the citations of the first.</w:t>
      </w:r>
    </w:p>
    <w:p>
      <w:pPr>
        <w:spacing w:after="160"/>
      </w:pPr>
    </w:p>
    <w:p>
      <w:pPr>
        <w:spacing w:after="140" w:line="276"/>
      </w:pPr>
      <w:r>
        <w:rPr>
          <w:rFonts w:ascii="Calibri" w:cs="Calibri" w:eastAsia="Calibri" w:hAnsi="Calibri"/>
          <w:b/>
          <w:bCs/>
          <w:color w:val="22292F"/>
          <w:sz w:val="21"/>
          <w:szCs w:val="21"/>
        </w:rPr>
        <w:t xml:space="preserve">If you do nothing else from this document beyond the technical work already completed, do this. One study with an open summary page will do more for AI citation than a year of optimising existing content.</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8. Measurement</w:t>
      </w:r>
    </w:p>
    <w:p>
      <w:pPr>
        <w:spacing w:after="140" w:line="276"/>
      </w:pPr>
      <w:r>
        <w:rPr>
          <w:rFonts w:ascii="Calibri" w:cs="Calibri" w:eastAsia="Calibri" w:hAnsi="Calibri"/>
          <w:color w:val="22292F"/>
          <w:sz w:val="21"/>
          <w:szCs w:val="21"/>
        </w:rPr>
        <w:t xml:space="preserve">There is no Search Console for answer engines. Nobody has built a reliable equivalent yet and the tools claiming to do it are mostly running the same manual process described below, at a price. Do it yourself, monthly, in about forty-five minutes.</w:t>
      </w:r>
    </w:p>
    <w:p>
      <w:pPr>
        <w:pStyle w:val="Heading2"/>
        <w:spacing w:after="120" w:before="300"/>
      </w:pPr>
      <w:r>
        <w:rPr>
          <w:rFonts w:ascii="Calibri" w:cs="Calibri" w:eastAsia="Calibri" w:hAnsi="Calibri"/>
          <w:b/>
          <w:bCs/>
          <w:color w:val="16485A"/>
          <w:sz w:val="25"/>
          <w:szCs w:val="25"/>
        </w:rPr>
        <w:t xml:space="preserve">The prompt panel</w:t>
      </w:r>
    </w:p>
    <w:p>
      <w:pPr>
        <w:spacing w:after="140" w:line="276"/>
      </w:pPr>
      <w:r>
        <w:rPr>
          <w:rFonts w:ascii="Calibri" w:cs="Calibri" w:eastAsia="Calibri" w:hAnsi="Calibri"/>
          <w:color w:val="22292F"/>
          <w:sz w:val="21"/>
          <w:szCs w:val="21"/>
        </w:rPr>
        <w:t xml:space="preserve">Fix a list of test prompts. Run every prompt on every platform, once a month, in a fresh session with no memory or personalisation active. Record whether Ignis Leadership or Yorik Tisseau is named, whether the site is linked, roughly where in the answer, and which competitors appear instead. Log it in a simple grid: prompt down the side, platform across the top, one tab per month.</w:t>
      </w:r>
    </w:p>
    <w:p>
      <w:pPr>
        <w:spacing w:after="140" w:line="276"/>
      </w:pPr>
      <w:r>
        <w:rPr>
          <w:rFonts w:ascii="Calibri" w:cs="Calibri" w:eastAsia="Calibri" w:hAnsi="Calibri"/>
          <w:color w:val="22292F"/>
          <w:sz w:val="21"/>
          <w:szCs w:val="21"/>
        </w:rPr>
        <w:t xml:space="preserve">Use a clean browser profile or a logged-out session. Testing while signed into an account that has been reading your site all week produces a flattering and useless result.</w:t>
      </w:r>
    </w:p>
    <w:p>
      <w:pPr>
        <w:spacing w:after="140"/>
      </w:pPr>
    </w:p>
    <w:p>
      <w:pPr>
        <w:pStyle w:val="Heading3"/>
        <w:spacing w:after="90" w:before="220"/>
      </w:pPr>
      <w:r>
        <w:rPr>
          <w:rFonts w:ascii="Calibri" w:cs="Calibri" w:eastAsia="Calibri" w:hAnsi="Calibri"/>
          <w:b/>
          <w:bCs/>
          <w:color w:val="12213A"/>
          <w:sz w:val="22"/>
          <w:szCs w:val="22"/>
        </w:rPr>
        <w:t xml:space="preserve">Platforms to test</w:t>
      </w:r>
    </w:p>
    <w:p>
      <w:pPr>
        <w:spacing w:after="140" w:line="276"/>
      </w:pPr>
      <w:r>
        <w:rPr>
          <w:rFonts w:ascii="Calibri" w:cs="Calibri" w:eastAsia="Calibri" w:hAnsi="Calibri"/>
          <w:color w:val="22292F"/>
          <w:sz w:val="21"/>
          <w:szCs w:val="21"/>
        </w:rPr>
        <w:t xml:space="preserve">ChatGPT with search enabled, Perplexity, Claude with web search, Microsoft Copilot, Google AI Overviews, and Google AI Mode. Six platforms, thirty prompts, roughly forty-five minutes if you work through it briskly.</w:t>
      </w:r>
    </w:p>
    <w:p>
      <w:pPr>
        <w:spacing w:after="140"/>
      </w:pPr>
    </w:p>
    <w:p>
      <w:pPr>
        <w:pStyle w:val="Heading3"/>
        <w:spacing w:after="90" w:before="220"/>
      </w:pPr>
      <w:r>
        <w:rPr>
          <w:rFonts w:ascii="Calibri" w:cs="Calibri" w:eastAsia="Calibri" w:hAnsi="Calibri"/>
          <w:b/>
          <w:bCs/>
          <w:color w:val="12213A"/>
          <w:sz w:val="22"/>
          <w:szCs w:val="22"/>
        </w:rPr>
        <w:t xml:space="preserve">The thirty prompts</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585"/>
        <w:gridCol w:w="6432"/>
        <w:gridCol w:w="2729"/>
      </w:tblGrid>
      <w:tr>
        <w:trPr>
          <w:tblHeader/>
        </w:trPr>
        <w:tc>
          <w:tcPr>
            <w:tcW w:type="dxa" w:w="585"/>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t>
            </w:r>
          </w:p>
        </w:tc>
        <w:tc>
          <w:tcPr>
            <w:tcW w:type="dxa" w:w="6432"/>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Prompt</w:t>
            </w:r>
          </w:p>
        </w:tc>
        <w:tc>
          <w:tcPr>
            <w:tcW w:type="dxa" w:w="2729"/>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Category</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How should a construction company introduce AI into its bid team?</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Core commercial</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What is an AI-augmented bid practice?</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Owned term</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3</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What is a governed bid delivery framework?</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Owned term</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Who are the leading bid management consultants in the UK?</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Direct commercial</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5</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Best consultancy for AI in proposal management</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Direct commercial</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6</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How do I redesign my bid function around AI agents?</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Core commercial</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7</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What should a bid director know about AI in 2026?</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Core commercial</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8</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Who is Yorik Tisseau?</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Entity</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9</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What is Ignis Leadership?</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Entity</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10</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What is the first AI use case a bid team should try?</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Content match</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11</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How do you govern AI-generated content in a tender response?</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Governance</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12</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Who should approve an AI-drafted bid response?</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Governance</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13</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What are the risks of using AI in public sector bids?</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Governance</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14</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How is AI changing proposal management?</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Category</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15</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What does human in the loop mean for bid teams?</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Governance</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16</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AI bid writing tools versus changing the bid process</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Positioning</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17</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How do bid teams keep institutional knowledge between bids?</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Content match</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18</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Why do bid teams lose bids before the writing starts?</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Content match</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19</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What is the bid capture process and how is AI changing it?</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Category</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20</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How should a bid team measure AI adoption?</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Category</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21</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Bid management operating model design</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Category</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22</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How do you increase bid capacity without hiring?</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Buyer pain</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23</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Our bid team is overloaded, what should we change?</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Buyer pain</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24</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How do energy developers improve tender win rates?</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Sector</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25</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AI in construction tendering, UK</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Sector</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26</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Coaching for bid and proposal teams</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Service</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27</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What training do bid teams need for AI?</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Service</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28</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How mature is AI in bid management?</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Content match</w:t>
            </w:r>
          </w:p>
        </w:tc>
      </w:tr>
      <w:tr>
        <w:trPr>
          <w:tblHeader w:val="false"/>
        </w:trPr>
        <w:tc>
          <w:tcPr>
            <w:tcW w:type="dxa" w:w="585"/>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29</w:t>
            </w:r>
          </w:p>
        </w:tc>
        <w:tc>
          <w:tcPr>
            <w:tcW w:type="dxa" w:w="643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Who writes about AI and bid management?</w:t>
            </w:r>
          </w:p>
        </w:tc>
        <w:tc>
          <w:tcPr>
            <w:tcW w:type="dxa" w:w="2729"/>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Authority</w:t>
            </w:r>
          </w:p>
        </w:tc>
      </w:tr>
      <w:tr>
        <w:trPr>
          <w:tblHeader w:val="false"/>
        </w:trPr>
        <w:tc>
          <w:tcPr>
            <w:tcW w:type="dxa" w:w="585"/>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30</w:t>
            </w:r>
          </w:p>
        </w:tc>
        <w:tc>
          <w:tcPr>
            <w:tcW w:type="dxa" w:w="643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What should we do before buying AI bid software?</w:t>
            </w:r>
          </w:p>
        </w:tc>
        <w:tc>
          <w:tcPr>
            <w:tcW w:type="dxa" w:w="2729"/>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Buyer pain</w:t>
            </w:r>
          </w:p>
        </w:tc>
      </w:tr>
    </w:tbl>
    <w:p>
      <w:pPr>
        <w:spacing w:after="200"/>
      </w:pPr>
    </w:p>
    <w:p>
      <w:pPr>
        <w:pStyle w:val="Heading2"/>
        <w:spacing w:after="120" w:before="300"/>
      </w:pPr>
      <w:r>
        <w:rPr>
          <w:rFonts w:ascii="Calibri" w:cs="Calibri" w:eastAsia="Calibri" w:hAnsi="Calibri"/>
          <w:b/>
          <w:bCs/>
          <w:color w:val="16485A"/>
          <w:sz w:val="25"/>
          <w:szCs w:val="25"/>
        </w:rPr>
        <w:t xml:space="preserve">Supporting metrics</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144"/>
        <w:gridCol w:w="2534"/>
        <w:gridCol w:w="5068"/>
      </w:tblGrid>
      <w:tr>
        <w:trPr>
          <w:tblHeader/>
        </w:trPr>
        <w:tc>
          <w:tcPr>
            <w:tcW w:type="dxa" w:w="214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Metric</w:t>
            </w:r>
          </w:p>
        </w:tc>
        <w:tc>
          <w:tcPr>
            <w:tcW w:type="dxa" w:w="253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Where</w:t>
            </w:r>
          </w:p>
        </w:tc>
        <w:tc>
          <w:tcPr>
            <w:tcW w:type="dxa" w:w="5068"/>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Notes</w:t>
            </w:r>
          </w:p>
        </w:tc>
      </w:tr>
      <w:tr>
        <w:trPr>
          <w:tblHeader w:val="false"/>
        </w:trPr>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Citation rate</w:t>
            </w:r>
          </w:p>
        </w:tc>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Your prompt panel grid</w:t>
            </w:r>
          </w:p>
        </w:tc>
        <w:tc>
          <w:tcPr>
            <w:tcW w:type="dxa" w:w="506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Percentage of prompt-platform combinations where you are named. Baseline it this month. Any movement above zero on the owned-term prompts within a quarter is a good early signal.</w:t>
            </w:r>
          </w:p>
        </w:tc>
      </w:tr>
      <w:tr>
        <w:trPr>
          <w:tblHeader w:val="false"/>
        </w:trPr>
        <w:tc>
          <w:tcPr>
            <w:tcW w:type="dxa" w:w="214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AI referral sessions</w:t>
            </w:r>
          </w:p>
        </w:tc>
        <w:tc>
          <w:tcPr>
            <w:tcW w:type="dxa" w:w="253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GA4, traffic acquisition, referral source</w:t>
            </w:r>
          </w:p>
        </w:tc>
        <w:tc>
          <w:tcPr>
            <w:tcW w:type="dxa" w:w="506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Look for chatgpt.com, perplexity.ai, copilot.microsoft.com, claude.ai, gemini.google.com. Volume will be small. Watch the engagement rate instead, which is usually far higher than organic because the visitor arrives pre-qualified.</w:t>
            </w:r>
          </w:p>
        </w:tc>
      </w:tr>
      <w:tr>
        <w:trPr>
          <w:tblHeader w:val="false"/>
        </w:trPr>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AI crawler activity</w:t>
            </w:r>
          </w:p>
        </w:tc>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Vercel logs or log drain</w:t>
            </w:r>
          </w:p>
        </w:tc>
        <w:tc>
          <w:tcPr>
            <w:tcW w:type="dxa" w:w="506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Requests from GPTBot, ClaudeBot, PerplexityBot, OAI-SearchBot. Confirms the technical layer is working and shows which pages they favour.</w:t>
            </w:r>
          </w:p>
        </w:tc>
      </w:tr>
      <w:tr>
        <w:trPr>
          <w:tblHeader w:val="false"/>
        </w:trPr>
        <w:tc>
          <w:tcPr>
            <w:tcW w:type="dxa" w:w="214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Branded search volume</w:t>
            </w:r>
          </w:p>
        </w:tc>
        <w:tc>
          <w:tcPr>
            <w:tcW w:type="dxa" w:w="253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Search Console, queries containing the business or personal name</w:t>
            </w:r>
          </w:p>
        </w:tc>
        <w:tc>
          <w:tcPr>
            <w:tcW w:type="dxa" w:w="5068"/>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clearest proxy for entity strength. People who encounter you in an AI answer very often then search the name.</w:t>
            </w:r>
          </w:p>
        </w:tc>
      </w:tr>
      <w:tr>
        <w:trPr>
          <w:tblHeader w:val="false"/>
        </w:trPr>
        <w:tc>
          <w:tcPr>
            <w:tcW w:type="dxa" w:w="214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Competitor citation</w:t>
            </w:r>
          </w:p>
        </w:tc>
        <w:tc>
          <w:tcPr>
            <w:tcW w:type="dxa" w:w="253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Your prompt panel grid</w:t>
            </w:r>
          </w:p>
        </w:tc>
        <w:tc>
          <w:tcPr>
            <w:tcW w:type="dxa" w:w="5068"/>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Record who does get cited when you do not. That tells you exactly what kind of source the models are reaching for on each question.</w:t>
            </w:r>
          </w:p>
        </w:tc>
      </w:tr>
    </w:tbl>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9. Ninety-day plan</w:t>
      </w:r>
    </w:p>
    <w:p>
      <w:pPr>
        <w:spacing w:after="140" w:line="276"/>
      </w:pPr>
      <w:r>
        <w:rPr>
          <w:rFonts w:ascii="Calibri" w:cs="Calibri" w:eastAsia="Calibri" w:hAnsi="Calibri"/>
          <w:color w:val="22292F"/>
          <w:sz w:val="21"/>
          <w:szCs w:val="21"/>
        </w:rPr>
        <w:t xml:space="preserve">The technical layer is complete. The next ninety days are about content habit and baseline measurement, which is deliberately unglamorous.</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1364"/>
        <w:gridCol w:w="6822"/>
        <w:gridCol w:w="1560"/>
      </w:tblGrid>
      <w:tr>
        <w:trPr>
          <w:tblHeader/>
        </w:trPr>
        <w:tc>
          <w:tcPr>
            <w:tcW w:type="dxa" w:w="136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When</w:t>
            </w:r>
          </w:p>
        </w:tc>
        <w:tc>
          <w:tcPr>
            <w:tcW w:type="dxa" w:w="6822"/>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Do</w:t>
            </w:r>
          </w:p>
        </w:tc>
        <w:tc>
          <w:tcPr>
            <w:tcW w:type="dxa" w:w="1560"/>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Time</w:t>
            </w:r>
          </w:p>
        </w:tc>
      </w:tr>
      <w:tr>
        <w:trPr>
          <w:tblHeader w:val="false"/>
        </w:trPr>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Week 1</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Run the thirty-prompt panel across all six platforms and record the baseline. Expect near-zero and record it anyway. Set up the tracking grid.</w:t>
            </w:r>
          </w:p>
        </w:tc>
        <w:tc>
          <w:tcPr>
            <w:tcW w:type="dxa" w:w="156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 hr</w:t>
            </w:r>
          </w:p>
        </w:tc>
      </w:tr>
      <w:tr>
        <w:trPr>
          <w:tblHeader w:val="false"/>
        </w:trPr>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Week 1</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Create the Wikidata item. Complete the entity work in the backlink strategy quick-win list, since entity clarity underpins everything here.</w:t>
            </w:r>
          </w:p>
        </w:tc>
        <w:tc>
          <w:tcPr>
            <w:tcW w:type="dxa" w:w="156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 hrs</w:t>
            </w:r>
          </w:p>
        </w:tc>
      </w:tr>
      <w:tr>
        <w:trPr>
          <w:tblHeader w:val="false"/>
        </w:trPr>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Week 2 to 3</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Write the canonical definition page for "AI-augmented bid practice". Answer-first, question-shaped headings, explicit definition, FAQ block with schema, visible date.</w:t>
            </w:r>
          </w:p>
        </w:tc>
        <w:tc>
          <w:tcPr>
            <w:tcW w:type="dxa" w:w="156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4 hrs</w:t>
            </w:r>
          </w:p>
        </w:tc>
      </w:tr>
      <w:tr>
        <w:trPr>
          <w:tblHeader w:val="false"/>
        </w:trPr>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Week 4</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Write the canonical definition page for the governed bid delivery framework, with the diagram.</w:t>
            </w:r>
          </w:p>
        </w:tc>
        <w:tc>
          <w:tcPr>
            <w:tcW w:type="dxa" w:w="156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5 hrs</w:t>
            </w:r>
          </w:p>
        </w:tc>
      </w:tr>
      <w:tr>
        <w:trPr>
          <w:tblHeader w:val="false"/>
        </w:trPr>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Week 5</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Retrofit the six rules from section 4 to the three existing guides. Rewrite the opening paragraph under each heading to be answer-first. This is editing, not rewriting.</w:t>
            </w:r>
          </w:p>
        </w:tc>
        <w:tc>
          <w:tcPr>
            <w:tcW w:type="dxa" w:w="156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3 hrs</w:t>
            </w:r>
          </w:p>
        </w:tc>
      </w:tr>
      <w:tr>
        <w:trPr>
          <w:tblHeader w:val="false"/>
        </w:trPr>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Week 6</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Add FAQPage schema and visible update dates across the guides and the two new definition pages.</w:t>
            </w:r>
          </w:p>
        </w:tc>
        <w:tc>
          <w:tcPr>
            <w:tcW w:type="dxa" w:w="156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2 hrs</w:t>
            </w:r>
          </w:p>
        </w:tc>
      </w:tr>
      <w:tr>
        <w:trPr>
          <w:tblHeader w:val="false"/>
        </w:trPr>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Week 6</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Start participating on Reddit and posting natively on LinkedIn. No links, no pitching. Two useful contributions a week.</w:t>
            </w:r>
          </w:p>
        </w:tc>
        <w:tc>
          <w:tcPr>
            <w:tcW w:type="dxa" w:w="156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ongoing</w:t>
            </w:r>
          </w:p>
        </w:tc>
      </w:tr>
      <w:tr>
        <w:trPr>
          <w:tblHeader w:val="false"/>
        </w:trPr>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Week 8</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Re-run the prompt panel. Check the Vercel logs for AI crawler hits.</w:t>
            </w:r>
          </w:p>
        </w:tc>
        <w:tc>
          <w:tcPr>
            <w:tcW w:type="dxa" w:w="156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 hr</w:t>
            </w:r>
          </w:p>
        </w:tc>
      </w:tr>
      <w:tr>
        <w:trPr>
          <w:tblHeader w:val="false"/>
        </w:trPr>
        <w:tc>
          <w:tcPr>
            <w:tcW w:type="dxa" w:w="136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Week 9 to 11</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Publish the three-stage lifecycle page. Begin designing the benchmark survey.</w:t>
            </w:r>
          </w:p>
        </w:tc>
        <w:tc>
          <w:tcPr>
            <w:tcW w:type="dxa" w:w="1560"/>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6 hrs</w:t>
            </w:r>
          </w:p>
        </w:tc>
      </w:tr>
      <w:tr>
        <w:trPr>
          <w:tblHeader w:val="false"/>
        </w:trPr>
        <w:tc>
          <w:tcPr>
            <w:tcW w:type="dxa" w:w="136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Week 12</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Re-run the prompt panel. Review, compare against baseline, and decide the next quarter's three priorities.</w:t>
            </w:r>
          </w:p>
        </w:tc>
        <w:tc>
          <w:tcPr>
            <w:tcW w:type="dxa" w:w="1560"/>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1.5 hrs</w:t>
            </w:r>
          </w:p>
        </w:tc>
      </w:tr>
    </w:tbl>
    <w:p>
      <w:pPr>
        <w:spacing w:after="200"/>
      </w:pPr>
    </w:p>
    <w:p>
      <w:pPr>
        <w:pStyle w:val="Heading2"/>
        <w:spacing w:after="120" w:before="300"/>
      </w:pPr>
      <w:r>
        <w:rPr>
          <w:rFonts w:ascii="Calibri" w:cs="Calibri" w:eastAsia="Calibri" w:hAnsi="Calibri"/>
          <w:b/>
          <w:bCs/>
          <w:color w:val="16485A"/>
          <w:sz w:val="25"/>
          <w:szCs w:val="25"/>
        </w:rPr>
        <w:t xml:space="preserve">Twelve-month arc</w:t>
      </w:r>
    </w:p>
    <w:p>
      <w:pPr>
        <w:spacing w:after="140" w:line="276"/>
      </w:pPr>
      <w:r>
        <w:rPr>
          <w:rFonts w:ascii="Calibri" w:cs="Calibri" w:eastAsia="Calibri" w:hAnsi="Calibri"/>
          <w:color w:val="22292F"/>
          <w:sz w:val="21"/>
          <w:szCs w:val="21"/>
        </w:rPr>
        <w:t xml:space="preserve">Months one to three, as above: definition pages, extraction discipline, baseline measurement. Months four to six, off-site corroboration through guest articles, podcasts and transcripts, using the terms consistently everywhere. Months seven to nine, the benchmark study with an open summary page, which is the step change. Months ten to twelve, the second wave of coverage of the research, plus a refresh of every page to keep the recency signal healthy.</w:t>
      </w:r>
    </w:p>
    <w:p>
      <w:pPr>
        <w:spacing w:after="140" w:line="276"/>
      </w:pPr>
      <w:r>
        <w:rPr>
          <w:rFonts w:ascii="Calibri" w:cs="Calibri" w:eastAsia="Calibri" w:hAnsi="Calibri"/>
          <w:color w:val="22292F"/>
          <w:sz w:val="21"/>
          <w:szCs w:val="21"/>
        </w:rPr>
        <w:t xml:space="preserve">A realistic expectation: little visible movement for two to three months, some appearances on the owned-term prompts by month four to six, and a meaningful jump in the quarter after the research publishes. The owned terms will come first, because there is no competition for them. The commercial prompts, such as "leading bid management consultants in the UK", are the hardest and will come last, if at all, in year one.</w:t>
      </w:r>
    </w:p>
    <w:p>
      <w:r>
        <w:br w:type="page"/>
      </w:r>
    </w:p>
    <w:p>
      <w:pPr>
        <w:pStyle w:val="Heading1"/>
        <w:pBdr>
          <w:bottom w:val="single" w:color="16485A" w:sz="8" w:space="6"/>
        </w:pBdr>
        <w:spacing w:after="160" w:before="360"/>
      </w:pPr>
      <w:r>
        <w:rPr>
          <w:rFonts w:ascii="Calibri" w:cs="Calibri" w:eastAsia="Calibri" w:hAnsi="Calibri"/>
          <w:b/>
          <w:bCs/>
          <w:color w:val="12213A"/>
          <w:sz w:val="30"/>
          <w:szCs w:val="30"/>
        </w:rPr>
        <w:t xml:space="preserve">10. What not to do</w:t>
      </w:r>
    </w:p>
    <w:tbl>
      <w:tblPr>
        <w:tblW w:type="dxa" w:w="9746"/>
        <w:tblBorders>
          <w:top w:val="single" w:color="D6DCE5" w:sz="4"/>
          <w:left w:val="none" w:color="FFFFFF" w:sz="0"/>
          <w:bottom w:val="single" w:color="D6DCE5" w:sz="4"/>
          <w:right w:val="none" w:color="FFFFFF" w:sz="0"/>
          <w:insideH w:val="single" w:color="D6DCE5" w:sz="2"/>
          <w:insideV w:val="none" w:color="FFFFFF" w:sz="0"/>
        </w:tblBorders>
      </w:tblPr>
      <w:tblGrid>
        <w:gridCol w:w="2924"/>
        <w:gridCol w:w="6822"/>
      </w:tblGrid>
      <w:tr>
        <w:trPr>
          <w:tblHeader/>
        </w:trPr>
        <w:tc>
          <w:tcPr>
            <w:tcW w:type="dxa" w:w="2924"/>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Do not</w:t>
            </w:r>
          </w:p>
        </w:tc>
        <w:tc>
          <w:tcPr>
            <w:tcW w:type="dxa" w:w="6822"/>
            <w:shd w:fill="12213A"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Because</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Buy an "AEO" or "GEO optimisation" package</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field is eighteen months old and full of people repackaging standard SEO at a premium. Everything that genuinely works is in this document, and most of it is writing discipline rather than configuration.</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Believe anyone offering to get you into the training data</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Nobody outside the model labs can do this. Training corpora are assembled from broad web crawls with cutoffs years behind. The only honest route is to exist widely on the open web and wait.</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Stuff pages with question headings you do not answer</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Retrieval systems evaluate whether the passage answers the heading. An unanswered question heading reads as low quality and suppresses the page.</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Publish AI-generated filler to increase page count</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Models are increasingly good at recognising generic content, and thin pages dilute the strong ones. For a practice whose whole argument is that judgement is the scarce resource, it would also be a poor look. Twelve excellent pages beat sixty adequate ones.</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Gate the research</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Said three times in two documents because it is the most expensive single mistake available to you. A form-gated PDF cannot be cited by anything.</w:t>
            </w:r>
          </w:p>
        </w:tc>
      </w:tr>
      <w:tr>
        <w:trPr>
          <w:tblHeader w:val="false"/>
        </w:trPr>
        <w:tc>
          <w:tcPr>
            <w:tcW w:type="dxa" w:w="2924"/>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Chase every new AI platform</w:t>
            </w:r>
          </w:p>
        </w:tc>
        <w:tc>
          <w:tcPr>
            <w:tcW w:type="dxa" w:w="6822"/>
            <w:shd w:fill="F7F9FC" w:val="clear"/>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The six in section 8 cover the overwhelming majority of relevant usage. Adding platforms adds measurement time and no insight.</w:t>
            </w:r>
          </w:p>
        </w:tc>
      </w:tr>
      <w:tr>
        <w:trPr>
          <w:tblHeader w:val="false"/>
        </w:trPr>
        <w:tc>
          <w:tcPr>
            <w:tcW w:type="dxa" w:w="2924"/>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Optimise for the model rather than the reader</w:t>
            </w:r>
          </w:p>
        </w:tc>
        <w:tc>
          <w:tcPr>
            <w:tcW w:type="dxa" w:w="6822"/>
            <w:tcMar>
              <w:top w:type="dxa" w:w="90"/>
              <w:left w:type="dxa" w:w="130"/>
              <w:bottom w:type="dxa" w:w="90"/>
              <w:right w:type="dxa" w:w="130"/>
            </w:tcMar>
          </w:tcPr>
          <w:p>
            <w:pPr>
              <w:spacing w:after="0" w:line="260"/>
            </w:pPr>
            <w:r>
              <w:rPr>
                <w:rFonts w:ascii="Calibri" w:cs="Calibri" w:eastAsia="Calibri" w:hAnsi="Calibri"/>
                <w:b w:val="false"/>
                <w:bCs w:val="false"/>
                <w:color w:val="22292F"/>
                <w:sz w:val="19"/>
                <w:szCs w:val="19"/>
              </w:rPr>
              <w:t xml:space="preserve">Every technique here also makes the page clearer for a human. If a change makes the writing worse for a person, it is the wrong change, and it will stop working when the retrieval systems next improve.</w:t>
            </w:r>
          </w:p>
        </w:tc>
      </w:tr>
    </w:tbl>
    <w:p>
      <w:pPr>
        <w:spacing w:after="240"/>
      </w:pPr>
    </w:p>
    <w:p>
      <w:pPr>
        <w:pStyle w:val="Heading2"/>
        <w:spacing w:after="120" w:before="300"/>
      </w:pPr>
      <w:r>
        <w:rPr>
          <w:rFonts w:ascii="Calibri" w:cs="Calibri" w:eastAsia="Calibri" w:hAnsi="Calibri"/>
          <w:b/>
          <w:bCs/>
          <w:color w:val="16485A"/>
          <w:sz w:val="25"/>
          <w:szCs w:val="25"/>
        </w:rPr>
        <w:t xml:space="preserve">How the two strategies fit together</w:t>
      </w:r>
    </w:p>
    <w:p>
      <w:pPr>
        <w:spacing w:after="140" w:line="276"/>
      </w:pPr>
      <w:r>
        <w:rPr>
          <w:rFonts w:ascii="Calibri" w:cs="Calibri" w:eastAsia="Calibri" w:hAnsi="Calibri"/>
          <w:color w:val="22292F"/>
          <w:sz w:val="21"/>
          <w:szCs w:val="21"/>
        </w:rPr>
        <w:t xml:space="preserve">These documents describe one programme, not two. The backlink strategy builds the off-site presence: mentions, articles, podcast appearances, research coverage. This document makes sure that when those mentions exist, a model can resolve them to a clear entity, find a well-structured site that confirms them, and extract a quotable passage from it. Neither works alone. A perfectly structured site nobody references will not be cited, and wide coverage pointing at an unclear entity will not convert either.</w:t>
      </w:r>
    </w:p>
    <w:p>
      <w:pPr>
        <w:spacing w:after="140" w:line="276"/>
      </w:pPr>
      <w:r>
        <w:rPr>
          <w:rFonts w:ascii="Calibri" w:cs="Calibri" w:eastAsia="Calibri" w:hAnsi="Calibri"/>
          <w:color w:val="22292F"/>
          <w:sz w:val="21"/>
          <w:szCs w:val="21"/>
        </w:rPr>
        <w:t xml:space="preserve">The shared centre of both is the benchmark study. It is the highest-return item on both lists, for two different reasons that happen to reinforce each other: journalists link to data, and language models attribute statistics. One piece of work, one quarter of effort, and it is the thing most likely to change your position in both channels.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5" w:sz="4" w:space="6"/>
      </w:pBdr>
      <w:jc w:val="right"/>
    </w:pPr>
    <w:r>
      <w:rPr>
        <w:rFonts w:ascii="Calibri" w:cs="Calibri" w:eastAsia="Calibri" w:hAnsi="Calibri"/>
        <w:color w:val="4A5568"/>
        <w:sz w:val="16"/>
        <w:szCs w:val="16"/>
      </w:rPr>
      <w:t xml:space="preserve">Ignis Leadership  |  AI Citation Strategy   |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2026-09-10T17:17:15.755Z</dcterms:created>
  <dcterms:modified xsi:type="dcterms:W3CDTF">2026-09-10T17:17:15.756Z</dcterms:modified>
</cp:coreProperties>
</file>

<file path=docProps/custom.xml><?xml version="1.0" encoding="utf-8"?>
<Properties xmlns="http://schemas.openxmlformats.org/officeDocument/2006/custom-properties" xmlns:vt="http://schemas.openxmlformats.org/officeDocument/2006/docPropsVTypes"/>
</file>