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485A"/>
          <w:spacing w:val="40"/>
          <w:sz w:val="18"/>
          <w:szCs w:val="18"/>
        </w:rPr>
        <w:t xml:space="preserve">IGNIS LEADERSHIP</w:t>
      </w:r>
    </w:p>
    <w:p>
      <w:pPr>
        <w:spacing w:after="100"/>
      </w:pPr>
      <w:r>
        <w:rPr>
          <w:rFonts w:ascii="Calibri" w:cs="Calibri" w:eastAsia="Calibri" w:hAnsi="Calibri"/>
          <w:b/>
          <w:bCs/>
          <w:color w:val="12213A"/>
          <w:sz w:val="44"/>
          <w:szCs w:val="44"/>
        </w:rPr>
        <w:t xml:space="preserve">12-Month Backlink Strategy</w:t>
      </w:r>
    </w:p>
    <w:p>
      <w:pPr>
        <w:pBdr>
          <w:bottom w:val="single" w:color="16485A" w:sz="12" w:space="10"/>
        </w:pBdr>
        <w:spacing w:after="140"/>
      </w:pPr>
      <w:r>
        <w:rPr>
          <w:rFonts w:ascii="Calibri" w:cs="Calibri" w:eastAsia="Calibri" w:hAnsi="Calibri"/>
          <w:color w:val="4A5568"/>
          <w:sz w:val="24"/>
          <w:szCs w:val="24"/>
        </w:rPr>
        <w:t xml:space="preserve">Building authority for ignisleadership.com through relevance, not volume</w:t>
      </w:r>
    </w:p>
    <w:p>
      <w:pPr>
        <w:spacing w:after="300"/>
      </w:pPr>
      <w:r>
        <w:rPr>
          <w:rFonts w:ascii="Calibri" w:cs="Calibri" w:eastAsia="Calibri" w:hAnsi="Calibri"/>
          <w:i/>
          <w:iCs/>
          <w:color w:val="4A5568"/>
          <w:sz w:val="18"/>
          <w:szCs w:val="18"/>
        </w:rPr>
        <w:t xml:space="preserve">Prepared 10 September 2026  |  Owner: Yorik Tisseau  |  Review monthly, revise quarterly</w:t>
      </w:r>
    </w:p>
    <w:p>
      <w:pPr>
        <w:pStyle w:val="Heading1"/>
        <w:pBdr>
          <w:bottom w:val="single" w:color="16485A" w:sz="8" w:space="6"/>
        </w:pBdr>
        <w:spacing w:after="160" w:before="360"/>
      </w:pPr>
      <w:r>
        <w:rPr>
          <w:rFonts w:ascii="Calibri" w:cs="Calibri" w:eastAsia="Calibri" w:hAnsi="Calibri"/>
          <w:b/>
          <w:bCs/>
          <w:color w:val="12213A"/>
          <w:sz w:val="30"/>
          <w:szCs w:val="30"/>
        </w:rPr>
        <w:t xml:space="preserve">1. Where you are now, and what that means</w:t>
      </w:r>
    </w:p>
    <w:p>
      <w:pPr>
        <w:spacing w:after="140" w:line="276"/>
      </w:pPr>
      <w:r>
        <w:rPr>
          <w:rFonts w:ascii="Calibri" w:cs="Calibri" w:eastAsia="Calibri" w:hAnsi="Calibri"/>
          <w:color w:val="22292F"/>
          <w:sz w:val="21"/>
          <w:szCs w:val="21"/>
        </w:rPr>
        <w:t xml:space="preserve">The SEO audit scored the backlink profile as the weakest part of the site, and that is correct. It is also the least surprising. The domain is new, the practice is new, and almost nobody outside your immediate network has had reason to link to it yet. Every other issue the audit raised has now been fixed in a single working session. This one cannot be. It is the only part of the programme that takes twelve months rather than twelve hours, and it is the only part that cannot be delegated to a script.</w:t>
      </w:r>
    </w:p>
    <w:p>
      <w:pPr>
        <w:spacing w:after="140" w:line="276"/>
      </w:pPr>
      <w:r>
        <w:rPr>
          <w:rFonts w:ascii="Calibri" w:cs="Calibri" w:eastAsia="Calibri" w:hAnsi="Calibri"/>
          <w:color w:val="22292F"/>
          <w:sz w:val="21"/>
          <w:szCs w:val="21"/>
        </w:rPr>
        <w:t xml:space="preserve">It helps to be clear about what a link is actually doing in 2026. Fifteen years ago, links were a volume game and the metric was raw count. Today a link does three separate jobs, and only one of them is the classic ranking signal.</w:t>
      </w:r>
    </w:p>
    <w:p>
      <w:pPr>
        <w:pStyle w:val="ListParagraph"/>
        <w:numPr>
          <w:ilvl w:val="0"/>
          <w:numId w:val="2"/>
        </w:numPr>
        <w:spacing w:after="70" w:line="276"/>
      </w:pPr>
      <w:r>
        <w:rPr>
          <w:rFonts w:ascii="Calibri" w:cs="Calibri" w:eastAsia="Calibri" w:hAnsi="Calibri"/>
          <w:color w:val="22292F"/>
          <w:sz w:val="21"/>
          <w:szCs w:val="21"/>
        </w:rPr>
        <w:t xml:space="preserve">It passes authority. Still real, still the foundation of how Google decides whether an unknown domain deserves to rank for a competitive commercial phrase.</w:t>
      </w:r>
    </w:p>
    <w:p>
      <w:pPr>
        <w:pStyle w:val="ListParagraph"/>
        <w:numPr>
          <w:ilvl w:val="0"/>
          <w:numId w:val="2"/>
        </w:numPr>
        <w:spacing w:after="70" w:line="276"/>
      </w:pPr>
      <w:r>
        <w:rPr>
          <w:rFonts w:ascii="Calibri" w:cs="Calibri" w:eastAsia="Calibri" w:hAnsi="Calibri"/>
          <w:color w:val="22292F"/>
          <w:sz w:val="21"/>
          <w:szCs w:val="21"/>
        </w:rPr>
        <w:t xml:space="preserve">It passes referral traffic. A link in the right newsletter or trade article can send you more qualified visitors in a week than six months of organic search on a new domain.</w:t>
      </w:r>
    </w:p>
    <w:p>
      <w:pPr>
        <w:pStyle w:val="ListParagraph"/>
        <w:numPr>
          <w:ilvl w:val="0"/>
          <w:numId w:val="2"/>
        </w:numPr>
        <w:spacing w:after="70" w:line="276"/>
      </w:pPr>
      <w:r>
        <w:rPr>
          <w:rFonts w:ascii="Calibri" w:cs="Calibri" w:eastAsia="Calibri" w:hAnsi="Calibri"/>
          <w:color w:val="22292F"/>
          <w:sz w:val="21"/>
          <w:szCs w:val="21"/>
        </w:rPr>
        <w:t xml:space="preserve">It builds the entity. This is the one most people miss, and it is the reason the backlink plan and the AI citation plan are two halves of the same job. Search engines and language models learn who you are from what other sites say about you, not from what your own site says. A consistent pattern of third-party mentions is what turns "Ignis Leadership" from a string of text into a known thing with known attributes.</w:t>
      </w:r>
    </w:p>
    <w:p>
      <w:pPr>
        <w:spacing w:after="120"/>
      </w:pPr>
    </w:p>
    <w:tbl>
      <w:tblPr>
        <w:tblW w:type="dxa" w:w="9746"/>
        <w:tblBorders>
          <w:top w:val="single" w:color="D6DCE5" w:sz="2"/>
          <w:left w:val="single" w:color="16485A" w:sz="18"/>
          <w:bottom w:val="single" w:color="D6DCE5" w:sz="2"/>
          <w:right w:val="single" w:color="D6DCE5" w:sz="2"/>
          <w:insideH w:val="none" w:color="FFFFFF" w:sz="0"/>
          <w:insideV w:val="none" w:color="FFFFFF" w:sz="0"/>
        </w:tblBorders>
      </w:tblPr>
      <w:tblGrid>
        <w:gridCol w:w="9746"/>
      </w:tblGrid>
      <w:tr>
        <w:tc>
          <w:tcPr>
            <w:tcW w:type="dxa" w:w="9746"/>
            <w:shd w:fill="EEF2F7" w:val="clear"/>
            <w:tcMar>
              <w:top w:type="dxa" w:w="140"/>
              <w:left w:type="dxa" w:w="200"/>
              <w:bottom w:type="dxa" w:w="140"/>
              <w:right w:type="dxa" w:w="200"/>
            </w:tcMar>
          </w:tcPr>
          <w:p>
            <w:pPr>
              <w:spacing w:after="60"/>
            </w:pPr>
            <w:r>
              <w:rPr>
                <w:rFonts w:ascii="Calibri" w:cs="Calibri" w:eastAsia="Calibri" w:hAnsi="Calibri"/>
                <w:b/>
                <w:bCs/>
                <w:color w:val="12213A"/>
                <w:sz w:val="21"/>
                <w:szCs w:val="21"/>
              </w:rPr>
              <w:t xml:space="preserve">The realistic target</w:t>
            </w:r>
          </w:p>
          <w:p>
            <w:pPr>
              <w:spacing w:after="0"/>
            </w:pPr>
            <w:r>
              <w:rPr>
                <w:rFonts w:ascii="Calibri" w:cs="Calibri" w:eastAsia="Calibri" w:hAnsi="Calibri"/>
                <w:color w:val="4A5568"/>
                <w:sz w:val="20"/>
                <w:szCs w:val="20"/>
              </w:rPr>
              <w:t xml:space="preserve">For a solo consultancy in a narrow B2B niche, forty to sixty genuinely relevant referring domains over twelve months would put you ahead of almost every bid consultancy in the UK. That is roughly one a week. It is a completely achievable number, and chasing a bigger one would push you towards tactics that actively harm you.</w:t>
            </w:r>
          </w:p>
        </w:tc>
      </w:tr>
    </w:tbl>
    <w:p>
      <w:pPr>
        <w:spacing w:after="200"/>
      </w:pPr>
    </w:p>
    <w:p>
      <w:pPr>
        <w:spacing w:after="140" w:line="276"/>
      </w:pPr>
      <w:r>
        <w:rPr>
          <w:rFonts w:ascii="Calibri" w:cs="Calibri" w:eastAsia="Calibri" w:hAnsi="Calibri"/>
          <w:color w:val="22292F"/>
          <w:sz w:val="21"/>
          <w:szCs w:val="21"/>
        </w:rPr>
        <w:t xml:space="preserve">The strategic point is that you are not competing with Deloitte for the phrase "bid consultancy". You are competing to be the obvious answer to a much narrower question: who helps a construction or energy business redesign its bid function around AI agents while keeping human accountability intact? Very few people are credibly answering that. Relevance beats authority when the query is specific enough, and your queries are specific.</w:t>
      </w:r>
    </w:p>
    <w:p>
      <w:pPr>
        <w:pStyle w:val="Heading2"/>
        <w:spacing w:after="120" w:before="300"/>
      </w:pPr>
      <w:r>
        <w:rPr>
          <w:rFonts w:ascii="Calibri" w:cs="Calibri" w:eastAsia="Calibri" w:hAnsi="Calibri"/>
          <w:b/>
          <w:bCs/>
          <w:color w:val="16485A"/>
          <w:sz w:val="25"/>
          <w:szCs w:val="25"/>
        </w:rPr>
        <w:t xml:space="preserve">The rules to hold yourself to</w:t>
      </w:r>
    </w:p>
    <w:p>
      <w:pPr>
        <w:spacing w:after="140" w:line="276"/>
      </w:pPr>
      <w:r>
        <w:rPr>
          <w:rFonts w:ascii="Calibri" w:cs="Calibri" w:eastAsia="Calibri" w:hAnsi="Calibri"/>
          <w:color w:val="22292F"/>
          <w:sz w:val="21"/>
          <w:szCs w:val="21"/>
        </w:rPr>
        <w:t xml:space="preserve">Before any of the tactics, five constraints. These exist because link building is the one area of SEO where enthusiastic effort can leave you worse off than doing nothing.</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924"/>
        <w:gridCol w:w="6822"/>
      </w:tblGrid>
      <w:tr>
        <w:trPr>
          <w:tblHeader/>
        </w:trPr>
        <w:tc>
          <w:tcPr>
            <w:tcW w:type="dxa" w:w="292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Rule</w:t>
            </w:r>
          </w:p>
        </w:tc>
        <w:tc>
          <w:tcPr>
            <w:tcW w:type="dxa" w:w="6822"/>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Why it matters</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Never buy links in bulk, and never enter a link exchange scheme.</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Paid link networks are the single most reliably penalised tactic. A consultancy selling judgement and governance cannot afford to be caught gaming a system. The reputational risk is worse than the algorithmic one.</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Only accept a link from a site you would be happy to be listed next to on a client's screen.</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This is the whole quality test, and it is easier to apply than any metric. If you would not cite the site in a bid, do not take a link from it.</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Keep anchor text mostly branded.</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Roughly seventy per cent should be "Ignis Leadership", "Yorik Tisseau", or the bare URL. Another twenty per cent natural phrases in a sentence. Under ten per cent exact commercial matches like "bid management consultancy". An unnatural anchor distribution is the clearest footprint of manipulation.</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One link from a professional body beats a hundred directory listings.</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Concentrate effort where the relevance is highest, not where the volume is easiest. Directories are foundation work, not strategy.</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Log every link in one place, including the ones that did not happen.</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Outreach without a record turns into duplicate approaches and missed follow-ups, which is how you burn a contact. A single sheet is enough.</w:t>
            </w:r>
          </w:p>
        </w:tc>
      </w:tr>
    </w:tbl>
    <w:p>
      <w:pPr>
        <w:spacing w:after="160"/>
      </w:pPr>
    </w:p>
    <w:p>
      <w:pPr>
        <w:spacing w:after="140" w:line="276"/>
      </w:pPr>
      <w:r>
        <w:rPr>
          <w:rFonts w:ascii="Calibri" w:cs="Calibri" w:eastAsia="Calibri" w:hAnsi="Calibri"/>
          <w:i/>
          <w:iCs/>
          <w:color w:val="22292F"/>
          <w:sz w:val="21"/>
          <w:szCs w:val="21"/>
        </w:rPr>
        <w:t xml:space="preserve">A sixth, softer rule: nofollow links are not worthless. LinkedIn, most directories and most news sites mark their outbound links nofollow, which means they pass no classic authority. They still drive referral traffic, they still get crawled, and language models retrieving live pages do not care about the rel attribute at all. Build them anyway. Just do not count them as your authority work.</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2. Quick wins: the first thirty days</w:t>
      </w:r>
    </w:p>
    <w:p>
      <w:pPr>
        <w:spacing w:after="140" w:line="276"/>
      </w:pPr>
      <w:r>
        <w:rPr>
          <w:rFonts w:ascii="Calibri" w:cs="Calibri" w:eastAsia="Calibri" w:hAnsi="Calibri"/>
          <w:color w:val="22292F"/>
          <w:sz w:val="21"/>
          <w:szCs w:val="21"/>
        </w:rPr>
        <w:t xml:space="preserve">These are the links you can create yourself without asking anyone's permission, or by asking someone who has an existing reason to say yes. They will not move rankings much on their own. What they do is establish a consistent, verifiable identity across the web, which is the precondition for everything in section 3 onwards working at all.</w:t>
      </w:r>
    </w:p>
    <w:p>
      <w:pPr>
        <w:spacing w:after="140" w:line="276"/>
      </w:pPr>
      <w:r>
        <w:rPr>
          <w:rFonts w:ascii="Calibri" w:cs="Calibri" w:eastAsia="Calibri" w:hAnsi="Calibri"/>
          <w:color w:val="22292F"/>
          <w:sz w:val="21"/>
          <w:szCs w:val="21"/>
        </w:rPr>
        <w:t xml:space="preserve">Do these in roughly this order. Budget four to six hours in total for the whole block, spread over two or three sittings. Use the same description text everywhere so the entity data stays consistent: same business name, same one-line description, same URL format with the www and the https.</w:t>
      </w:r>
    </w:p>
    <w:p>
      <w:pPr>
        <w:spacing w:after="120"/>
      </w:pPr>
    </w:p>
    <w:p>
      <w:pPr>
        <w:pStyle w:val="Heading3"/>
        <w:spacing w:after="90" w:before="220"/>
      </w:pPr>
      <w:r>
        <w:rPr>
          <w:rFonts w:ascii="Calibri" w:cs="Calibri" w:eastAsia="Calibri" w:hAnsi="Calibri"/>
          <w:b/>
          <w:bCs/>
          <w:color w:val="12213A"/>
          <w:sz w:val="22"/>
          <w:szCs w:val="22"/>
        </w:rPr>
        <w:t xml:space="preserve">Tier one: high-relevance profile links</w:t>
      </w:r>
    </w:p>
    <w:p>
      <w:pPr>
        <w:spacing w:after="140" w:line="276"/>
      </w:pPr>
      <w:r>
        <w:rPr>
          <w:rFonts w:ascii="Calibri" w:cs="Calibri" w:eastAsia="Calibri" w:hAnsi="Calibri"/>
          <w:color w:val="22292F"/>
          <w:sz w:val="21"/>
          <w:szCs w:val="21"/>
        </w:rPr>
        <w:t xml:space="preserve">These carry real weight because the hosting sites are authoritative within your professional world.</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534"/>
        <w:gridCol w:w="975"/>
        <w:gridCol w:w="975"/>
        <w:gridCol w:w="5262"/>
      </w:tblGrid>
      <w:tr>
        <w:trPr>
          <w:tblHeader/>
        </w:trPr>
        <w:tc>
          <w:tcPr>
            <w:tcW w:type="dxa" w:w="253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Action</w:t>
            </w:r>
          </w:p>
        </w:tc>
        <w:tc>
          <w:tcPr>
            <w:tcW w:type="dxa" w:w="975"/>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Effort</w:t>
            </w:r>
          </w:p>
        </w:tc>
        <w:tc>
          <w:tcPr>
            <w:tcW w:type="dxa" w:w="975"/>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Value</w:t>
            </w:r>
          </w:p>
        </w:tc>
        <w:tc>
          <w:tcPr>
            <w:tcW w:type="dxa" w:w="5262"/>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ICF Credentialed Coach Finder listing</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 hr</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High</w:t>
            </w:r>
          </w:p>
        </w:tc>
        <w:tc>
          <w:tcPr>
            <w:tcW w:type="dxa" w:w="526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 hold an ICF credential, so you are entitled to this. It is a genuine authority domain and a rare, defensible link. Write the profile so it describes bid leadership coaching specifically, not generic executive coaching.</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APMP membership and member profile</w:t>
            </w:r>
          </w:p>
        </w:tc>
        <w:tc>
          <w:tcPr>
            <w:tcW w:type="dxa" w:w="975"/>
            <w:shd w:fill="F7F9FC" w:val="clear"/>
            <w:tcMar>
              <w:top w:type="dxa" w:w="90"/>
              <w:left w:type="dxa" w:w="130"/>
              <w:bottom w:type="dxa" w:w="90"/>
              <w:right w:type="dxa" w:w="130"/>
            </w:tcMar>
          </w:tcPr>
          <w:p>
            <w:pPr>
              <w:spacing w:after="50" w:line="260"/>
            </w:pPr>
            <w:r>
              <w:rPr>
                <w:rFonts w:ascii="Calibri" w:cs="Calibri" w:eastAsia="Calibri" w:hAnsi="Calibri"/>
                <w:b w:val="false"/>
                <w:bCs w:val="false"/>
                <w:color w:val="22292F"/>
                <w:sz w:val="19"/>
                <w:szCs w:val="19"/>
              </w:rPr>
              <w:t xml:space="preserve">1 hr</w:t>
            </w:r>
          </w:p>
          <w:p>
            <w:pPr>
              <w:spacing w:after="0" w:line="260"/>
            </w:pPr>
            <w:r>
              <w:rPr>
                <w:rFonts w:ascii="Calibri" w:cs="Calibri" w:eastAsia="Calibri" w:hAnsi="Calibri"/>
                <w:b w:val="false"/>
                <w:bCs w:val="false"/>
                <w:color w:val="22292F"/>
                <w:sz w:val="19"/>
                <w:szCs w:val="19"/>
              </w:rPr>
              <w:t xml:space="preserve">+ fee</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High</w:t>
            </w:r>
          </w:p>
        </w:tc>
        <w:tc>
          <w:tcPr>
            <w:tcW w:type="dxa" w:w="526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Association of Proposal Management Professionals is the professional body for your exact discipline. Membership gives you a profile, access to the UK chapter, and the standing to pitch articles and speak. This is the single highest-leverage subscription on the list.</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LinkedIn company page for Ignis Leadership</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45 min</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High</w:t>
            </w:r>
          </w:p>
        </w:tc>
        <w:tc>
          <w:tcPr>
            <w:tcW w:type="dxa" w:w="526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Separate from your personal profile. Nofollow, but it is one of the most-crawled and most-retrieved pages on the web, and it anchors the entity. Fill every field, including the website, industry, and specialisms.</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LinkedIn personal profile: website field, featured section, experience entry</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20 min</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High</w:t>
            </w:r>
          </w:p>
        </w:tc>
        <w:tc>
          <w:tcPr>
            <w:tcW w:type="dxa" w:w="526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 have a large relevant network here already. Link the site from the contact info, feature the two strongest resource pages, and make sure the current role reads "Ignis Leadership" with the URL in the description.</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Crunchbase organisation profile</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30 min</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526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Widely scraped, feeds several knowledge-graph and enrichment products, and is one of the sources language models see repeatedly. Free tier is sufficient.</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Wikidata item for Ignis Leadership</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45 min</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526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Not Wikipedia, which has a notability bar you would not clear yet. Wikidata is a structured entity database with a much lower bar, it is a direct input to knowledge graphs, and it is heavily used in model training. Link it to your site, your LinkedIn and your ICF listing.</w:t>
            </w:r>
          </w:p>
        </w:tc>
      </w:tr>
    </w:tbl>
    <w:p>
      <w:pPr>
        <w:spacing w:after="200"/>
      </w:pPr>
    </w:p>
    <w:p>
      <w:pPr>
        <w:pStyle w:val="Heading3"/>
        <w:spacing w:after="90" w:before="220"/>
      </w:pPr>
      <w:r>
        <w:rPr>
          <w:rFonts w:ascii="Calibri" w:cs="Calibri" w:eastAsia="Calibri" w:hAnsi="Calibri"/>
          <w:b/>
          <w:bCs/>
          <w:color w:val="12213A"/>
          <w:sz w:val="22"/>
          <w:szCs w:val="22"/>
        </w:rPr>
        <w:t xml:space="preserve">Tier two: directories worth the twenty minutes</w:t>
      </w:r>
    </w:p>
    <w:p>
      <w:pPr>
        <w:spacing w:after="140" w:line="276"/>
      </w:pPr>
      <w:r>
        <w:rPr>
          <w:rFonts w:ascii="Calibri" w:cs="Calibri" w:eastAsia="Calibri" w:hAnsi="Calibri"/>
          <w:color w:val="22292F"/>
          <w:sz w:val="21"/>
          <w:szCs w:val="21"/>
        </w:rPr>
        <w:t xml:space="preserve">Ignore the hundreds of generic UK business directories. These few have either real editorial standards or real traffic in professional services.</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534"/>
        <w:gridCol w:w="975"/>
        <w:gridCol w:w="975"/>
        <w:gridCol w:w="5262"/>
      </w:tblGrid>
      <w:tr>
        <w:trPr>
          <w:tblHeader/>
        </w:trPr>
        <w:tc>
          <w:tcPr>
            <w:tcW w:type="dxa" w:w="253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Action</w:t>
            </w:r>
          </w:p>
        </w:tc>
        <w:tc>
          <w:tcPr>
            <w:tcW w:type="dxa" w:w="975"/>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Effort</w:t>
            </w:r>
          </w:p>
        </w:tc>
        <w:tc>
          <w:tcPr>
            <w:tcW w:type="dxa" w:w="975"/>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Value</w:t>
            </w:r>
          </w:p>
        </w:tc>
        <w:tc>
          <w:tcPr>
            <w:tcW w:type="dxa" w:w="5262"/>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Consultancy.uk firm profile</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40 min</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526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main UK consulting-industry publication and directory. Genuine sector relevance and reasonable traffic. Check the current listing terms, as some tiers are paid.</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Clutch and The Manifest</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 hr</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526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B2B services directories. The listing itself is modest; the value is that they rank well for "best X consultancy" queries and are frequently retrieved by answer engines building comparison answers.</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Enterprise Nation adviser profile</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30 min</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Low-Med</w:t>
            </w:r>
          </w:p>
        </w:tc>
        <w:tc>
          <w:tcPr>
            <w:tcW w:type="dxa" w:w="526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UK small business network. Cheap, credible, and it occasionally produces actual enquiries.</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Newsletter directories for "Bid More. Win More."</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45 min</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526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Whichever platform hosts the newsletter, list it in the relevant directories for that platform plus two or three independent B2B newsletter indexes. Each carries a link and each brings subscribers, who are the better prize.</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Podcast and speaker profiles</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ongoing</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526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Every podcast appearance produces a show-notes page with a link. Every conference produces a speaker page. These accumulate quietly and are among the most natural-looking links you can acquire.</w:t>
            </w:r>
          </w:p>
        </w:tc>
      </w:tr>
    </w:tbl>
    <w:p>
      <w:pPr>
        <w:spacing w:after="200"/>
      </w:pPr>
    </w:p>
    <w:p>
      <w:pPr>
        <w:pStyle w:val="Heading3"/>
        <w:spacing w:after="90" w:before="220"/>
      </w:pPr>
      <w:r>
        <w:rPr>
          <w:rFonts w:ascii="Calibri" w:cs="Calibri" w:eastAsia="Calibri" w:hAnsi="Calibri"/>
          <w:b/>
          <w:bCs/>
          <w:color w:val="12213A"/>
          <w:sz w:val="22"/>
          <w:szCs w:val="22"/>
        </w:rPr>
        <w:t xml:space="preserve">Tier three: links you already earned but have not claimed</w:t>
      </w:r>
    </w:p>
    <w:p>
      <w:pPr>
        <w:spacing w:after="140" w:line="276"/>
      </w:pPr>
      <w:r>
        <w:rPr>
          <w:rFonts w:ascii="Calibri" w:cs="Calibri" w:eastAsia="Calibri" w:hAnsi="Calibri"/>
          <w:color w:val="22292F"/>
          <w:sz w:val="21"/>
          <w:szCs w:val="21"/>
        </w:rPr>
        <w:t xml:space="preserve">This is the most overlooked category and often the fastest return. Somewhere on the web, people have already mentioned you or your work without linking, or have linked to something of yours that has since moved.</w:t>
      </w:r>
    </w:p>
    <w:p>
      <w:pPr>
        <w:pStyle w:val="ListParagraph"/>
        <w:numPr>
          <w:ilvl w:val="0"/>
          <w:numId w:val="2"/>
        </w:numPr>
        <w:spacing w:after="70" w:line="276"/>
      </w:pPr>
      <w:r>
        <w:rPr>
          <w:rFonts w:ascii="Calibri" w:cs="Calibri" w:eastAsia="Calibri" w:hAnsi="Calibri"/>
          <w:color w:val="22292F"/>
          <w:sz w:val="21"/>
          <w:szCs w:val="21"/>
        </w:rPr>
        <w:t xml:space="preserve">Search for "Yorik Tisseau" and "Ignis Leadership" in quotes, across Google, Bing and LinkedIn. Anywhere the name appears without a link, ask for one. The ask is trivial and the success rate is high because the person already chose to mention you.</w:t>
      </w:r>
    </w:p>
    <w:p>
      <w:pPr>
        <w:pStyle w:val="ListParagraph"/>
        <w:numPr>
          <w:ilvl w:val="0"/>
          <w:numId w:val="2"/>
        </w:numPr>
        <w:spacing w:after="70" w:line="276"/>
      </w:pPr>
      <w:r>
        <w:rPr>
          <w:rFonts w:ascii="Calibri" w:cs="Calibri" w:eastAsia="Calibri" w:hAnsi="Calibri"/>
          <w:color w:val="22292F"/>
          <w:sz w:val="21"/>
          <w:szCs w:val="21"/>
        </w:rPr>
        <w:t xml:space="preserve">Check every organisation you have a genuine relationship with for a partner, alumni, member or supplier page. Professional bodies, training providers, past collaborators, anyone who has run a workshop with you.</w:t>
      </w:r>
    </w:p>
    <w:p>
      <w:pPr>
        <w:pStyle w:val="ListParagraph"/>
        <w:numPr>
          <w:ilvl w:val="0"/>
          <w:numId w:val="2"/>
        </w:numPr>
        <w:spacing w:after="70" w:line="276"/>
      </w:pPr>
      <w:r>
        <w:rPr>
          <w:rFonts w:ascii="Calibri" w:cs="Calibri" w:eastAsia="Calibri" w:hAnsi="Calibri"/>
          <w:color w:val="22292F"/>
          <w:sz w:val="21"/>
          <w:szCs w:val="21"/>
        </w:rPr>
        <w:t xml:space="preserve">If you have contributed to any industry report, panel, working group or webinar in the past two years, find the recording or write-up page and check whether it credits you with a link.</w:t>
      </w:r>
    </w:p>
    <w:p>
      <w:pPr>
        <w:pStyle w:val="ListParagraph"/>
        <w:numPr>
          <w:ilvl w:val="0"/>
          <w:numId w:val="2"/>
        </w:numPr>
        <w:spacing w:after="70" w:line="276"/>
      </w:pPr>
      <w:r>
        <w:rPr>
          <w:rFonts w:ascii="Calibri" w:cs="Calibri" w:eastAsia="Calibri" w:hAnsi="Calibri"/>
          <w:color w:val="22292F"/>
          <w:sz w:val="21"/>
          <w:szCs w:val="21"/>
        </w:rPr>
        <w:t xml:space="preserve">Look for resource pages in your niche: "bid management resources", "proposal management links", "procurement reading list". These pages exist to link out, and a well-written guide is exactly what their curators want.</w:t>
      </w:r>
    </w:p>
    <w:p>
      <w:pPr>
        <w:spacing w:after="160"/>
      </w:pPr>
    </w:p>
    <w:tbl>
      <w:tblPr>
        <w:tblW w:type="dxa" w:w="9746"/>
        <w:tblBorders>
          <w:top w:val="single" w:color="D6DCE5" w:sz="2"/>
          <w:left w:val="single" w:color="16485A" w:sz="18"/>
          <w:bottom w:val="single" w:color="D6DCE5" w:sz="2"/>
          <w:right w:val="single" w:color="D6DCE5" w:sz="2"/>
          <w:insideH w:val="none" w:color="FFFFFF" w:sz="0"/>
          <w:insideV w:val="none" w:color="FFFFFF" w:sz="0"/>
        </w:tblBorders>
      </w:tblPr>
      <w:tblGrid>
        <w:gridCol w:w="9746"/>
      </w:tblGrid>
      <w:tr>
        <w:tc>
          <w:tcPr>
            <w:tcW w:type="dxa" w:w="9746"/>
            <w:shd w:fill="EEF2F7" w:val="clear"/>
            <w:tcMar>
              <w:top w:type="dxa" w:w="140"/>
              <w:left w:type="dxa" w:w="200"/>
              <w:bottom w:type="dxa" w:w="140"/>
              <w:right w:type="dxa" w:w="200"/>
            </w:tcMar>
          </w:tcPr>
          <w:p>
            <w:pPr>
              <w:spacing w:after="60"/>
            </w:pPr>
            <w:r>
              <w:rPr>
                <w:rFonts w:ascii="Calibri" w:cs="Calibri" w:eastAsia="Calibri" w:hAnsi="Calibri"/>
                <w:b/>
                <w:bCs/>
                <w:color w:val="12213A"/>
                <w:sz w:val="21"/>
                <w:szCs w:val="21"/>
              </w:rPr>
              <w:t xml:space="preserve">The thirty-day outcome</w:t>
            </w:r>
          </w:p>
          <w:p>
            <w:pPr>
              <w:spacing w:after="0"/>
            </w:pPr>
            <w:r>
              <w:rPr>
                <w:rFonts w:ascii="Calibri" w:cs="Calibri" w:eastAsia="Calibri" w:hAnsi="Calibri"/>
                <w:color w:val="4A5568"/>
                <w:sz w:val="20"/>
                <w:szCs w:val="20"/>
              </w:rPr>
              <w:t xml:space="preserve">Realistically fifteen to twenty-five referring domains, mostly nofollow, mostly low authority. Rankings will barely move. That is expected. What you will have is a consistent entity footprint, which is what makes the earned coverage in months four onwards actually stick to your name.</w:t>
            </w:r>
          </w:p>
        </w:tc>
      </w:tr>
    </w:tbl>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3. The twelve-month arc</w:t>
      </w:r>
    </w:p>
    <w:p>
      <w:pPr>
        <w:spacing w:after="140" w:line="276"/>
      </w:pPr>
      <w:r>
        <w:rPr>
          <w:rFonts w:ascii="Calibri" w:cs="Calibri" w:eastAsia="Calibri" w:hAnsi="Calibri"/>
          <w:color w:val="22292F"/>
          <w:sz w:val="21"/>
          <w:szCs w:val="21"/>
        </w:rPr>
        <w:t xml:space="preserve">The programme has four phases. Each builds on the one before, and the sequence matters: pitching a trade publication in month two, before you have a body of published work to point at, wastes the contact. The time commitment is deliberately modest and assumes this is a few hours a week alongside client work, not a full-time effort.</w:t>
      </w:r>
    </w:p>
    <w:p>
      <w:pPr>
        <w:spacing w:after="120"/>
      </w:pP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1559"/>
        <w:gridCol w:w="1170"/>
        <w:gridCol w:w="3898"/>
        <w:gridCol w:w="1559"/>
        <w:gridCol w:w="1560"/>
      </w:tblGrid>
      <w:tr>
        <w:trPr>
          <w:tblHeader/>
        </w:trPr>
        <w:tc>
          <w:tcPr>
            <w:tcW w:type="dxa" w:w="155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Phase</w:t>
            </w:r>
          </w:p>
        </w:tc>
        <w:tc>
          <w:tcPr>
            <w:tcW w:type="dxa" w:w="1170"/>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Months</w:t>
            </w:r>
          </w:p>
        </w:tc>
        <w:tc>
          <w:tcPr>
            <w:tcW w:type="dxa" w:w="3898"/>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Focus</w:t>
            </w:r>
          </w:p>
        </w:tc>
        <w:tc>
          <w:tcPr>
            <w:tcW w:type="dxa" w:w="155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Time / week</w:t>
            </w:r>
          </w:p>
        </w:tc>
        <w:tc>
          <w:tcPr>
            <w:tcW w:type="dxa" w:w="1560"/>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Target new domains</w:t>
            </w:r>
          </w:p>
        </w:tc>
      </w:tr>
      <w:tr>
        <w:trPr>
          <w:tblHeader w:val="false"/>
        </w:trPr>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Foundation</w:t>
            </w:r>
          </w:p>
        </w:tc>
        <w:tc>
          <w:tcPr>
            <w:tcW w:type="dxa" w:w="117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 to 3</w:t>
            </w:r>
          </w:p>
        </w:tc>
        <w:tc>
          <w:tcPr>
            <w:tcW w:type="dxa" w:w="389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Profiles, directories, unlinked mentions, content depth</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 to 3 hrs</w:t>
            </w:r>
          </w:p>
        </w:tc>
        <w:tc>
          <w:tcPr>
            <w:tcW w:type="dxa" w:w="156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20 to 25</w:t>
            </w:r>
          </w:p>
        </w:tc>
      </w:tr>
      <w:tr>
        <w:trPr>
          <w:tblHeader w:val="false"/>
        </w:trPr>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Earned content</w:t>
            </w:r>
          </w:p>
        </w:tc>
        <w:tc>
          <w:tcPr>
            <w:tcW w:type="dxa" w:w="117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 to 6</w:t>
            </w:r>
          </w:p>
        </w:tc>
        <w:tc>
          <w:tcPr>
            <w:tcW w:type="dxa" w:w="389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Guest articles, podcasts, expert commentary</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 to 4 hrs</w:t>
            </w:r>
          </w:p>
        </w:tc>
        <w:tc>
          <w:tcPr>
            <w:tcW w:type="dxa" w:w="156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10 to 15</w:t>
            </w:r>
          </w:p>
        </w:tc>
      </w:tr>
      <w:tr>
        <w:trPr>
          <w:tblHeader w:val="false"/>
        </w:trPr>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Original research</w:t>
            </w:r>
          </w:p>
        </w:tc>
        <w:tc>
          <w:tcPr>
            <w:tcW w:type="dxa" w:w="117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7 to 9</w:t>
            </w:r>
          </w:p>
        </w:tc>
        <w:tc>
          <w:tcPr>
            <w:tcW w:type="dxa" w:w="389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Benchmark study, data asset, press outreach</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 to 5 hrs</w:t>
            </w:r>
          </w:p>
        </w:tc>
        <w:tc>
          <w:tcPr>
            <w:tcW w:type="dxa" w:w="156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10 to 20</w:t>
            </w:r>
          </w:p>
        </w:tc>
      </w:tr>
      <w:tr>
        <w:trPr>
          <w:tblHeader w:val="false"/>
        </w:trPr>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Authority</w:t>
            </w:r>
          </w:p>
        </w:tc>
        <w:tc>
          <w:tcPr>
            <w:tcW w:type="dxa" w:w="117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10 to 12</w:t>
            </w:r>
          </w:p>
        </w:tc>
        <w:tc>
          <w:tcPr>
            <w:tcW w:type="dxa" w:w="389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Speaking, partnerships, syndication, compounding</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 to 3 hrs</w:t>
            </w:r>
          </w:p>
        </w:tc>
        <w:tc>
          <w:tcPr>
            <w:tcW w:type="dxa" w:w="156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8 to 12</w:t>
            </w:r>
          </w:p>
        </w:tc>
      </w:tr>
    </w:tbl>
    <w:p>
      <w:pPr>
        <w:spacing w:after="240"/>
      </w:pPr>
    </w:p>
    <w:p>
      <w:pPr>
        <w:pStyle w:val="Heading2"/>
        <w:spacing w:after="120" w:before="300"/>
      </w:pPr>
      <w:r>
        <w:rPr>
          <w:rFonts w:ascii="Calibri" w:cs="Calibri" w:eastAsia="Calibri" w:hAnsi="Calibri"/>
          <w:b/>
          <w:bCs/>
          <w:color w:val="16485A"/>
          <w:sz w:val="25"/>
          <w:szCs w:val="25"/>
        </w:rPr>
        <w:t xml:space="preserve">Phase 1, months 1 to 3: foundation</w:t>
      </w:r>
    </w:p>
    <w:p>
      <w:pPr>
        <w:spacing w:after="140" w:line="276"/>
      </w:pPr>
      <w:r>
        <w:rPr>
          <w:rFonts w:ascii="Calibri" w:cs="Calibri" w:eastAsia="Calibri" w:hAnsi="Calibri"/>
          <w:color w:val="22292F"/>
          <w:sz w:val="21"/>
          <w:szCs w:val="21"/>
        </w:rPr>
        <w:t xml:space="preserve">Complete the entire quick-win list in month one. Then spend months two and three doing something that feels like it has nothing to do with links, because it is the precondition for all of them: building enough published depth that a stranger has a reason to cite you.</w:t>
      </w:r>
    </w:p>
    <w:p>
      <w:pPr>
        <w:spacing w:after="140" w:line="276"/>
      </w:pPr>
      <w:r>
        <w:rPr>
          <w:rFonts w:ascii="Calibri" w:cs="Calibri" w:eastAsia="Calibri" w:hAnsi="Calibri"/>
          <w:color w:val="22292F"/>
          <w:sz w:val="21"/>
          <w:szCs w:val="21"/>
        </w:rPr>
        <w:t xml:space="preserve">You currently have three guides and three newsletter editions. That is a credible start and not yet enough. Nobody links to a consultancy's services page. They link to the thing that explained something to them. The realistic target is to reach roughly twelve to fifteen substantial published pieces by the end of month three, which at your existing cadence is achievable without changing much.</w:t>
      </w:r>
    </w:p>
    <w:p>
      <w:pPr>
        <w:pStyle w:val="Heading3"/>
        <w:spacing w:after="90" w:before="220"/>
      </w:pPr>
      <w:r>
        <w:rPr>
          <w:rFonts w:ascii="Calibri" w:cs="Calibri" w:eastAsia="Calibri" w:hAnsi="Calibri"/>
          <w:b/>
          <w:bCs/>
          <w:color w:val="12213A"/>
          <w:sz w:val="22"/>
          <w:szCs w:val="22"/>
        </w:rPr>
        <w:t xml:space="preserve">What to write, specifically</w:t>
      </w:r>
    </w:p>
    <w:p>
      <w:pPr>
        <w:spacing w:after="140" w:line="276"/>
      </w:pPr>
      <w:r>
        <w:rPr>
          <w:rFonts w:ascii="Calibri" w:cs="Calibri" w:eastAsia="Calibri" w:hAnsi="Calibri"/>
          <w:color w:val="22292F"/>
          <w:sz w:val="21"/>
          <w:szCs w:val="21"/>
        </w:rPr>
        <w:t xml:space="preserve">Prioritise pieces that are structurally linkable. In practice that means one of four shapes.</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339"/>
        <w:gridCol w:w="3509"/>
        <w:gridCol w:w="3898"/>
      </w:tblGrid>
      <w:tr>
        <w:trPr>
          <w:tblHeader/>
        </w:trPr>
        <w:tc>
          <w:tcPr>
            <w:tcW w:type="dxa" w:w="233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Shape</w:t>
            </w:r>
          </w:p>
        </w:tc>
        <w:tc>
          <w:tcPr>
            <w:tcW w:type="dxa" w:w="350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Why it attracts links</w:t>
            </w:r>
          </w:p>
        </w:tc>
        <w:tc>
          <w:tcPr>
            <w:tcW w:type="dxa" w:w="3898"/>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Example for Ignis</w:t>
            </w:r>
          </w:p>
        </w:tc>
      </w:tr>
      <w:tr>
        <w:trPr>
          <w:tblHeader w:val="false"/>
        </w:trPr>
        <w:tc>
          <w:tcPr>
            <w:tcW w:type="dxa" w:w="233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definitive guide to a term you own</w:t>
            </w:r>
          </w:p>
        </w:tc>
        <w:tc>
          <w:tcPr>
            <w:tcW w:type="dxa" w:w="350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Becomes the citation of record when anyone else uses the term. This is how you make your own vocabulary do link-building work.</w:t>
            </w:r>
          </w:p>
        </w:tc>
        <w:tc>
          <w:tcPr>
            <w:tcW w:type="dxa" w:w="389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 canonical page for "AI-augmented bid practice" and another for the "governed bid delivery framework", each written to be the page someone links to when they need to explain what it means.</w:t>
            </w:r>
          </w:p>
        </w:tc>
      </w:tr>
      <w:tr>
        <w:trPr>
          <w:tblHeader w:val="false"/>
        </w:trPr>
        <w:tc>
          <w:tcPr>
            <w:tcW w:type="dxa" w:w="233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framework or model with a diagram</w:t>
            </w:r>
          </w:p>
        </w:tc>
        <w:tc>
          <w:tcPr>
            <w:tcW w:type="dxa" w:w="350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Diagrams get embedded and re-shared, usually with attribution. A named model is far more citable than an unnamed argument.</w:t>
            </w:r>
          </w:p>
        </w:tc>
        <w:tc>
          <w:tcPr>
            <w:tcW w:type="dxa" w:w="389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three lifecycle stages, drawn properly: capture, pursuit and proposal, handover and learning, with the decision rights marked at each stage.</w:t>
            </w:r>
          </w:p>
        </w:tc>
      </w:tr>
      <w:tr>
        <w:trPr>
          <w:tblHeader w:val="false"/>
        </w:trPr>
        <w:tc>
          <w:tcPr>
            <w:tcW w:type="dxa" w:w="233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contrarian, well-argued position</w:t>
            </w:r>
          </w:p>
        </w:tc>
        <w:tc>
          <w:tcPr>
            <w:tcW w:type="dxa" w:w="350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Disagreement generates response posts, and response posts link. Your existing "the proposal is becoming the easy part" is exactly this shape.</w:t>
            </w:r>
          </w:p>
        </w:tc>
        <w:tc>
          <w:tcPr>
            <w:tcW w:type="dxa" w:w="389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Something like: why most bid AI pilots fail for governance reasons rather than technical ones, argued against the prevailing tooling-first narrative.</w:t>
            </w:r>
          </w:p>
        </w:tc>
      </w:tr>
      <w:tr>
        <w:trPr>
          <w:tblHeader w:val="false"/>
        </w:trPr>
        <w:tc>
          <w:tcPr>
            <w:tcW w:type="dxa" w:w="233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practical template or checklist</w:t>
            </w:r>
          </w:p>
        </w:tc>
        <w:tc>
          <w:tcPr>
            <w:tcW w:type="dxa" w:w="350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Gets bookmarked and shared internally, then linked from resource pages and newsletters.</w:t>
            </w:r>
          </w:p>
        </w:tc>
        <w:tc>
          <w:tcPr>
            <w:tcW w:type="dxa" w:w="389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 bid AI governance checklist, or a one-page decision-rights matrix that a bid director can actually take into a meeting.</w:t>
            </w:r>
          </w:p>
        </w:tc>
      </w:tr>
    </w:tbl>
    <w:p>
      <w:pPr>
        <w:spacing w:after="200"/>
      </w:pPr>
    </w:p>
    <w:p>
      <w:pPr>
        <w:spacing w:after="140" w:line="276"/>
      </w:pPr>
      <w:r>
        <w:rPr>
          <w:rFonts w:ascii="Calibri" w:cs="Calibri" w:eastAsia="Calibri" w:hAnsi="Calibri"/>
          <w:color w:val="22292F"/>
          <w:sz w:val="21"/>
          <w:szCs w:val="21"/>
        </w:rPr>
        <w:t xml:space="preserve">One caution on the framework piece: put the diagram on your own page first, at a stable URL, before it appears anywhere else. Diagrams travel fast and they lose their attribution quickly. A visible source line inside the image itself is worth the small aesthetic cost.</w:t>
      </w:r>
    </w:p>
    <w:p>
      <w:pPr>
        <w:spacing w:after="160"/>
      </w:pPr>
    </w:p>
    <w:p>
      <w:pPr>
        <w:pStyle w:val="Heading3"/>
        <w:spacing w:after="90" w:before="220"/>
      </w:pPr>
      <w:r>
        <w:rPr>
          <w:rFonts w:ascii="Calibri" w:cs="Calibri" w:eastAsia="Calibri" w:hAnsi="Calibri"/>
          <w:b/>
          <w:bCs/>
          <w:color w:val="12213A"/>
          <w:sz w:val="22"/>
          <w:szCs w:val="22"/>
        </w:rPr>
        <w:t xml:space="preserve">Also in phase one</w:t>
      </w:r>
    </w:p>
    <w:p>
      <w:pPr>
        <w:pStyle w:val="ListParagraph"/>
        <w:numPr>
          <w:ilvl w:val="0"/>
          <w:numId w:val="2"/>
        </w:numPr>
        <w:spacing w:after="70" w:line="276"/>
      </w:pPr>
      <w:r>
        <w:rPr>
          <w:rFonts w:ascii="Calibri" w:cs="Calibri" w:eastAsia="Calibri" w:hAnsi="Calibri"/>
          <w:color w:val="22292F"/>
          <w:sz w:val="21"/>
          <w:szCs w:val="21"/>
        </w:rPr>
        <w:t xml:space="preserve">Set up the tracking sheet described in section 6. Do this in week one, not month six.</w:t>
      </w:r>
    </w:p>
    <w:p>
      <w:pPr>
        <w:pStyle w:val="ListParagraph"/>
        <w:numPr>
          <w:ilvl w:val="0"/>
          <w:numId w:val="2"/>
        </w:numPr>
        <w:spacing w:after="70" w:line="276"/>
      </w:pPr>
      <w:r>
        <w:rPr>
          <w:rFonts w:ascii="Calibri" w:cs="Calibri" w:eastAsia="Calibri" w:hAnsi="Calibri"/>
          <w:color w:val="22292F"/>
          <w:sz w:val="21"/>
          <w:szCs w:val="21"/>
        </w:rPr>
        <w:t xml:space="preserve">Claim Google Search Console and Bing Webmaster Tools if not already done, and check the links report monthly. Both are free and both show you links you did not know you had.</w:t>
      </w:r>
    </w:p>
    <w:p>
      <w:pPr>
        <w:pStyle w:val="ListParagraph"/>
        <w:numPr>
          <w:ilvl w:val="0"/>
          <w:numId w:val="2"/>
        </w:numPr>
        <w:spacing w:after="70" w:line="276"/>
      </w:pPr>
      <w:r>
        <w:rPr>
          <w:rFonts w:ascii="Calibri" w:cs="Calibri" w:eastAsia="Calibri" w:hAnsi="Calibri"/>
          <w:color w:val="22292F"/>
          <w:sz w:val="21"/>
          <w:szCs w:val="21"/>
        </w:rPr>
        <w:t xml:space="preserve">Start the outreach contact list: fifty named people across trade press, podcasts, professional bodies and adjacent consultancies. Names, not organisations. You will use this from month four.</w:t>
      </w:r>
    </w:p>
    <w:p>
      <w:pPr>
        <w:pStyle w:val="ListParagraph"/>
        <w:numPr>
          <w:ilvl w:val="0"/>
          <w:numId w:val="2"/>
        </w:numPr>
        <w:spacing w:after="70" w:line="276"/>
      </w:pPr>
      <w:r>
        <w:rPr>
          <w:rFonts w:ascii="Calibri" w:cs="Calibri" w:eastAsia="Calibri" w:hAnsi="Calibri"/>
          <w:color w:val="22292F"/>
          <w:sz w:val="21"/>
          <w:szCs w:val="21"/>
        </w:rPr>
        <w:t xml:space="preserve">Begin posting the newsletter content to LinkedIn as native articles with a canonical link back to the site. Native LinkedIn distribution reaches far more people than the newsletter alone, and the link back is a legitimate reason for readers to arrive on the domain.</w:t>
      </w:r>
    </w:p>
    <w:p>
      <w:r>
        <w:br w:type="page"/>
      </w:r>
    </w:p>
    <w:p>
      <w:pPr>
        <w:pStyle w:val="Heading2"/>
        <w:spacing w:after="120" w:before="300"/>
      </w:pPr>
      <w:r>
        <w:rPr>
          <w:rFonts w:ascii="Calibri" w:cs="Calibri" w:eastAsia="Calibri" w:hAnsi="Calibri"/>
          <w:b/>
          <w:bCs/>
          <w:color w:val="16485A"/>
          <w:sz w:val="25"/>
          <w:szCs w:val="25"/>
        </w:rPr>
        <w:t xml:space="preserve">Phase 2, months 4 to 6: earned content</w:t>
      </w:r>
    </w:p>
    <w:p>
      <w:pPr>
        <w:spacing w:after="140" w:line="276"/>
      </w:pPr>
      <w:r>
        <w:rPr>
          <w:rFonts w:ascii="Calibri" w:cs="Calibri" w:eastAsia="Calibri" w:hAnsi="Calibri"/>
          <w:color w:val="22292F"/>
          <w:sz w:val="21"/>
          <w:szCs w:val="21"/>
        </w:rPr>
        <w:t xml:space="preserve">Now you have something to point at, start asking other people for space. Three channels, run in parallel.</w:t>
      </w:r>
    </w:p>
    <w:p>
      <w:pPr>
        <w:pStyle w:val="Heading3"/>
        <w:spacing w:after="90" w:before="220"/>
      </w:pPr>
      <w:r>
        <w:rPr>
          <w:rFonts w:ascii="Calibri" w:cs="Calibri" w:eastAsia="Calibri" w:hAnsi="Calibri"/>
          <w:b/>
          <w:bCs/>
          <w:color w:val="12213A"/>
          <w:sz w:val="22"/>
          <w:szCs w:val="22"/>
        </w:rPr>
        <w:t xml:space="preserve">Guest articles in trade press</w:t>
      </w:r>
    </w:p>
    <w:p>
      <w:pPr>
        <w:spacing w:after="140" w:line="276"/>
      </w:pPr>
      <w:r>
        <w:rPr>
          <w:rFonts w:ascii="Calibri" w:cs="Calibri" w:eastAsia="Calibri" w:hAnsi="Calibri"/>
          <w:color w:val="22292F"/>
          <w:sz w:val="21"/>
          <w:szCs w:val="21"/>
        </w:rPr>
        <w:t xml:space="preserve">Your sectors have a well-defined trade press, most of it hungry for expert contributions because their commissioning budgets are thin. The following are the outlets worth approaching, though you should check each one's current contributor policy before pitching, since these change.</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144"/>
        <w:gridCol w:w="3703"/>
        <w:gridCol w:w="3899"/>
      </w:tblGrid>
      <w:tr>
        <w:trPr>
          <w:tblHeader/>
        </w:trPr>
        <w:tc>
          <w:tcPr>
            <w:tcW w:type="dxa" w:w="214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Sector</w:t>
            </w:r>
          </w:p>
        </w:tc>
        <w:tc>
          <w:tcPr>
            <w:tcW w:type="dxa" w:w="3703"/>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Outlets to approach</w:t>
            </w:r>
          </w:p>
        </w:tc>
        <w:tc>
          <w:tcPr>
            <w:tcW w:type="dxa" w:w="389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Angle that works</w:t>
            </w:r>
          </w:p>
        </w:tc>
      </w:tr>
      <w:tr>
        <w:trPr>
          <w:tblHeader w:val="false"/>
        </w:trPr>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Construction and infrastructure</w:t>
            </w:r>
          </w:p>
        </w:tc>
        <w:tc>
          <w:tcPr>
            <w:tcW w:type="dxa" w:w="370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Construction News, Building, Infrastructure Intelligence, PBC Today, Construction Enquirer, New Civil Engineer</w:t>
            </w:r>
          </w:p>
        </w:tc>
        <w:tc>
          <w:tcPr>
            <w:tcW w:type="dxa" w:w="389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bid capacity problem. Contractors are bidding more work with the same team and losing on quality scores. Frame AI as a capacity and judgement issue, not a technology story.</w:t>
            </w:r>
          </w:p>
        </w:tc>
      </w:tr>
      <w:tr>
        <w:trPr>
          <w:tblHeader w:val="false"/>
        </w:trPr>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Procurement and supply chain</w:t>
            </w:r>
          </w:p>
        </w:tc>
        <w:tc>
          <w:tcPr>
            <w:tcW w:type="dxa" w:w="3703"/>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Supply Management (CIPS), Procurement Magazine, Government Business, Public Sector Executive</w:t>
            </w:r>
          </w:p>
        </w:tc>
        <w:tc>
          <w:tcPr>
            <w:tcW w:type="dxa" w:w="389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buyer's view. What happens to evaluation when every bidder submits AI-assisted responses of similar surface quality, and what buyers should change about how they score.</w:t>
            </w:r>
          </w:p>
        </w:tc>
      </w:tr>
      <w:tr>
        <w:trPr>
          <w:tblHeader w:val="false"/>
        </w:trPr>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Energy and renewables</w:t>
            </w:r>
          </w:p>
        </w:tc>
        <w:tc>
          <w:tcPr>
            <w:tcW w:type="dxa" w:w="370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Utility Week, Current News, reNEWS, New Power</w:t>
            </w:r>
          </w:p>
        </w:tc>
        <w:tc>
          <w:tcPr>
            <w:tcW w:type="dxa" w:w="389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Your bp and RWE background gives you standing here that very few bid consultants have. Write about bidding into complex, long-cycle energy frameworks.</w:t>
            </w:r>
          </w:p>
        </w:tc>
      </w:tr>
      <w:tr>
        <w:trPr>
          <w:tblHeader w:val="false"/>
        </w:trPr>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Proposal and bid profession</w:t>
            </w:r>
          </w:p>
        </w:tc>
        <w:tc>
          <w:tcPr>
            <w:tcW w:type="dxa" w:w="3703"/>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APMP Winning Proposals / chapter publications, independent bid and proposal blogs, LinkedIn newsletters in the space</w:t>
            </w:r>
          </w:p>
        </w:tc>
        <w:tc>
          <w:tcPr>
            <w:tcW w:type="dxa" w:w="389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operating-model argument, in full technical detail. This audience will engage with the governance framework properly rather than needing it simplified.</w:t>
            </w:r>
          </w:p>
        </w:tc>
      </w:tr>
      <w:tr>
        <w:trPr>
          <w:tblHeader w:val="false"/>
        </w:trPr>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Business and management</w:t>
            </w:r>
          </w:p>
        </w:tc>
        <w:tc>
          <w:tcPr>
            <w:tcW w:type="dxa" w:w="370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Management Today, Real Business, Business Leader, HR and L&amp;D press for the coaching angle</w:t>
            </w:r>
          </w:p>
        </w:tc>
        <w:tc>
          <w:tcPr>
            <w:tcW w:type="dxa" w:w="389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Human accountability in agent-assisted work. Broader reach, less qualified, but strong authority domains.</w:t>
            </w:r>
          </w:p>
        </w:tc>
      </w:tr>
    </w:tbl>
    <w:p>
      <w:pPr>
        <w:spacing w:after="200"/>
      </w:pPr>
    </w:p>
    <w:p>
      <w:pPr>
        <w:spacing w:after="140" w:line="276"/>
      </w:pPr>
      <w:r>
        <w:rPr>
          <w:rFonts w:ascii="Calibri" w:cs="Calibri" w:eastAsia="Calibri" w:hAnsi="Calibri"/>
          <w:color w:val="22292F"/>
          <w:sz w:val="21"/>
          <w:szCs w:val="21"/>
        </w:rPr>
        <w:t xml:space="preserve">Aim for one placed article a month from month four. Expect a response rate around one in five on cold pitches, better once you have two or three published pieces to reference. Always ask for a link in the author bio to the homepage, and a contextual link in the body to the most relevant guide. Editors will usually allow one of each; some allow neither in the body, which is still worth doing for the byline.</w:t>
      </w:r>
    </w:p>
    <w:p>
      <w:pPr>
        <w:spacing w:after="140"/>
      </w:pPr>
    </w:p>
    <w:p>
      <w:pPr>
        <w:pStyle w:val="Heading3"/>
        <w:spacing w:after="90" w:before="220"/>
      </w:pPr>
      <w:r>
        <w:rPr>
          <w:rFonts w:ascii="Calibri" w:cs="Calibri" w:eastAsia="Calibri" w:hAnsi="Calibri"/>
          <w:b/>
          <w:bCs/>
          <w:color w:val="12213A"/>
          <w:sz w:val="22"/>
          <w:szCs w:val="22"/>
        </w:rPr>
        <w:t xml:space="preserve">Podcasts</w:t>
      </w:r>
    </w:p>
    <w:p>
      <w:pPr>
        <w:spacing w:after="140" w:line="276"/>
      </w:pPr>
      <w:r>
        <w:rPr>
          <w:rFonts w:ascii="Calibri" w:cs="Calibri" w:eastAsia="Calibri" w:hAnsi="Calibri"/>
          <w:color w:val="22292F"/>
          <w:sz w:val="21"/>
          <w:szCs w:val="21"/>
        </w:rPr>
        <w:t xml:space="preserve">Podcasts are the highest return per hour in the whole programme. One recording produces a show-notes page with links, a transcript that gets indexed and retrieved by answer engines, a clip you can post for months, and a warm relationship with a host who knows other hosts. There is no gatekeeper beyond the host, and hosts of niche B2B shows are actively looking for guests.</w:t>
      </w:r>
    </w:p>
    <w:p>
      <w:pPr>
        <w:spacing w:after="140" w:line="276"/>
      </w:pPr>
      <w:r>
        <w:rPr>
          <w:rFonts w:ascii="Calibri" w:cs="Calibri" w:eastAsia="Calibri" w:hAnsi="Calibri"/>
          <w:color w:val="22292F"/>
          <w:sz w:val="21"/>
          <w:szCs w:val="21"/>
        </w:rPr>
        <w:t xml:space="preserve">Target categories rather than a fixed list, since niche podcast catalogues turn over quickly. Search for current shows in each and check they have published in the last three months.</w:t>
      </w:r>
    </w:p>
    <w:p>
      <w:pPr>
        <w:pStyle w:val="ListParagraph"/>
        <w:numPr>
          <w:ilvl w:val="0"/>
          <w:numId w:val="2"/>
        </w:numPr>
        <w:spacing w:after="70" w:line="276"/>
      </w:pPr>
      <w:r>
        <w:rPr>
          <w:rFonts w:ascii="Calibri" w:cs="Calibri" w:eastAsia="Calibri" w:hAnsi="Calibri"/>
          <w:color w:val="22292F"/>
          <w:sz w:val="21"/>
          <w:szCs w:val="21"/>
        </w:rPr>
        <w:t xml:space="preserve">Bid, proposal and tender management shows, including anything published by or around APMP.</w:t>
      </w:r>
    </w:p>
    <w:p>
      <w:pPr>
        <w:pStyle w:val="ListParagraph"/>
        <w:numPr>
          <w:ilvl w:val="0"/>
          <w:numId w:val="2"/>
        </w:numPr>
        <w:spacing w:after="70" w:line="276"/>
      </w:pPr>
      <w:r>
        <w:rPr>
          <w:rFonts w:ascii="Calibri" w:cs="Calibri" w:eastAsia="Calibri" w:hAnsi="Calibri"/>
          <w:color w:val="22292F"/>
          <w:sz w:val="21"/>
          <w:szCs w:val="21"/>
        </w:rPr>
        <w:t xml:space="preserve">Construction and infrastructure business podcasts, particularly ones focused on commercial and pre-construction rather than site delivery.</w:t>
      </w:r>
    </w:p>
    <w:p>
      <w:pPr>
        <w:pStyle w:val="ListParagraph"/>
        <w:numPr>
          <w:ilvl w:val="0"/>
          <w:numId w:val="2"/>
        </w:numPr>
        <w:spacing w:after="70" w:line="276"/>
      </w:pPr>
      <w:r>
        <w:rPr>
          <w:rFonts w:ascii="Calibri" w:cs="Calibri" w:eastAsia="Calibri" w:hAnsi="Calibri"/>
          <w:color w:val="22292F"/>
          <w:sz w:val="21"/>
          <w:szCs w:val="21"/>
        </w:rPr>
        <w:t xml:space="preserve">Procurement and public sector commissioning podcasts.</w:t>
      </w:r>
    </w:p>
    <w:p>
      <w:pPr>
        <w:pStyle w:val="ListParagraph"/>
        <w:numPr>
          <w:ilvl w:val="0"/>
          <w:numId w:val="2"/>
        </w:numPr>
        <w:spacing w:after="70" w:line="276"/>
      </w:pPr>
      <w:r>
        <w:rPr>
          <w:rFonts w:ascii="Calibri" w:cs="Calibri" w:eastAsia="Calibri" w:hAnsi="Calibri"/>
          <w:color w:val="22292F"/>
          <w:sz w:val="21"/>
          <w:szCs w:val="21"/>
        </w:rPr>
        <w:t xml:space="preserve">Applied AI in enterprise shows, where your specificity is the differentiator against the endless supply of generalist AI guests.</w:t>
      </w:r>
    </w:p>
    <w:p>
      <w:pPr>
        <w:pStyle w:val="ListParagraph"/>
        <w:numPr>
          <w:ilvl w:val="0"/>
          <w:numId w:val="2"/>
        </w:numPr>
        <w:spacing w:after="70" w:line="276"/>
      </w:pPr>
      <w:r>
        <w:rPr>
          <w:rFonts w:ascii="Calibri" w:cs="Calibri" w:eastAsia="Calibri" w:hAnsi="Calibri"/>
          <w:color w:val="22292F"/>
          <w:sz w:val="21"/>
          <w:szCs w:val="21"/>
        </w:rPr>
        <w:t xml:space="preserve">Coaching and leadership podcasts, where the ICF credential plus the AI angle is an unusual combination.</w:t>
      </w:r>
    </w:p>
    <w:p>
      <w:pPr>
        <w:spacing w:after="140"/>
      </w:pPr>
    </w:p>
    <w:p>
      <w:pPr>
        <w:spacing w:after="140" w:line="276"/>
      </w:pPr>
      <w:r>
        <w:rPr>
          <w:rFonts w:ascii="Calibri" w:cs="Calibri" w:eastAsia="Calibri" w:hAnsi="Calibri"/>
          <w:color w:val="22292F"/>
          <w:sz w:val="21"/>
          <w:szCs w:val="21"/>
        </w:rPr>
        <w:t xml:space="preserve">Pitch six to eight shows a month. Realistically two or three will say yes over the quarter. Send a short pitch with three specific talking points and one link to a piece that proves you can hold a view, not a biography.</w:t>
      </w:r>
    </w:p>
    <w:p>
      <w:pPr>
        <w:spacing w:after="140"/>
      </w:pPr>
    </w:p>
    <w:p>
      <w:pPr>
        <w:pStyle w:val="Heading3"/>
        <w:spacing w:after="90" w:before="220"/>
      </w:pPr>
      <w:r>
        <w:rPr>
          <w:rFonts w:ascii="Calibri" w:cs="Calibri" w:eastAsia="Calibri" w:hAnsi="Calibri"/>
          <w:b/>
          <w:bCs/>
          <w:color w:val="12213A"/>
          <w:sz w:val="22"/>
          <w:szCs w:val="22"/>
        </w:rPr>
        <w:t xml:space="preserve">Expert commentary</w:t>
      </w:r>
    </w:p>
    <w:p>
      <w:pPr>
        <w:spacing w:after="140" w:line="276"/>
      </w:pPr>
      <w:r>
        <w:rPr>
          <w:rFonts w:ascii="Calibri" w:cs="Calibri" w:eastAsia="Calibri" w:hAnsi="Calibri"/>
          <w:color w:val="22292F"/>
          <w:sz w:val="21"/>
          <w:szCs w:val="21"/>
        </w:rPr>
        <w:t xml:space="preserve">Journalists need quotes on deadline, and services exist to connect them with sources. In the UK the relevant ones are Featured, Qwoted, ResponseSource and JournoLink, plus the #journorequest hashtag on LinkedIn and Bluesky. Sign up for the free tiers, filter to construction, procurement, AI and business, and respond fast.</w:t>
      </w:r>
    </w:p>
    <w:p>
      <w:pPr>
        <w:spacing w:after="140" w:line="276"/>
      </w:pPr>
      <w:r>
        <w:rPr>
          <w:rFonts w:ascii="Calibri" w:cs="Calibri" w:eastAsia="Calibri" w:hAnsi="Calibri"/>
          <w:color w:val="22292F"/>
          <w:sz w:val="21"/>
          <w:szCs w:val="21"/>
        </w:rPr>
        <w:t xml:space="preserve">The discipline that makes this work: reply within two hours, give a usable quote of forty to eighty words that stands alone, and do not pitch your services. Most responses go nowhere. The ones that land put you in a national or trade publication with an attributed quote, which is worth more than almost anything else on this list, both for links and for the corroboration that answer engines look for.</w:t>
      </w:r>
    </w:p>
    <w:p>
      <w:r>
        <w:br w:type="page"/>
      </w:r>
    </w:p>
    <w:p>
      <w:pPr>
        <w:pStyle w:val="Heading2"/>
        <w:spacing w:after="120" w:before="300"/>
      </w:pPr>
      <w:r>
        <w:rPr>
          <w:rFonts w:ascii="Calibri" w:cs="Calibri" w:eastAsia="Calibri" w:hAnsi="Calibri"/>
          <w:b/>
          <w:bCs/>
          <w:color w:val="16485A"/>
          <w:sz w:val="25"/>
          <w:szCs w:val="25"/>
        </w:rPr>
        <w:t xml:space="preserve">Phase 3, months 7 to 9: original research</w:t>
      </w:r>
    </w:p>
    <w:p>
      <w:pPr>
        <w:spacing w:after="140" w:line="276"/>
      </w:pPr>
      <w:r>
        <w:rPr>
          <w:rFonts w:ascii="Calibri" w:cs="Calibri" w:eastAsia="Calibri" w:hAnsi="Calibri"/>
          <w:color w:val="22292F"/>
          <w:sz w:val="21"/>
          <w:szCs w:val="21"/>
        </w:rPr>
        <w:t xml:space="preserve">This is the highest-leverage quarter, and if you only do one ambitious thing in the twelve months, do this one.</w:t>
      </w:r>
    </w:p>
    <w:p>
      <w:pPr>
        <w:spacing w:after="140" w:line="276"/>
      </w:pPr>
      <w:r>
        <w:rPr>
          <w:rFonts w:ascii="Calibri" w:cs="Calibri" w:eastAsia="Calibri" w:hAnsi="Calibri"/>
          <w:color w:val="22292F"/>
          <w:sz w:val="21"/>
          <w:szCs w:val="21"/>
        </w:rPr>
        <w:t xml:space="preserve">Nobody links to an opinion, however good. Everybody links to a number. A piece of original research gives every journalist, blogger, consultant and analyst in your sector a reason to cite you by name, and each citation is permanent because the statistic does not go out of date until you replace it. It is also, separately, the single most effective way to get named by language models, for exactly the same reason.</w:t>
      </w:r>
    </w:p>
    <w:p>
      <w:pPr>
        <w:spacing w:after="140"/>
      </w:pPr>
    </w:p>
    <w:tbl>
      <w:tblPr>
        <w:tblW w:type="dxa" w:w="9746"/>
        <w:tblBorders>
          <w:top w:val="single" w:color="D6DCE5" w:sz="2"/>
          <w:left w:val="single" w:color="16485A" w:sz="18"/>
          <w:bottom w:val="single" w:color="D6DCE5" w:sz="2"/>
          <w:right w:val="single" w:color="D6DCE5" w:sz="2"/>
          <w:insideH w:val="none" w:color="FFFFFF" w:sz="0"/>
          <w:insideV w:val="none" w:color="FFFFFF" w:sz="0"/>
        </w:tblBorders>
      </w:tblPr>
      <w:tblGrid>
        <w:gridCol w:w="9746"/>
      </w:tblGrid>
      <w:tr>
        <w:tc>
          <w:tcPr>
            <w:tcW w:type="dxa" w:w="9746"/>
            <w:shd w:fill="EEF2F7" w:val="clear"/>
            <w:tcMar>
              <w:top w:type="dxa" w:w="140"/>
              <w:left w:type="dxa" w:w="200"/>
              <w:bottom w:type="dxa" w:w="140"/>
              <w:right w:type="dxa" w:w="200"/>
            </w:tcMar>
          </w:tcPr>
          <w:p>
            <w:pPr>
              <w:spacing w:after="60"/>
            </w:pPr>
            <w:r>
              <w:rPr>
                <w:rFonts w:ascii="Calibri" w:cs="Calibri" w:eastAsia="Calibri" w:hAnsi="Calibri"/>
                <w:b/>
                <w:bCs/>
                <w:color w:val="12213A"/>
                <w:sz w:val="21"/>
                <w:szCs w:val="21"/>
              </w:rPr>
              <w:t xml:space="preserve">The proposal</w:t>
            </w:r>
          </w:p>
          <w:p>
            <w:pPr>
              <w:spacing w:after="0"/>
            </w:pPr>
            <w:r>
              <w:rPr>
                <w:rFonts w:ascii="Calibri" w:cs="Calibri" w:eastAsia="Calibri" w:hAnsi="Calibri"/>
                <w:color w:val="4A5568"/>
                <w:sz w:val="20"/>
                <w:szCs w:val="20"/>
              </w:rPr>
              <w:t xml:space="preserve">A UK Bid Practice AI Adoption Benchmark. A survey of bid directors, bid managers and commercial leads across construction, infrastructure and energy, asking what they are actually doing with AI in bid work, what is working, what governance exists, and what they are worried about. Published annually.</w:t>
            </w:r>
          </w:p>
        </w:tc>
      </w:tr>
    </w:tbl>
    <w:p>
      <w:pPr>
        <w:spacing w:after="200"/>
      </w:pPr>
    </w:p>
    <w:p>
      <w:pPr>
        <w:pStyle w:val="Heading3"/>
        <w:spacing w:after="90" w:before="220"/>
      </w:pPr>
      <w:r>
        <w:rPr>
          <w:rFonts w:ascii="Calibri" w:cs="Calibri" w:eastAsia="Calibri" w:hAnsi="Calibri"/>
          <w:b/>
          <w:bCs/>
          <w:color w:val="12213A"/>
          <w:sz w:val="22"/>
          <w:szCs w:val="22"/>
        </w:rPr>
        <w:t xml:space="preserve">Why this specific study</w:t>
      </w:r>
    </w:p>
    <w:p>
      <w:pPr>
        <w:pStyle w:val="ListParagraph"/>
        <w:numPr>
          <w:ilvl w:val="0"/>
          <w:numId w:val="2"/>
        </w:numPr>
        <w:spacing w:after="70" w:line="276"/>
      </w:pPr>
      <w:r>
        <w:rPr>
          <w:rFonts w:ascii="Calibri" w:cs="Calibri" w:eastAsia="Calibri" w:hAnsi="Calibri"/>
          <w:color w:val="22292F"/>
          <w:sz w:val="21"/>
          <w:szCs w:val="21"/>
        </w:rPr>
        <w:t xml:space="preserve">The data does not exist. There is plenty of generic enterprise AI adoption research and essentially nothing on bid and proposal functions specifically. Being first makes you the source of record.</w:t>
      </w:r>
    </w:p>
    <w:p>
      <w:pPr>
        <w:pStyle w:val="ListParagraph"/>
        <w:numPr>
          <w:ilvl w:val="0"/>
          <w:numId w:val="2"/>
        </w:numPr>
        <w:spacing w:after="70" w:line="276"/>
      </w:pPr>
      <w:r>
        <w:rPr>
          <w:rFonts w:ascii="Calibri" w:cs="Calibri" w:eastAsia="Calibri" w:hAnsi="Calibri"/>
          <w:color w:val="22292F"/>
          <w:sz w:val="21"/>
          <w:szCs w:val="21"/>
        </w:rPr>
        <w:t xml:space="preserve">The findings will be quotable regardless of what they say. If adoption is low, that is a story. If it is high but ungoverned, that is a better story and it happens to be your exact argument.</w:t>
      </w:r>
    </w:p>
    <w:p>
      <w:pPr>
        <w:pStyle w:val="ListParagraph"/>
        <w:numPr>
          <w:ilvl w:val="0"/>
          <w:numId w:val="2"/>
        </w:numPr>
        <w:spacing w:after="70" w:line="276"/>
      </w:pPr>
      <w:r>
        <w:rPr>
          <w:rFonts w:ascii="Calibri" w:cs="Calibri" w:eastAsia="Calibri" w:hAnsi="Calibri"/>
          <w:color w:val="22292F"/>
          <w:sz w:val="21"/>
          <w:szCs w:val="21"/>
        </w:rPr>
        <w:t xml:space="preserve">Conducting it is itself business development. Every survey invitation is a legitimate conversation with a target buyer, and every participant wants the report.</w:t>
      </w:r>
    </w:p>
    <w:p>
      <w:pPr>
        <w:pStyle w:val="ListParagraph"/>
        <w:numPr>
          <w:ilvl w:val="0"/>
          <w:numId w:val="2"/>
        </w:numPr>
        <w:spacing w:after="70" w:line="276"/>
      </w:pPr>
      <w:r>
        <w:rPr>
          <w:rFonts w:ascii="Calibri" w:cs="Calibri" w:eastAsia="Calibri" w:hAnsi="Calibri"/>
          <w:color w:val="22292F"/>
          <w:sz w:val="21"/>
          <w:szCs w:val="21"/>
        </w:rPr>
        <w:t xml:space="preserve">It is repeatable. Year two gives you trend data, which is more citable than year one.</w:t>
      </w:r>
    </w:p>
    <w:p>
      <w:pPr>
        <w:spacing w:after="140"/>
      </w:pPr>
    </w:p>
    <w:p>
      <w:pPr>
        <w:pStyle w:val="Heading3"/>
        <w:spacing w:after="90" w:before="220"/>
      </w:pPr>
      <w:r>
        <w:rPr>
          <w:rFonts w:ascii="Calibri" w:cs="Calibri" w:eastAsia="Calibri" w:hAnsi="Calibri"/>
          <w:b/>
          <w:bCs/>
          <w:color w:val="12213A"/>
          <w:sz w:val="22"/>
          <w:szCs w:val="22"/>
        </w:rPr>
        <w:t xml:space="preserve">How to run it without it eating the quarter</w:t>
      </w:r>
    </w:p>
    <w:p>
      <w:pPr>
        <w:pStyle w:val="ListParagraph"/>
        <w:numPr>
          <w:ilvl w:val="0"/>
          <w:numId w:val="3"/>
        </w:numPr>
        <w:spacing w:after="70" w:line="276"/>
      </w:pPr>
      <w:r>
        <w:rPr>
          <w:rFonts w:ascii="Calibri" w:cs="Calibri" w:eastAsia="Calibri" w:hAnsi="Calibri"/>
          <w:color w:val="22292F"/>
          <w:sz w:val="21"/>
          <w:szCs w:val="21"/>
        </w:rPr>
        <w:t xml:space="preserve">Month seven: design a survey of no more than fifteen questions, ten minutes to complete. Aim for a sample of eighty to a hundred and fifty responses. That is small for academic work and entirely respectable for industry research, provided you state the sample size honestly.</w:t>
      </w:r>
    </w:p>
    <w:p>
      <w:pPr>
        <w:pStyle w:val="ListParagraph"/>
        <w:numPr>
          <w:ilvl w:val="0"/>
          <w:numId w:val="3"/>
        </w:numPr>
        <w:spacing w:after="70" w:line="276"/>
      </w:pPr>
      <w:r>
        <w:rPr>
          <w:rFonts w:ascii="Calibri" w:cs="Calibri" w:eastAsia="Calibri" w:hAnsi="Calibri"/>
          <w:color w:val="22292F"/>
          <w:sz w:val="21"/>
          <w:szCs w:val="21"/>
        </w:rPr>
        <w:t xml:space="preserve">Month seven to eight: recruit through LinkedIn, your newsletter list, the APMP UK chapter, and any trade body or publication willing to promote it in exchange for early access to the findings. Offering the full report to every respondent is enough incentive; do not pay for responses.</w:t>
      </w:r>
    </w:p>
    <w:p>
      <w:pPr>
        <w:pStyle w:val="ListParagraph"/>
        <w:numPr>
          <w:ilvl w:val="0"/>
          <w:numId w:val="3"/>
        </w:numPr>
        <w:spacing w:after="70" w:line="276"/>
      </w:pPr>
      <w:r>
        <w:rPr>
          <w:rFonts w:ascii="Calibri" w:cs="Calibri" w:eastAsia="Calibri" w:hAnsi="Calibri"/>
          <w:color w:val="22292F"/>
          <w:sz w:val="21"/>
          <w:szCs w:val="21"/>
        </w:rPr>
        <w:t xml:space="preserve">Month eight: analyse and write. Twelve to twenty pages, with three or four headline statistics stated plainly enough that a journalist can lift them. Every chart gets a caption that works as a standalone quote.</w:t>
      </w:r>
    </w:p>
    <w:p>
      <w:pPr>
        <w:pStyle w:val="ListParagraph"/>
        <w:numPr>
          <w:ilvl w:val="0"/>
          <w:numId w:val="3"/>
        </w:numPr>
        <w:spacing w:after="70" w:line="276"/>
      </w:pPr>
      <w:r>
        <w:rPr>
          <w:rFonts w:ascii="Calibri" w:cs="Calibri" w:eastAsia="Calibri" w:hAnsi="Calibri"/>
          <w:color w:val="22292F"/>
          <w:sz w:val="21"/>
          <w:szCs w:val="21"/>
        </w:rPr>
        <w:t xml:space="preserve">Month nine: publish as a gated PDF behind an email capture, but put the headline findings on an open, indexable HTML page. This matters enormously. A gated PDF cannot be crawled, cannot be cited, and cannot be retrieved by an answer engine. The open summary page is what does the link building.</w:t>
      </w:r>
    </w:p>
    <w:p>
      <w:pPr>
        <w:pStyle w:val="ListParagraph"/>
        <w:numPr>
          <w:ilvl w:val="0"/>
          <w:numId w:val="3"/>
        </w:numPr>
        <w:spacing w:after="70" w:line="276"/>
      </w:pPr>
      <w:r>
        <w:rPr>
          <w:rFonts w:ascii="Calibri" w:cs="Calibri" w:eastAsia="Calibri" w:hAnsi="Calibri"/>
          <w:color w:val="22292F"/>
          <w:sz w:val="21"/>
          <w:szCs w:val="21"/>
        </w:rPr>
        <w:t xml:space="preserve">Month nine: outreach. Every publication in the phase two table, every podcast host you met, every survey participant, and a short press release through a UK distribution service. Offer each publication a different angle on the same data rather than the same pitch.</w:t>
      </w:r>
    </w:p>
    <w:p>
      <w:pPr>
        <w:spacing w:after="160"/>
      </w:pPr>
    </w:p>
    <w:p>
      <w:pPr>
        <w:spacing w:after="140" w:line="276"/>
      </w:pPr>
      <w:r>
        <w:rPr>
          <w:rFonts w:ascii="Calibri" w:cs="Calibri" w:eastAsia="Calibri" w:hAnsi="Calibri"/>
          <w:color w:val="22292F"/>
          <w:sz w:val="21"/>
          <w:szCs w:val="21"/>
        </w:rPr>
        <w:t xml:space="preserve">Expect ten to twenty referring domains from a well-executed study, several of them genuinely authoritative, plus a long tail of citations continuing for a year or more. It is more return than the other three phases combined.</w:t>
      </w:r>
    </w:p>
    <w:p>
      <w:r>
        <w:br w:type="page"/>
      </w:r>
    </w:p>
    <w:p>
      <w:pPr>
        <w:pStyle w:val="Heading2"/>
        <w:spacing w:after="120" w:before="300"/>
      </w:pPr>
      <w:r>
        <w:rPr>
          <w:rFonts w:ascii="Calibri" w:cs="Calibri" w:eastAsia="Calibri" w:hAnsi="Calibri"/>
          <w:b/>
          <w:bCs/>
          <w:color w:val="16485A"/>
          <w:sz w:val="25"/>
          <w:szCs w:val="25"/>
        </w:rPr>
        <w:t xml:space="preserve">Phase 4, months 10 to 12: authority and compounding</w:t>
      </w:r>
    </w:p>
    <w:p>
      <w:pPr>
        <w:spacing w:after="140" w:line="276"/>
      </w:pPr>
      <w:r>
        <w:rPr>
          <w:rFonts w:ascii="Calibri" w:cs="Calibri" w:eastAsia="Calibri" w:hAnsi="Calibri"/>
          <w:color w:val="22292F"/>
          <w:sz w:val="21"/>
          <w:szCs w:val="21"/>
        </w:rPr>
        <w:t xml:space="preserve">The final quarter is about converting the previous nine months into standing, and about setting up the flywheel so year two costs less effort than year one.</w:t>
      </w:r>
    </w:p>
    <w:p>
      <w:pPr>
        <w:pStyle w:val="Heading3"/>
        <w:spacing w:after="90" w:before="220"/>
      </w:pPr>
      <w:r>
        <w:rPr>
          <w:rFonts w:ascii="Calibri" w:cs="Calibri" w:eastAsia="Calibri" w:hAnsi="Calibri"/>
          <w:b/>
          <w:bCs/>
          <w:color w:val="12213A"/>
          <w:sz w:val="22"/>
          <w:szCs w:val="22"/>
        </w:rPr>
        <w:t xml:space="preserve">Speaking</w:t>
      </w:r>
    </w:p>
    <w:p>
      <w:pPr>
        <w:spacing w:after="140" w:line="276"/>
      </w:pPr>
      <w:r>
        <w:rPr>
          <w:rFonts w:ascii="Calibri" w:cs="Calibri" w:eastAsia="Calibri" w:hAnsi="Calibri"/>
          <w:color w:val="22292F"/>
          <w:sz w:val="21"/>
          <w:szCs w:val="21"/>
        </w:rPr>
        <w:t xml:space="preserve">Conference speaker pages are excellent links: high authority, permanent, and they name you as an expert in a way that both search engines and language models read as corroboration. With the research published, you have a talk. Target the APMP UK conference and international Bid and Proposal Con, construction and infrastructure commercial conferences, procurement events including the public sector commissioning circuit, and any AI-in-industry event where your sector specificity will stand out against generalist speakers. Submission deadlines usually run six to nine months ahead, so start submitting in month seven, not month ten.</w:t>
      </w:r>
    </w:p>
    <w:p>
      <w:pPr>
        <w:pStyle w:val="Heading3"/>
        <w:spacing w:after="90" w:before="220"/>
      </w:pPr>
      <w:r>
        <w:rPr>
          <w:rFonts w:ascii="Calibri" w:cs="Calibri" w:eastAsia="Calibri" w:hAnsi="Calibri"/>
          <w:b/>
          <w:bCs/>
          <w:color w:val="12213A"/>
          <w:sz w:val="22"/>
          <w:szCs w:val="22"/>
        </w:rPr>
        <w:t xml:space="preserve">Partnerships and vendor ecosystems</w:t>
      </w:r>
    </w:p>
    <w:p>
      <w:pPr>
        <w:spacing w:after="140" w:line="276"/>
      </w:pPr>
      <w:r>
        <w:rPr>
          <w:rFonts w:ascii="Calibri" w:cs="Calibri" w:eastAsia="Calibri" w:hAnsi="Calibri"/>
          <w:color w:val="22292F"/>
          <w:sz w:val="21"/>
          <w:szCs w:val="21"/>
        </w:rPr>
        <w:t xml:space="preserve">Bid and proposal software vendors maintain partner directories, consultant listings and blogs, and they need credible independent voices. This is a natural fit provided you keep the independence visible: you advise on operating models, they sell tools, and the two are complementary rather than competing. Approach the established RFP and proposal platforms as well as the newer AI-native bid writing tools. A partner listing plus a guest article on their blog is a standard, easy exchange.</w:t>
      </w:r>
    </w:p>
    <w:p>
      <w:pPr>
        <w:spacing w:after="140" w:line="276"/>
      </w:pPr>
      <w:r>
        <w:rPr>
          <w:rFonts w:ascii="Calibri" w:cs="Calibri" w:eastAsia="Calibri" w:hAnsi="Calibri"/>
          <w:color w:val="22292F"/>
          <w:sz w:val="21"/>
          <w:szCs w:val="21"/>
        </w:rPr>
        <w:t xml:space="preserve">Apply one filter: do not become a reseller or take a commission unless you want to. The value of your position is that you are not selling anyone's software, and a partner page that implies otherwise costs you more than the link is worth.</w:t>
      </w:r>
    </w:p>
    <w:p>
      <w:pPr>
        <w:pStyle w:val="Heading3"/>
        <w:spacing w:after="90" w:before="220"/>
      </w:pPr>
      <w:r>
        <w:rPr>
          <w:rFonts w:ascii="Calibri" w:cs="Calibri" w:eastAsia="Calibri" w:hAnsi="Calibri"/>
          <w:b/>
          <w:bCs/>
          <w:color w:val="12213A"/>
          <w:sz w:val="22"/>
          <w:szCs w:val="22"/>
        </w:rPr>
        <w:t xml:space="preserve">Syndication and repurposing</w:t>
      </w:r>
    </w:p>
    <w:p>
      <w:pPr>
        <w:spacing w:after="140" w:line="276"/>
      </w:pPr>
      <w:r>
        <w:rPr>
          <w:rFonts w:ascii="Calibri" w:cs="Calibri" w:eastAsia="Calibri" w:hAnsi="Calibri"/>
          <w:color w:val="22292F"/>
          <w:sz w:val="21"/>
          <w:szCs w:val="21"/>
        </w:rPr>
        <w:t xml:space="preserve">Republish your strongest pieces on Medium and LinkedIn with a rel=canonical pointing back to your original, so the original keeps the ranking credit. Turn the research into a slide deck on SlideShare or Speaker Deck. Turn three or four guides into short videos with proper transcripts, since video transcripts are increasingly retrieved by answer engines and YouTube descriptions carry links.</w:t>
      </w:r>
    </w:p>
    <w:p>
      <w:pPr>
        <w:pStyle w:val="Heading3"/>
        <w:spacing w:after="90" w:before="220"/>
      </w:pPr>
      <w:r>
        <w:rPr>
          <w:rFonts w:ascii="Calibri" w:cs="Calibri" w:eastAsia="Calibri" w:hAnsi="Calibri"/>
          <w:b/>
          <w:bCs/>
          <w:color w:val="12213A"/>
          <w:sz w:val="22"/>
          <w:szCs w:val="22"/>
        </w:rPr>
        <w:t xml:space="preserve">The year-two flywheel</w:t>
      </w:r>
    </w:p>
    <w:p>
      <w:pPr>
        <w:spacing w:after="140" w:line="276"/>
      </w:pPr>
      <w:r>
        <w:rPr>
          <w:rFonts w:ascii="Calibri" w:cs="Calibri" w:eastAsia="Calibri" w:hAnsi="Calibri"/>
          <w:color w:val="22292F"/>
          <w:sz w:val="21"/>
          <w:szCs w:val="21"/>
        </w:rPr>
        <w:t xml:space="preserve">By month twelve the pattern should be self-sustaining: the research generates citations, the citations generate speaking invitations, the speaking generates podcast invitations, and each of those produces links without cold outreach. The work in year two is to keep publishing at the same cadence, refresh the benchmark study, and maintain the relationships built in year one. The cold-pitch effort should fall away almost entirely.</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4. Outreach templates</w:t>
      </w:r>
    </w:p>
    <w:p>
      <w:pPr>
        <w:spacing w:after="140" w:line="276"/>
      </w:pPr>
      <w:r>
        <w:rPr>
          <w:rFonts w:ascii="Calibri" w:cs="Calibri" w:eastAsia="Calibri" w:hAnsi="Calibri"/>
          <w:color w:val="22292F"/>
          <w:sz w:val="21"/>
          <w:szCs w:val="21"/>
        </w:rPr>
        <w:t xml:space="preserve">Four templates. All of them are short on purpose. The most common failure in outreach is length: an editor or host deciding in eight seconds whether to read on, and a long email loses before it is read. Personalise the first line every time, and never send anything that could have been sent to someone else.</w:t>
      </w:r>
    </w:p>
    <w:p>
      <w:pPr>
        <w:pStyle w:val="Heading3"/>
        <w:spacing w:after="90" w:before="220"/>
      </w:pPr>
      <w:r>
        <w:rPr>
          <w:rFonts w:ascii="Calibri" w:cs="Calibri" w:eastAsia="Calibri" w:hAnsi="Calibri"/>
          <w:b/>
          <w:bCs/>
          <w:color w:val="12213A"/>
          <w:sz w:val="22"/>
          <w:szCs w:val="22"/>
        </w:rPr>
        <w:t xml:space="preserve">Template A: guest article pitch to a trade publication</w:t>
      </w:r>
    </w:p>
    <w:p>
      <w:pPr>
        <w:spacing w:after="80"/>
      </w:pPr>
    </w:p>
    <w:tbl>
      <w:tblPr>
        <w:tblW w:type="dxa" w:w="9746"/>
        <w:tblBorders>
          <w:top w:val="single" w:color="D6DCE5" w:sz="2"/>
          <w:left w:val="single" w:color="12213A" w:sz="18"/>
          <w:bottom w:val="single" w:color="D6DCE5" w:sz="2"/>
          <w:right w:val="single" w:color="D6DCE5" w:sz="2"/>
          <w:insideH w:val="none" w:color="FFFFFF" w:sz="0"/>
          <w:insideV w:val="none" w:color="FFFFFF" w:sz="0"/>
        </w:tblBorders>
      </w:tblPr>
      <w:tblGrid>
        <w:gridCol w:w="9746"/>
      </w:tblGrid>
      <w:tr>
        <w:tc>
          <w:tcPr>
            <w:tcW w:type="dxa" w:w="9746"/>
            <w:shd w:fill="F7F9FC" w:val="clear"/>
            <w:tcMar>
              <w:top w:type="dxa" w:w="180"/>
              <w:left w:type="dxa" w:w="220"/>
              <w:bottom w:type="dxa" w:w="180"/>
              <w:right w:type="dxa" w:w="220"/>
            </w:tcMar>
          </w:tcPr>
          <w:p>
            <w:pPr>
              <w:spacing w:after="80" w:line="250"/>
            </w:pPr>
            <w:r>
              <w:rPr>
                <w:rFonts w:ascii="Consolas" w:cs="Consolas" w:eastAsia="Consolas" w:hAnsi="Consolas"/>
                <w:color w:val="1F2933"/>
                <w:sz w:val="19"/>
                <w:szCs w:val="19"/>
              </w:rPr>
              <w:t xml:space="preserve">Subject: Pitch: [specific headline], for [publication]</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Hi [name],</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I read your piece on [specific recent article] and it prompted this.</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I spent fifteen years running complex bids at bp, RWE and Bouygues, and now advise contractors and developers on how bid functions should be structured now that AI agents can do a large part of the coordination work. The thing nobody is writing about: [one-sentence argument].</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I'd like to write 900 words for [publication] on [specific working title]. It would cover [point one], [point two] and [point three], with examples from live bid environments rather than vendor case studies.</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Happy to send a full outline, or the finished draft on spec if that's easier.</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Example of how I write: [link to strongest relevant guide]</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Best,</w:t>
            </w:r>
          </w:p>
          <w:p>
            <w:pPr>
              <w:spacing w:after="80" w:line="250"/>
            </w:pPr>
            <w:r>
              <w:rPr>
                <w:rFonts w:ascii="Consolas" w:cs="Consolas" w:eastAsia="Consolas" w:hAnsi="Consolas"/>
                <w:color w:val="1F2933"/>
                <w:sz w:val="19"/>
                <w:szCs w:val="19"/>
              </w:rPr>
              <w:t xml:space="preserve">Yorik Tisseau</w:t>
            </w:r>
          </w:p>
          <w:p>
            <w:pPr>
              <w:spacing w:after="80" w:line="250"/>
            </w:pPr>
            <w:r>
              <w:rPr>
                <w:rFonts w:ascii="Consolas" w:cs="Consolas" w:eastAsia="Consolas" w:hAnsi="Consolas"/>
                <w:color w:val="1F2933"/>
                <w:sz w:val="19"/>
                <w:szCs w:val="19"/>
              </w:rPr>
              <w:t xml:space="preserve">Ignis Leadership | ignisleadership.com</w:t>
            </w:r>
          </w:p>
        </w:tc>
      </w:tr>
    </w:tbl>
    <w:p>
      <w:pPr>
        <w:spacing w:after="220"/>
      </w:pPr>
    </w:p>
    <w:p>
      <w:pPr>
        <w:pStyle w:val="Heading3"/>
        <w:spacing w:after="90" w:before="220"/>
      </w:pPr>
      <w:r>
        <w:rPr>
          <w:rFonts w:ascii="Calibri" w:cs="Calibri" w:eastAsia="Calibri" w:hAnsi="Calibri"/>
          <w:b/>
          <w:bCs/>
          <w:color w:val="12213A"/>
          <w:sz w:val="22"/>
          <w:szCs w:val="22"/>
        </w:rPr>
        <w:t xml:space="preserve">Template B: podcast pitch</w:t>
      </w:r>
    </w:p>
    <w:p>
      <w:pPr>
        <w:spacing w:after="80"/>
      </w:pPr>
    </w:p>
    <w:tbl>
      <w:tblPr>
        <w:tblW w:type="dxa" w:w="9746"/>
        <w:tblBorders>
          <w:top w:val="single" w:color="D6DCE5" w:sz="2"/>
          <w:left w:val="single" w:color="12213A" w:sz="18"/>
          <w:bottom w:val="single" w:color="D6DCE5" w:sz="2"/>
          <w:right w:val="single" w:color="D6DCE5" w:sz="2"/>
          <w:insideH w:val="none" w:color="FFFFFF" w:sz="0"/>
          <w:insideV w:val="none" w:color="FFFFFF" w:sz="0"/>
        </w:tblBorders>
      </w:tblPr>
      <w:tblGrid>
        <w:gridCol w:w="9746"/>
      </w:tblGrid>
      <w:tr>
        <w:tc>
          <w:tcPr>
            <w:tcW w:type="dxa" w:w="9746"/>
            <w:shd w:fill="F7F9FC" w:val="clear"/>
            <w:tcMar>
              <w:top w:type="dxa" w:w="180"/>
              <w:left w:type="dxa" w:w="220"/>
              <w:bottom w:type="dxa" w:w="180"/>
              <w:right w:type="dxa" w:w="220"/>
            </w:tcMar>
          </w:tcPr>
          <w:p>
            <w:pPr>
              <w:spacing w:after="80" w:line="250"/>
            </w:pPr>
            <w:r>
              <w:rPr>
                <w:rFonts w:ascii="Consolas" w:cs="Consolas" w:eastAsia="Consolas" w:hAnsi="Consolas"/>
                <w:color w:val="1F2933"/>
                <w:sz w:val="19"/>
                <w:szCs w:val="19"/>
              </w:rPr>
              <w:t xml:space="preserve">Subject: Guest idea: what happens to bid teams when the writing gets easy</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Hi [name],</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I listened to your episode with [guest] on [topic] and the point about [specific detail] is one I'd push back on slightly, which is why I'm writing.</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Background: fifteen years leading bids at bp, RWE and Bouygues, estimator through to Bid Director. Now I help organisations redesign bid practices around AI agents. I'm also an ICF-credentialled coach, which turns out to matter more than the technology in this work.</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Three things I could talk about:</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1. Why most bid AI pilots stall for governance reasons, not technical ones</w:t>
            </w:r>
          </w:p>
          <w:p>
            <w:pPr>
              <w:spacing w:after="80" w:line="250"/>
            </w:pPr>
            <w:r>
              <w:rPr>
                <w:rFonts w:ascii="Consolas" w:cs="Consolas" w:eastAsia="Consolas" w:hAnsi="Consolas"/>
                <w:color w:val="1F2933"/>
                <w:sz w:val="19"/>
                <w:szCs w:val="19"/>
              </w:rPr>
              <w:t xml:space="preserve">2. What a bid team actually looks like when agents handle coordination and people handle judgement</w:t>
            </w:r>
          </w:p>
          <w:p>
            <w:pPr>
              <w:spacing w:after="80" w:line="250"/>
            </w:pPr>
            <w:r>
              <w:rPr>
                <w:rFonts w:ascii="Consolas" w:cs="Consolas" w:eastAsia="Consolas" w:hAnsi="Consolas"/>
                <w:color w:val="1F2933"/>
                <w:sz w:val="19"/>
                <w:szCs w:val="19"/>
              </w:rPr>
              <w:t xml:space="preserve">3. The decisions that win bids, almost all of which happen before anyone writes a word</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No pitch, no product. Happy to be argued with.</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Best,</w:t>
            </w:r>
          </w:p>
          <w:p>
            <w:pPr>
              <w:spacing w:after="80" w:line="250"/>
            </w:pPr>
            <w:r>
              <w:rPr>
                <w:rFonts w:ascii="Consolas" w:cs="Consolas" w:eastAsia="Consolas" w:hAnsi="Consolas"/>
                <w:color w:val="1F2933"/>
                <w:sz w:val="19"/>
                <w:szCs w:val="19"/>
              </w:rPr>
              <w:t xml:space="preserve">Yorik Tisseau</w:t>
            </w:r>
          </w:p>
          <w:p>
            <w:pPr>
              <w:spacing w:after="80" w:line="250"/>
            </w:pPr>
            <w:r>
              <w:rPr>
                <w:rFonts w:ascii="Consolas" w:cs="Consolas" w:eastAsia="Consolas" w:hAnsi="Consolas"/>
                <w:color w:val="1F2933"/>
                <w:sz w:val="19"/>
                <w:szCs w:val="19"/>
              </w:rPr>
              <w:t xml:space="preserve">ignisleadership.com</w:t>
            </w:r>
          </w:p>
        </w:tc>
      </w:tr>
    </w:tbl>
    <w:p>
      <w:pPr>
        <w:spacing w:after="220"/>
      </w:pPr>
    </w:p>
    <w:p>
      <w:pPr>
        <w:pStyle w:val="Heading3"/>
        <w:spacing w:after="90" w:before="220"/>
      </w:pPr>
      <w:r>
        <w:rPr>
          <w:rFonts w:ascii="Calibri" w:cs="Calibri" w:eastAsia="Calibri" w:hAnsi="Calibri"/>
          <w:b/>
          <w:bCs/>
          <w:color w:val="12213A"/>
          <w:sz w:val="22"/>
          <w:szCs w:val="22"/>
        </w:rPr>
        <w:t xml:space="preserve">Template C: unlinked mention and link reclamation</w:t>
      </w:r>
    </w:p>
    <w:p>
      <w:pPr>
        <w:spacing w:after="80"/>
      </w:pPr>
    </w:p>
    <w:tbl>
      <w:tblPr>
        <w:tblW w:type="dxa" w:w="9746"/>
        <w:tblBorders>
          <w:top w:val="single" w:color="D6DCE5" w:sz="2"/>
          <w:left w:val="single" w:color="12213A" w:sz="18"/>
          <w:bottom w:val="single" w:color="D6DCE5" w:sz="2"/>
          <w:right w:val="single" w:color="D6DCE5" w:sz="2"/>
          <w:insideH w:val="none" w:color="FFFFFF" w:sz="0"/>
          <w:insideV w:val="none" w:color="FFFFFF" w:sz="0"/>
        </w:tblBorders>
      </w:tblPr>
      <w:tblGrid>
        <w:gridCol w:w="9746"/>
      </w:tblGrid>
      <w:tr>
        <w:tc>
          <w:tcPr>
            <w:tcW w:type="dxa" w:w="9746"/>
            <w:shd w:fill="F7F9FC" w:val="clear"/>
            <w:tcMar>
              <w:top w:type="dxa" w:w="180"/>
              <w:left w:type="dxa" w:w="220"/>
              <w:bottom w:type="dxa" w:w="180"/>
              <w:right w:type="dxa" w:w="220"/>
            </w:tcMar>
          </w:tcPr>
          <w:p>
            <w:pPr>
              <w:spacing w:after="80" w:line="250"/>
            </w:pPr>
            <w:r>
              <w:rPr>
                <w:rFonts w:ascii="Consolas" w:cs="Consolas" w:eastAsia="Consolas" w:hAnsi="Consolas"/>
                <w:color w:val="1F2933"/>
                <w:sz w:val="19"/>
                <w:szCs w:val="19"/>
              </w:rPr>
              <w:t xml:space="preserve">Subject: Thanks for the mention</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Hi [name],</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I came across your [article/page] on [topic] and saw the reference to [my work / Ignis Leadership]. Thanks for that, genuinely.</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Would you be willing to link the mention to ignisleadership.com? It would help readers who want to follow it up, and it would help me.</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Either way, thanks for the mention.</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Best,</w:t>
            </w:r>
          </w:p>
          <w:p>
            <w:pPr>
              <w:spacing w:after="80" w:line="250"/>
            </w:pPr>
            <w:r>
              <w:rPr>
                <w:rFonts w:ascii="Consolas" w:cs="Consolas" w:eastAsia="Consolas" w:hAnsi="Consolas"/>
                <w:color w:val="1F2933"/>
                <w:sz w:val="19"/>
                <w:szCs w:val="19"/>
              </w:rPr>
              <w:t xml:space="preserve">Yorik</w:t>
            </w:r>
          </w:p>
        </w:tc>
      </w:tr>
    </w:tbl>
    <w:p>
      <w:pPr>
        <w:spacing w:after="220"/>
      </w:pPr>
    </w:p>
    <w:p>
      <w:pPr>
        <w:pStyle w:val="Heading3"/>
        <w:spacing w:after="90" w:before="220"/>
      </w:pPr>
      <w:r>
        <w:rPr>
          <w:rFonts w:ascii="Calibri" w:cs="Calibri" w:eastAsia="Calibri" w:hAnsi="Calibri"/>
          <w:b/>
          <w:bCs/>
          <w:color w:val="12213A"/>
          <w:sz w:val="22"/>
          <w:szCs w:val="22"/>
        </w:rPr>
        <w:t xml:space="preserve">Template D: journalist response to a media request</w:t>
      </w:r>
    </w:p>
    <w:p>
      <w:pPr>
        <w:spacing w:after="80"/>
      </w:pPr>
    </w:p>
    <w:tbl>
      <w:tblPr>
        <w:tblW w:type="dxa" w:w="9746"/>
        <w:tblBorders>
          <w:top w:val="single" w:color="D6DCE5" w:sz="2"/>
          <w:left w:val="single" w:color="12213A" w:sz="18"/>
          <w:bottom w:val="single" w:color="D6DCE5" w:sz="2"/>
          <w:right w:val="single" w:color="D6DCE5" w:sz="2"/>
          <w:insideH w:val="none" w:color="FFFFFF" w:sz="0"/>
          <w:insideV w:val="none" w:color="FFFFFF" w:sz="0"/>
        </w:tblBorders>
      </w:tblPr>
      <w:tblGrid>
        <w:gridCol w:w="9746"/>
      </w:tblGrid>
      <w:tr>
        <w:tc>
          <w:tcPr>
            <w:tcW w:type="dxa" w:w="9746"/>
            <w:shd w:fill="F7F9FC" w:val="clear"/>
            <w:tcMar>
              <w:top w:type="dxa" w:w="180"/>
              <w:left w:type="dxa" w:w="220"/>
              <w:bottom w:type="dxa" w:w="180"/>
              <w:right w:type="dxa" w:w="220"/>
            </w:tcMar>
          </w:tcPr>
          <w:p>
            <w:pPr>
              <w:spacing w:after="80" w:line="250"/>
            </w:pPr>
            <w:r>
              <w:rPr>
                <w:rFonts w:ascii="Consolas" w:cs="Consolas" w:eastAsia="Consolas" w:hAnsi="Consolas"/>
                <w:color w:val="1F2933"/>
                <w:sz w:val="19"/>
                <w:szCs w:val="19"/>
              </w:rPr>
              <w:t xml:space="preserve">[No preamble. Lead with the quote.]</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"[Forty to eighty words that make one clear point, stand alone without context, and contain no marketing language.]"</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Yorik Tisseau, founder of Ignis Leadership (ignisleadership.com), a bid management consultancy. Fifteen years leading complex international bids at bp, RWE and Bouygues Energies &amp; Services, latterly as Bid Director.</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Happy to expand on any of this, or to be quoted more briefly. Available on [phone] today.</w:t>
            </w:r>
          </w:p>
          <w:p>
            <w:pPr>
              <w:spacing w:after="0" w:line="250"/>
            </w:pPr>
            <w:r>
              <w:rPr>
                <w:rFonts w:ascii="Consolas" w:cs="Consolas" w:eastAsia="Consolas" w:hAnsi="Consolas"/>
                <w:color w:val="FFFFFF"/>
                <w:sz w:val="19"/>
                <w:szCs w:val="19"/>
              </w:rPr>
              <w:t xml:space="preserve"/>
            </w:r>
          </w:p>
          <w:p>
            <w:pPr>
              <w:spacing w:after="80" w:line="250"/>
            </w:pPr>
            <w:r>
              <w:rPr>
                <w:rFonts w:ascii="Consolas" w:cs="Consolas" w:eastAsia="Consolas" w:hAnsi="Consolas"/>
                <w:color w:val="1F2933"/>
                <w:sz w:val="19"/>
                <w:szCs w:val="19"/>
              </w:rPr>
              <w:t xml:space="preserve">[Nothing else. No attachments. No request for a link.]</w:t>
            </w:r>
          </w:p>
        </w:tc>
      </w:tr>
    </w:tbl>
    <w:p>
      <w:pPr>
        <w:spacing w:after="200"/>
      </w:pPr>
    </w:p>
    <w:p>
      <w:pPr>
        <w:spacing w:after="140" w:line="276"/>
      </w:pPr>
      <w:r>
        <w:rPr>
          <w:rFonts w:ascii="Calibri" w:cs="Calibri" w:eastAsia="Calibri" w:hAnsi="Calibri"/>
          <w:i/>
          <w:iCs/>
          <w:color w:val="22292F"/>
          <w:sz w:val="21"/>
          <w:szCs w:val="21"/>
        </w:rPr>
        <w:t xml:space="preserve">On template D specifically: never ask a journalist for a link. Publications have policies and asking marks you as a marketer rather than a source, which loses you the quote as well as the link. Take the attributed mention. The link often follows anyway, and the mention alone does most of the entity-building work.</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5. Target list summary</w:t>
      </w:r>
    </w:p>
    <w:p>
      <w:pPr>
        <w:spacing w:after="140" w:line="276"/>
      </w:pPr>
      <w:r>
        <w:rPr>
          <w:rFonts w:ascii="Calibri" w:cs="Calibri" w:eastAsia="Calibri" w:hAnsi="Calibri"/>
          <w:color w:val="22292F"/>
          <w:sz w:val="21"/>
          <w:szCs w:val="21"/>
        </w:rPr>
        <w:t xml:space="preserve">Consolidated view of every target category, with a realistic expectation attached. Use this to fill the tracking sheet. Verify each specific outlet before approaching, since contributor policies and directory terms change frequently and some of the sites below will have changed theirs since this was written.</w:t>
      </w:r>
    </w:p>
    <w:p>
      <w:pPr>
        <w:spacing w:after="120"/>
      </w:pP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924"/>
        <w:gridCol w:w="1559"/>
        <w:gridCol w:w="1364"/>
        <w:gridCol w:w="2144"/>
        <w:gridCol w:w="1755"/>
      </w:tblGrid>
      <w:tr>
        <w:trPr>
          <w:tblHeader/>
        </w:trPr>
        <w:tc>
          <w:tcPr>
            <w:tcW w:type="dxa" w:w="292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Category</w:t>
            </w:r>
          </w:p>
        </w:tc>
        <w:tc>
          <w:tcPr>
            <w:tcW w:type="dxa" w:w="155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Approx. targets</w:t>
            </w:r>
          </w:p>
        </w:tc>
        <w:tc>
          <w:tcPr>
            <w:tcW w:type="dxa" w:w="136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Expected wins</w:t>
            </w:r>
          </w:p>
        </w:tc>
        <w:tc>
          <w:tcPr>
            <w:tcW w:type="dxa" w:w="214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Difficulty</w:t>
            </w:r>
          </w:p>
        </w:tc>
        <w:tc>
          <w:tcPr>
            <w:tcW w:type="dxa" w:w="1755"/>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When</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Professional bodies (APMP, ICF)</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 to 4</w:t>
            </w:r>
          </w:p>
        </w:tc>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 to 4</w:t>
            </w:r>
          </w:p>
        </w:tc>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Easy, costs a fee</w:t>
            </w:r>
          </w:p>
        </w:tc>
        <w:tc>
          <w:tcPr>
            <w:tcW w:type="dxa" w:w="175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1</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Profile and entity listings</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8 to 10</w:t>
            </w:r>
          </w:p>
        </w:tc>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8 to 10</w:t>
            </w:r>
          </w:p>
        </w:tc>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Easy</w:t>
            </w:r>
          </w:p>
        </w:tc>
        <w:tc>
          <w:tcPr>
            <w:tcW w:type="dxa" w:w="175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1</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Curated directories</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5 to 8</w:t>
            </w:r>
          </w:p>
        </w:tc>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 to 6</w:t>
            </w:r>
          </w:p>
        </w:tc>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Easy</w:t>
            </w:r>
          </w:p>
        </w:tc>
        <w:tc>
          <w:tcPr>
            <w:tcW w:type="dxa" w:w="175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1 to 2</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Unlinked mentions and reclamation</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unknown</w:t>
            </w:r>
          </w:p>
        </w:tc>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 to 8</w:t>
            </w:r>
          </w:p>
        </w:tc>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Easy, high hit rate</w:t>
            </w:r>
          </w:p>
        </w:tc>
        <w:tc>
          <w:tcPr>
            <w:tcW w:type="dxa" w:w="175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1, then quarterly</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Resource and link pages in the niche</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15 to 25</w:t>
            </w:r>
          </w:p>
        </w:tc>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 to 6</w:t>
            </w:r>
          </w:p>
        </w:tc>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175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2 to 4</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Trade press guest articles</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20 to 30 pitches</w:t>
            </w:r>
          </w:p>
        </w:tc>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6 to 10</w:t>
            </w:r>
          </w:p>
        </w:tc>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 to hard</w:t>
            </w:r>
          </w:p>
        </w:tc>
        <w:tc>
          <w:tcPr>
            <w:tcW w:type="dxa" w:w="175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4 onwards</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Podcast appearances</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25 to 35 pitches</w:t>
            </w:r>
          </w:p>
        </w:tc>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6 to 12</w:t>
            </w:r>
          </w:p>
        </w:tc>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 high return</w:t>
            </w:r>
          </w:p>
        </w:tc>
        <w:tc>
          <w:tcPr>
            <w:tcW w:type="dxa" w:w="175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4 onwards</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Expert commentary and media requests</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ongoing</w:t>
            </w:r>
          </w:p>
        </w:tc>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 to 10</w:t>
            </w:r>
          </w:p>
        </w:tc>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Easy but time-sensitive</w:t>
            </w:r>
          </w:p>
        </w:tc>
        <w:tc>
          <w:tcPr>
            <w:tcW w:type="dxa" w:w="175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4 onwards</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Original research coverage</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30 to 40 approaches</w:t>
            </w:r>
          </w:p>
        </w:tc>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10 to 20</w:t>
            </w:r>
          </w:p>
        </w:tc>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Hard, highest return</w:t>
            </w:r>
          </w:p>
        </w:tc>
        <w:tc>
          <w:tcPr>
            <w:tcW w:type="dxa" w:w="175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9</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Conference speaker pages</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8 to 12 submissions</w:t>
            </w:r>
          </w:p>
        </w:tc>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 to 4</w:t>
            </w:r>
          </w:p>
        </w:tc>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Hard, long lead time</w:t>
            </w:r>
          </w:p>
        </w:tc>
        <w:tc>
          <w:tcPr>
            <w:tcW w:type="dxa" w:w="175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Submit month 7</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Vendor and partner ecosystems</w:t>
            </w:r>
          </w:p>
        </w:tc>
        <w:tc>
          <w:tcPr>
            <w:tcW w:type="dxa" w:w="155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6 to 10</w:t>
            </w:r>
          </w:p>
        </w:tc>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 to 5</w:t>
            </w:r>
          </w:p>
        </w:tc>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Medium</w:t>
            </w:r>
          </w:p>
        </w:tc>
        <w:tc>
          <w:tcPr>
            <w:tcW w:type="dxa" w:w="175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 10 to 12</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Syndication with canonical</w:t>
            </w:r>
          </w:p>
        </w:tc>
        <w:tc>
          <w:tcPr>
            <w:tcW w:type="dxa" w:w="155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 to 6</w:t>
            </w:r>
          </w:p>
        </w:tc>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 to 6</w:t>
            </w:r>
          </w:p>
        </w:tc>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Easy</w:t>
            </w:r>
          </w:p>
        </w:tc>
        <w:tc>
          <w:tcPr>
            <w:tcW w:type="dxa" w:w="175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Ongoing</w:t>
            </w:r>
          </w:p>
        </w:tc>
      </w:tr>
    </w:tbl>
    <w:p>
      <w:pPr>
        <w:spacing w:after="200"/>
      </w:pPr>
    </w:p>
    <w:p>
      <w:pPr>
        <w:spacing w:after="140" w:line="276"/>
      </w:pPr>
      <w:r>
        <w:rPr>
          <w:rFonts w:ascii="Calibri" w:cs="Calibri" w:eastAsia="Calibri" w:hAnsi="Calibri"/>
          <w:color w:val="22292F"/>
          <w:sz w:val="21"/>
          <w:szCs w:val="21"/>
        </w:rPr>
        <w:t xml:space="preserve">Totals come to somewhere between fifty-five and a hundred new referring domains across the year, against a realistic target of forty to sixty once you allow for slippage. That leaves room to miss a whole category without missing the target, which is the point of running several channels at once.</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6. Tracking and measurement</w:t>
      </w:r>
    </w:p>
    <w:p>
      <w:pPr>
        <w:pStyle w:val="Heading2"/>
        <w:spacing w:after="120" w:before="300"/>
      </w:pPr>
      <w:r>
        <w:rPr>
          <w:rFonts w:ascii="Calibri" w:cs="Calibri" w:eastAsia="Calibri" w:hAnsi="Calibri"/>
          <w:b/>
          <w:bCs/>
          <w:color w:val="16485A"/>
          <w:sz w:val="25"/>
          <w:szCs w:val="25"/>
        </w:rPr>
        <w:t xml:space="preserve">The sheet</w:t>
      </w:r>
    </w:p>
    <w:p>
      <w:pPr>
        <w:spacing w:after="140" w:line="276"/>
      </w:pPr>
      <w:r>
        <w:rPr>
          <w:rFonts w:ascii="Calibri" w:cs="Calibri" w:eastAsia="Calibri" w:hAnsi="Calibri"/>
          <w:color w:val="22292F"/>
          <w:sz w:val="21"/>
          <w:szCs w:val="21"/>
        </w:rPr>
        <w:t xml:space="preserve">One spreadsheet, two tabs. Do not use a tool for this until the volume justifies it, which it will not in year one.</w:t>
      </w:r>
    </w:p>
    <w:p>
      <w:pPr>
        <w:spacing w:after="140" w:line="276"/>
      </w:pPr>
      <w:r>
        <w:rPr>
          <w:rFonts w:ascii="Calibri" w:cs="Calibri" w:eastAsia="Calibri" w:hAnsi="Calibri"/>
          <w:color w:val="22292F"/>
          <w:sz w:val="21"/>
          <w:szCs w:val="21"/>
        </w:rPr>
        <w:t xml:space="preserve">Tab one, outreach pipeline. One row per approach, with columns for: target site, contact name, contact email or channel, category, date first contacted, date followed up, status (pitched, in discussion, accepted, published, declined, no response), notes, and the resulting URL. Follow up exactly once, seven to ten days after the first approach, then stop. A second follow-up rarely converts and does damage the relationship.</w:t>
      </w:r>
    </w:p>
    <w:p>
      <w:pPr>
        <w:spacing w:after="140" w:line="276"/>
      </w:pPr>
      <w:r>
        <w:rPr>
          <w:rFonts w:ascii="Calibri" w:cs="Calibri" w:eastAsia="Calibri" w:hAnsi="Calibri"/>
          <w:color w:val="22292F"/>
          <w:sz w:val="21"/>
          <w:szCs w:val="21"/>
        </w:rPr>
        <w:t xml:space="preserve">Tab two, live links. One row per acquired link, with columns for: linking URL, target page on your site, anchor text, follow or nofollow, date acquired, how it was acquired, and a quarterly check that it is still live. Links disappear when sites are redesigned, and knowing which ones you lost tells you which relationships to revisit.</w:t>
      </w:r>
    </w:p>
    <w:p>
      <w:pPr>
        <w:pStyle w:val="Heading2"/>
        <w:spacing w:after="120" w:before="300"/>
      </w:pPr>
      <w:r>
        <w:rPr>
          <w:rFonts w:ascii="Calibri" w:cs="Calibri" w:eastAsia="Calibri" w:hAnsi="Calibri"/>
          <w:b/>
          <w:bCs/>
          <w:color w:val="16485A"/>
          <w:sz w:val="25"/>
          <w:szCs w:val="25"/>
        </w:rPr>
        <w:t xml:space="preserve">Metrics that actually mean something</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339"/>
        <w:gridCol w:w="2924"/>
        <w:gridCol w:w="1170"/>
        <w:gridCol w:w="3313"/>
      </w:tblGrid>
      <w:tr>
        <w:trPr>
          <w:tblHeader/>
        </w:trPr>
        <w:tc>
          <w:tcPr>
            <w:tcW w:type="dxa" w:w="233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Metric</w:t>
            </w:r>
          </w:p>
        </w:tc>
        <w:tc>
          <w:tcPr>
            <w:tcW w:type="dxa" w:w="292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Where</w:t>
            </w:r>
          </w:p>
        </w:tc>
        <w:tc>
          <w:tcPr>
            <w:tcW w:type="dxa" w:w="1170"/>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Cadence</w:t>
            </w:r>
          </w:p>
        </w:tc>
        <w:tc>
          <w:tcPr>
            <w:tcW w:type="dxa" w:w="3313"/>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 good looks like at 12 months</w:t>
            </w:r>
          </w:p>
        </w:tc>
      </w:tr>
      <w:tr>
        <w:trPr>
          <w:tblHeader w:val="false"/>
        </w:trPr>
        <w:tc>
          <w:tcPr>
            <w:tcW w:type="dxa" w:w="233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Referring domains</w:t>
            </w:r>
          </w:p>
        </w:tc>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Search Console links report; Ahrefs or Semrush free tier if you have one</w:t>
            </w:r>
          </w:p>
        </w:tc>
        <w:tc>
          <w:tcPr>
            <w:tcW w:type="dxa" w:w="117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Monthly</w:t>
            </w:r>
          </w:p>
        </w:tc>
        <w:tc>
          <w:tcPr>
            <w:tcW w:type="dxa" w:w="331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40 to 60 new, with at least 8 that you would call authoritative</w:t>
            </w:r>
          </w:p>
        </w:tc>
      </w:tr>
      <w:tr>
        <w:trPr>
          <w:tblHeader w:val="false"/>
        </w:trPr>
        <w:tc>
          <w:tcPr>
            <w:tcW w:type="dxa" w:w="233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Referral sessions from links</w:t>
            </w:r>
          </w:p>
        </w:tc>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GA4, traffic acquisition, referral channel</w:t>
            </w:r>
          </w:p>
        </w:tc>
        <w:tc>
          <w:tcPr>
            <w:tcW w:type="dxa" w:w="117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Monthly</w:t>
            </w:r>
          </w:p>
        </w:tc>
        <w:tc>
          <w:tcPr>
            <w:tcW w:type="dxa" w:w="3313"/>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Steady growth, and at least three sources sending recurring traffic</w:t>
            </w:r>
          </w:p>
        </w:tc>
      </w:tr>
      <w:tr>
        <w:trPr>
          <w:tblHeader w:val="false"/>
        </w:trPr>
        <w:tc>
          <w:tcPr>
            <w:tcW w:type="dxa" w:w="233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Branded search impressions</w:t>
            </w:r>
          </w:p>
        </w:tc>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Search Console, queries containing your name or the business name</w:t>
            </w:r>
          </w:p>
        </w:tc>
        <w:tc>
          <w:tcPr>
            <w:tcW w:type="dxa" w:w="117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Monthly</w:t>
            </w:r>
          </w:p>
        </w:tc>
        <w:tc>
          <w:tcPr>
            <w:tcW w:type="dxa" w:w="331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Clear upward trend. This is the entity building, and it is the leading indicator for everything else</w:t>
            </w:r>
          </w:p>
        </w:tc>
      </w:tr>
      <w:tr>
        <w:trPr>
          <w:tblHeader w:val="false"/>
        </w:trPr>
        <w:tc>
          <w:tcPr>
            <w:tcW w:type="dxa" w:w="233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Non-branded impressions and average position</w:t>
            </w:r>
          </w:p>
        </w:tc>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Search Console</w:t>
            </w:r>
          </w:p>
        </w:tc>
        <w:tc>
          <w:tcPr>
            <w:tcW w:type="dxa" w:w="117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Monthly</w:t>
            </w:r>
          </w:p>
        </w:tc>
        <w:tc>
          <w:tcPr>
            <w:tcW w:type="dxa" w:w="3313"/>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Rising impressions on bid, AI and procurement phrases even before clicks follow</w:t>
            </w:r>
          </w:p>
        </w:tc>
      </w:tr>
      <w:tr>
        <w:trPr>
          <w:tblHeader w:val="false"/>
        </w:trPr>
        <w:tc>
          <w:tcPr>
            <w:tcW w:type="dxa" w:w="233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Anchor text distribution</w:t>
            </w:r>
          </w:p>
        </w:tc>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Your own tracking tab</w:t>
            </w:r>
          </w:p>
        </w:tc>
        <w:tc>
          <w:tcPr>
            <w:tcW w:type="dxa" w:w="117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Quarterly</w:t>
            </w:r>
          </w:p>
        </w:tc>
        <w:tc>
          <w:tcPr>
            <w:tcW w:type="dxa" w:w="331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Roughly 70 per cent branded, 20 per cent natural phrase, under 10 per cent exact commercial match</w:t>
            </w:r>
          </w:p>
        </w:tc>
      </w:tr>
      <w:tr>
        <w:trPr>
          <w:tblHeader w:val="false"/>
        </w:trPr>
        <w:tc>
          <w:tcPr>
            <w:tcW w:type="dxa" w:w="233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Enquiries attributed to a link or article</w:t>
            </w:r>
          </w:p>
        </w:tc>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Ask every enquirer how they found you</w:t>
            </w:r>
          </w:p>
        </w:tc>
        <w:tc>
          <w:tcPr>
            <w:tcW w:type="dxa" w:w="117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Ongoing</w:t>
            </w:r>
          </w:p>
        </w:tc>
        <w:tc>
          <w:tcPr>
            <w:tcW w:type="dxa" w:w="3313"/>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This is the only metric that pays. Two or three would justify the whole programme</w:t>
            </w:r>
          </w:p>
        </w:tc>
      </w:tr>
    </w:tbl>
    <w:p>
      <w:pPr>
        <w:spacing w:after="200"/>
      </w:pPr>
    </w:p>
    <w:p>
      <w:pPr>
        <w:pStyle w:val="Heading2"/>
        <w:spacing w:after="120" w:before="300"/>
      </w:pPr>
      <w:r>
        <w:rPr>
          <w:rFonts w:ascii="Calibri" w:cs="Calibri" w:eastAsia="Calibri" w:hAnsi="Calibri"/>
          <w:b/>
          <w:bCs/>
          <w:color w:val="16485A"/>
          <w:sz w:val="25"/>
          <w:szCs w:val="25"/>
        </w:rPr>
        <w:t xml:space="preserve">The monthly rhythm</w:t>
      </w:r>
    </w:p>
    <w:p>
      <w:pPr>
        <w:spacing w:after="140" w:line="276"/>
      </w:pPr>
      <w:r>
        <w:rPr>
          <w:rFonts w:ascii="Calibri" w:cs="Calibri" w:eastAsia="Calibri" w:hAnsi="Calibri"/>
          <w:color w:val="22292F"/>
          <w:sz w:val="21"/>
          <w:szCs w:val="21"/>
        </w:rPr>
        <w:t xml:space="preserve">Ninety minutes on the first working day of each month. Update the two tabs. Pull the Search Console links and query reports. Check that last month's acquired links are still live. Review the pipeline for anything needing a follow-up. Decide the month's three priorities and put them in the calendar as actual blocked time, because unblocked link building does not happen. Then close the sheet and do not think about it again until next month.</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7. What not to do</w:t>
      </w:r>
    </w:p>
    <w:p>
      <w:pPr>
        <w:spacing w:after="140" w:line="276"/>
      </w:pPr>
      <w:r>
        <w:rPr>
          <w:rFonts w:ascii="Calibri" w:cs="Calibri" w:eastAsia="Calibri" w:hAnsi="Calibri"/>
          <w:color w:val="22292F"/>
          <w:sz w:val="21"/>
          <w:szCs w:val="21"/>
        </w:rPr>
        <w:t xml:space="preserve">Shorter than the rest of the document and probably more valuable. Every item below is something that either wastes money, wastes time, or actively causes harm, and every one of them will be offered to you by email within weeks of the site gaining any visibility at all.</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924"/>
        <w:gridCol w:w="6822"/>
      </w:tblGrid>
      <w:tr>
        <w:trPr>
          <w:tblHeader/>
        </w:trPr>
        <w:tc>
          <w:tcPr>
            <w:tcW w:type="dxa" w:w="292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Do not</w:t>
            </w:r>
          </w:p>
        </w:tc>
        <w:tc>
          <w:tcPr>
            <w:tcW w:type="dxa" w:w="6822"/>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Because</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Buy links, guest post packages, or anything advertised as "DA 50+ dofollow placements"</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 will get links from private blog networks that exist only to sell links. Google detects these reliably. Even when it does not, the sites carry no real traffic and no real relevance, so the best outcome is that you wasted the money.</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Reply to the unsolicited SEO agency emails you are about to start receiving</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volume will increase sharply as the site gains any authority at all. Almost all of them are selling the item above. Filter them and move on.</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Mass-submit to hundreds of business directories</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Twenty minutes each for a link nobody will ever click from a site with no editorial standards. The five or six curated ones in section 2 are worth doing. The other three hundred are not.</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Use exact-match commercial anchor text repeatedly</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Ten links all reading "bid management consultancy UK" is the clearest possible signal that the links were placed rather than earned. Vary it, and default to your name.</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Comment on blogs and forums to place links</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Almost universally nofollow, almost universally deleted, and it makes you look like a spammer to exactly the professional audience you are trying to impress.</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Gate the research report entirely behind a form</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 PDF behind a form cannot be crawled, cited or retrieved. Gate the full report if you want the email addresses, but publish the headline findings on an open HTML page or the research does no link building at all.</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Chase Domain Authority as a target number</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It is a third-party estimate, not a Google metric, and optimising for it pulls you towards volume tactics. Referring domain quality and enquiries are the real measures.</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Give up in month four</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This is the real risk. The first three months produce almost no visible movement and it feels like nothing is working. The compounding starts somewhere between months five and eight. Everyone who quits, quits in month four.</w:t>
            </w:r>
          </w:p>
        </w:tc>
      </w:tr>
    </w:tbl>
    <w:p>
      <w:pPr>
        <w:spacing w:after="240"/>
      </w:pPr>
    </w:p>
    <w:p>
      <w:pPr>
        <w:pStyle w:val="Heading2"/>
        <w:spacing w:after="120" w:before="300"/>
      </w:pPr>
      <w:r>
        <w:rPr>
          <w:rFonts w:ascii="Calibri" w:cs="Calibri" w:eastAsia="Calibri" w:hAnsi="Calibri"/>
          <w:b/>
          <w:bCs/>
          <w:color w:val="16485A"/>
          <w:sz w:val="25"/>
          <w:szCs w:val="25"/>
        </w:rPr>
        <w:t xml:space="preserve">A closing note on effort</w:t>
      </w:r>
    </w:p>
    <w:p>
      <w:pPr>
        <w:spacing w:after="140" w:line="276"/>
      </w:pPr>
      <w:r>
        <w:rPr>
          <w:rFonts w:ascii="Calibri" w:cs="Calibri" w:eastAsia="Calibri" w:hAnsi="Calibri"/>
          <w:color w:val="22292F"/>
          <w:sz w:val="21"/>
          <w:szCs w:val="21"/>
        </w:rPr>
        <w:t xml:space="preserve">The honest summary is that this programme needs two to five hours a week, sustained, for a year. That is the whole difficulty. None of the individual tasks is hard, none requires specialist skill, and none costs much money beyond an APMP membership and possibly a survey tool. What it requires is that the time is genuinely blocked out and genuinely protected against client work, which for a solo consultant is the hardest resource allocation there is.</w:t>
      </w:r>
    </w:p>
    <w:p>
      <w:pPr>
        <w:spacing w:after="140" w:line="276"/>
      </w:pPr>
      <w:r>
        <w:rPr>
          <w:rFonts w:ascii="Calibri" w:cs="Calibri" w:eastAsia="Calibri" w:hAnsi="Calibri"/>
          <w:color w:val="22292F"/>
          <w:sz w:val="21"/>
          <w:szCs w:val="21"/>
        </w:rPr>
        <w:t xml:space="preserve">If the honest answer is that two hours a week is not available, then do phase one and phase three only. Skip the guest articles and the podcast pitching, do the foundation work in month one, and put everything else into the benchmark study. A single well-executed piece of original research with a proper open summary page will outperform a half-hearted version of the full programme, and it will take fewer total hours.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5" w:sz="4" w:space="6"/>
      </w:pBdr>
      <w:jc w:val="right"/>
    </w:pPr>
    <w:r>
      <w:rPr>
        <w:rFonts w:ascii="Calibri" w:cs="Calibri" w:eastAsia="Calibri" w:hAnsi="Calibri"/>
        <w:color w:val="4A5568"/>
        <w:sz w:val="16"/>
        <w:szCs w:val="16"/>
      </w:rPr>
      <w:t xml:space="preserve">Ignis Leadership  |  12-Month Backlink Strategy   |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2026-09-10T17:17:08.569Z</dcterms:created>
  <dcterms:modified xsi:type="dcterms:W3CDTF">2026-09-10T17:17:08.615Z</dcterms:modified>
</cp:coreProperties>
</file>

<file path=docProps/custom.xml><?xml version="1.0" encoding="utf-8"?>
<Properties xmlns="http://schemas.openxmlformats.org/officeDocument/2006/custom-properties" xmlns:vt="http://schemas.openxmlformats.org/officeDocument/2006/docPropsVTypes"/>
</file>