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1e9cf791d3358c69fd18e8d8376bcbea99fde1c"/>
    <w:p>
      <w:pPr>
        <w:pStyle w:val="Heading1"/>
      </w:pPr>
      <w:r>
        <w:t xml:space="preserve">13 — Strategisch Verkoop- en Marketingplan DGSkills</w:t>
      </w:r>
    </w:p>
    <w:p>
      <w:pPr>
        <w:pStyle w:val="BlockText"/>
      </w:pPr>
      <w:r>
        <w:rPr>
          <w:b/>
          <w:bCs/>
        </w:rPr>
        <w:t xml:space="preserve">Versie:</w:t>
      </w:r>
      <w:r>
        <w:t xml:space="preserve"> </w:t>
      </w:r>
      <w:r>
        <w:t xml:space="preserve">1.0 |</w:t>
      </w:r>
      <w:r>
        <w:t xml:space="preserve"> </w:t>
      </w:r>
      <w:r>
        <w:rPr>
          <w:b/>
          <w:bCs/>
        </w:rPr>
        <w:t xml:space="preserve">Datum:</w:t>
      </w:r>
      <w:r>
        <w:t xml:space="preserve"> </w:t>
      </w:r>
      <w:r>
        <w:t xml:space="preserve">17 juni 2026 |</w:t>
      </w:r>
      <w:r>
        <w:t xml:space="preserve"> </w:t>
      </w:r>
      <w:r>
        <w:rPr>
          <w:b/>
          <w:bCs/>
        </w:rPr>
        <w:t xml:space="preserve">Status:</w:t>
      </w:r>
      <w:r>
        <w:t xml:space="preserve"> </w:t>
      </w:r>
      <w:r>
        <w:t xml:space="preserve">Strategisch voorstel — ter bespreking en validatie</w:t>
      </w:r>
      <w:r>
        <w:t xml:space="preserve"> </w:t>
      </w:r>
      <w:r>
        <w:rPr>
          <w:b/>
          <w:bCs/>
        </w:rPr>
        <w:t xml:space="preserve">Auteur:</w:t>
      </w:r>
      <w:r>
        <w:t xml:space="preserve"> </w:t>
      </w:r>
      <w:r>
        <w:t xml:space="preserve">DGSkills (Yorin) — t.b.v. strategische onderbouwing commerciële aanpak</w:t>
      </w:r>
    </w:p>
    <w:p>
      <w:r>
        <w:pict>
          <v:rect style="width:0;height:1.5pt" o:hralign="center" o:hrstd="t" o:hr="t"/>
        </w:pict>
      </w:r>
    </w:p>
    <w:bookmarkStart w:id="9" w:name="inhoudsopgave"/>
    <w:p>
      <w:pPr>
        <w:pStyle w:val="Heading2"/>
      </w:pPr>
      <w:r>
        <w:t xml:space="preserve">Inhoudsopgave</w:t>
      </w:r>
    </w:p>
    <w:p>
      <w:pPr>
        <w:pStyle w:val="Compact"/>
        <w:numPr>
          <w:ilvl w:val="0"/>
          <w:numId w:val="1001"/>
        </w:numPr>
      </w:pPr>
      <w:hyperlink w:anchor="Xf4234161e091444c62cd65814cbe8df26965dc6">
        <w:r>
          <w:rPr>
            <w:rStyle w:val="Hyperlink"/>
          </w:rPr>
          <w:t xml:space="preserve">Samenvatting in gewone taal</w:t>
        </w:r>
      </w:hyperlink>
    </w:p>
    <w:p>
      <w:pPr>
        <w:pStyle w:val="Compact"/>
        <w:numPr>
          <w:ilvl w:val="0"/>
          <w:numId w:val="1001"/>
        </w:numPr>
      </w:pPr>
      <w:hyperlink w:anchor="Xafb2c0bc67ede6e45a27c9abdfb3463da5d058a">
        <w:r>
          <w:rPr>
            <w:rStyle w:val="Hyperlink"/>
          </w:rPr>
          <w:t xml:space="preserve">Inleiding en scope</w:t>
        </w:r>
      </w:hyperlink>
    </w:p>
    <w:p>
      <w:pPr>
        <w:pStyle w:val="Compact"/>
        <w:numPr>
          <w:ilvl w:val="0"/>
          <w:numId w:val="1001"/>
        </w:numPr>
      </w:pPr>
      <w:hyperlink w:anchor="X17bc35f2ba8ae273b7070d1ededc40e6ed7fed6">
        <w:r>
          <w:rPr>
            <w:rStyle w:val="Hyperlink"/>
          </w:rPr>
          <w:t xml:space="preserve">Theoretisch fundament</w:t>
        </w:r>
      </w:hyperlink>
    </w:p>
    <w:p>
      <w:pPr>
        <w:pStyle w:val="Compact"/>
        <w:numPr>
          <w:ilvl w:val="0"/>
          <w:numId w:val="1001"/>
        </w:numPr>
      </w:pPr>
      <w:hyperlink w:anchor="X50e670f4d1493d2f56943a4b008a3758c83bf3d">
        <w:r>
          <w:rPr>
            <w:rStyle w:val="Hyperlink"/>
          </w:rPr>
          <w:t xml:space="preserve">Markt- en krachtenveldanalyse</w:t>
        </w:r>
      </w:hyperlink>
    </w:p>
    <w:p>
      <w:pPr>
        <w:pStyle w:val="Compact"/>
        <w:numPr>
          <w:ilvl w:val="0"/>
          <w:numId w:val="1001"/>
        </w:numPr>
      </w:pPr>
      <w:hyperlink w:anchor="Xe5eb9a8bff44e6815e058855e78d6641c7b7b0c">
        <w:r>
          <w:rPr>
            <w:rStyle w:val="Hyperlink"/>
          </w:rPr>
          <w:t xml:space="preserve">STP — Segmentatie, Targeting, Positionering</w:t>
        </w:r>
      </w:hyperlink>
    </w:p>
    <w:p>
      <w:pPr>
        <w:pStyle w:val="Compact"/>
        <w:numPr>
          <w:ilvl w:val="0"/>
          <w:numId w:val="1001"/>
        </w:numPr>
      </w:pPr>
      <w:hyperlink w:anchor="X2014529a6170fe68adef866f15fe60400cb3f10">
        <w:r>
          <w:rPr>
            <w:rStyle w:val="Hyperlink"/>
          </w:rPr>
          <w:t xml:space="preserve">De klant begrijpen — JTBD, Value Proposition Canvas en Buying Center</w:t>
        </w:r>
      </w:hyperlink>
    </w:p>
    <w:p>
      <w:pPr>
        <w:pStyle w:val="Compact"/>
        <w:numPr>
          <w:ilvl w:val="0"/>
          <w:numId w:val="1001"/>
        </w:numPr>
      </w:pPr>
      <w:hyperlink w:anchor="X2220e15bcdeb1363971612663c0117b9c179972">
        <w:r>
          <w:rPr>
            <w:rStyle w:val="Hyperlink"/>
          </w:rPr>
          <w:t xml:space="preserve">Adoptiestrategie — Diffusion of Innovations en Crossing the Chasm</w:t>
        </w:r>
      </w:hyperlink>
    </w:p>
    <w:p>
      <w:pPr>
        <w:pStyle w:val="Compact"/>
        <w:numPr>
          <w:ilvl w:val="0"/>
          <w:numId w:val="1001"/>
        </w:numPr>
      </w:pPr>
      <w:hyperlink w:anchor="X3fd54d4db199079d82c2a5c96447b36dc1a9214">
        <w:r>
          <w:rPr>
            <w:rStyle w:val="Hyperlink"/>
          </w:rPr>
          <w:t xml:space="preserve">Positionering en boodschap</w:t>
        </w:r>
      </w:hyperlink>
    </w:p>
    <w:p>
      <w:pPr>
        <w:pStyle w:val="Compact"/>
        <w:numPr>
          <w:ilvl w:val="0"/>
          <w:numId w:val="1001"/>
        </w:numPr>
      </w:pPr>
      <w:hyperlink w:anchor="Xafefe58fd52603360b191169a71abd788031182">
        <w:r>
          <w:rPr>
            <w:rStyle w:val="Hyperlink"/>
          </w:rPr>
          <w:t xml:space="preserve">Kanaal- en social-mediastrategie</w:t>
        </w:r>
      </w:hyperlink>
    </w:p>
    <w:p>
      <w:pPr>
        <w:pStyle w:val="Compact"/>
        <w:numPr>
          <w:ilvl w:val="0"/>
          <w:numId w:val="1001"/>
        </w:numPr>
      </w:pPr>
      <w:hyperlink w:anchor="X3acea64c297ad38c19c99f2cc5fc5c4839c307b">
        <w:r>
          <w:rPr>
            <w:rStyle w:val="Hyperlink"/>
          </w:rPr>
          <w:t xml:space="preserve">Verkoopmethodiek — hoe scholen benaderen en closen</w:t>
        </w:r>
      </w:hyperlink>
    </w:p>
    <w:p>
      <w:pPr>
        <w:pStyle w:val="Compact"/>
        <w:numPr>
          <w:ilvl w:val="0"/>
          <w:numId w:val="1001"/>
        </w:numPr>
      </w:pPr>
      <w:hyperlink w:anchor="Xd731e4dcbabb238ab1686bed854a207c86dc2d6">
        <w:r>
          <w:rPr>
            <w:rStyle w:val="Hyperlink"/>
          </w:rPr>
          <w:t xml:space="preserve">Funnel en pijplijn</w:t>
        </w:r>
      </w:hyperlink>
    </w:p>
    <w:p>
      <w:pPr>
        <w:pStyle w:val="Compact"/>
        <w:numPr>
          <w:ilvl w:val="0"/>
          <w:numId w:val="1001"/>
        </w:numPr>
      </w:pPr>
      <w:hyperlink w:anchor="X55014e9d8cd65d26d09312db48648312357fec4">
        <w:r>
          <w:rPr>
            <w:rStyle w:val="Hyperlink"/>
          </w:rPr>
          <w:t xml:space="preserve">Prijs en waarde</w:t>
        </w:r>
      </w:hyperlink>
    </w:p>
    <w:p>
      <w:pPr>
        <w:pStyle w:val="Compact"/>
        <w:numPr>
          <w:ilvl w:val="0"/>
          <w:numId w:val="1001"/>
        </w:numPr>
      </w:pPr>
      <w:hyperlink w:anchor="Xa9d9649942aa950ae3f87122d3701ddf11a18b6">
        <w:r>
          <w:rPr>
            <w:rStyle w:val="Hyperlink"/>
          </w:rPr>
          <w:t xml:space="preserve">Meetmodel en KPI’s</w:t>
        </w:r>
      </w:hyperlink>
    </w:p>
    <w:p>
      <w:pPr>
        <w:pStyle w:val="Compact"/>
        <w:numPr>
          <w:ilvl w:val="0"/>
          <w:numId w:val="1001"/>
        </w:numPr>
      </w:pPr>
      <w:hyperlink w:anchor="Xedc9809e0d41400c83957ecb9048c313d3d3093">
        <w:r>
          <w:rPr>
            <w:rStyle w:val="Hyperlink"/>
          </w:rPr>
          <w:t xml:space="preserve">Risico’s, aannames en afhankelijkheden</w:t>
        </w:r>
      </w:hyperlink>
    </w:p>
    <w:p>
      <w:pPr>
        <w:pStyle w:val="Compact"/>
        <w:numPr>
          <w:ilvl w:val="0"/>
          <w:numId w:val="1001"/>
        </w:numPr>
      </w:pPr>
      <w:hyperlink w:anchor="Xc58c476226749d7522cc939ec3674ab1c2ad6b6">
        <w:r>
          <w:rPr>
            <w:rStyle w:val="Hyperlink"/>
          </w:rPr>
          <w:t xml:space="preserve">Bronnenlijst</w:t>
        </w:r>
      </w:hyperlink>
    </w:p>
    <w:p>
      <w:pPr>
        <w:pStyle w:val="Compact"/>
        <w:numPr>
          <w:ilvl w:val="0"/>
          <w:numId w:val="1001"/>
        </w:numPr>
      </w:pPr>
      <w:hyperlink w:anchor="Xbf3c75dee6496e358ab9db28aef4900462c4758">
        <w:r>
          <w:rPr>
            <w:rStyle w:val="Hyperlink"/>
          </w:rPr>
          <w:t xml:space="preserve">Bijlage: Aansturingsmatrix</w:t>
        </w:r>
      </w:hyperlink>
    </w:p>
    <w:p>
      <w:r>
        <w:pict>
          <v:rect style="width:0;height:1.5pt" o:hralign="center" o:hrstd="t" o:hr="t"/>
        </w:pict>
      </w:r>
    </w:p>
    <w:bookmarkEnd w:id="9"/>
    <w:bookmarkStart w:id="10" w:name="samenvatting-in-gewone-taal"/>
    <w:p>
      <w:pPr>
        <w:pStyle w:val="Heading2"/>
      </w:pPr>
      <w:r>
        <w:t xml:space="preserve">0. Samenvatting in gewone taal</w:t>
      </w:r>
    </w:p>
    <w:p>
      <w:pPr>
        <w:pStyle w:val="FirstParagraph"/>
      </w:pPr>
      <w:r>
        <w:t xml:space="preserve">Dit document beschrijft de</w:t>
      </w:r>
      <w:r>
        <w:t xml:space="preserve"> </w:t>
      </w:r>
      <w:r>
        <w:rPr>
          <w:b/>
          <w:bCs/>
        </w:rPr>
        <w:t xml:space="preserve">strategische laag</w:t>
      </w:r>
      <w:r>
        <w:t xml:space="preserve"> </w:t>
      </w:r>
      <w:r>
        <w:t xml:space="preserve">achter de verkoop- en marketingaanpak van DGSkills. Het beantwoordt vier concrete vragen: hoe verkoop je de site, welke social media zet je in, hoe benader je scholen, en hoe breng je DGSkills structureel in de markt? Elke keuze is onderbouwd met erkende marketing- en verkoopliteratuur, toegepast op de specifieke realiteit van het Nederlandse voortgezet onderwijs. De bestaande tactische documenten (marktbewerking, demo-scripts, KPI-ritme, pilothandboek) zijn de uitvoeringslaag; dit plan geeft die laag een theoretisch ruggengraat en legt uit</w:t>
      </w:r>
      <w:r>
        <w:t xml:space="preserve"> </w:t>
      </w:r>
      <w:r>
        <w:rPr>
          <w:i/>
          <w:iCs/>
        </w:rPr>
        <w:t xml:space="preserve">waarom</w:t>
      </w:r>
      <w:r>
        <w:t xml:space="preserve"> </w:t>
      </w:r>
      <w:r>
        <w:t xml:space="preserve">de gekozen aanpak logisch is gegeven de structuur van de markt. Scholen zijn conservatieve, risicomijdende kopers met meerdere beslissers — de aanpak reflecteert dat volledig. Het plan is een voorstel en vraagt om validatie op basis van ervaringen in het veld.</w:t>
      </w:r>
    </w:p>
    <w:p>
      <w:r>
        <w:pict>
          <v:rect style="width:0;height:1.5pt" o:hralign="center" o:hrstd="t" o:hr="t"/>
        </w:pict>
      </w:r>
    </w:p>
    <w:bookmarkEnd w:id="10"/>
    <w:bookmarkStart w:id="15" w:name="inleiding-en-scope"/>
    <w:p>
      <w:pPr>
        <w:pStyle w:val="Heading2"/>
      </w:pPr>
      <w:r>
        <w:t xml:space="preserve">1. Inleiding en scope</w:t>
      </w:r>
    </w:p>
    <w:bookmarkStart w:id="11" w:name="doel"/>
    <w:p>
      <w:pPr>
        <w:pStyle w:val="Heading3"/>
      </w:pPr>
      <w:r>
        <w:t xml:space="preserve">Doel</w:t>
      </w:r>
    </w:p>
    <w:p>
      <w:pPr>
        <w:pStyle w:val="FirstParagraph"/>
      </w:pPr>
      <w:r>
        <w:t xml:space="preserve">Dit plan geeft de commerciële aanpak van DGSkills een theoretische onderbouwing. Het beantwoordt structureel:</w:t>
      </w:r>
    </w:p>
    <w:p>
      <w:pPr>
        <w:pStyle w:val="Compact"/>
        <w:numPr>
          <w:ilvl w:val="0"/>
          <w:numId w:val="1002"/>
        </w:numPr>
      </w:pPr>
      <w:r>
        <w:rPr>
          <w:b/>
          <w:bCs/>
        </w:rPr>
        <w:t xml:space="preserve">Hoe verkoop je de site?</w:t>
      </w:r>
      <w:r>
        <w:t xml:space="preserve"> </w:t>
      </w:r>
      <w:r>
        <w:t xml:space="preserve">— Welke verkoopmethodiek past bij de inkoopcultuur van scholen.</w:t>
      </w:r>
    </w:p>
    <w:p>
      <w:pPr>
        <w:pStyle w:val="Compact"/>
        <w:numPr>
          <w:ilvl w:val="0"/>
          <w:numId w:val="1002"/>
        </w:numPr>
      </w:pPr>
      <w:r>
        <w:rPr>
          <w:b/>
          <w:bCs/>
        </w:rPr>
        <w:t xml:space="preserve">Welke social media?</w:t>
      </w:r>
      <w:r>
        <w:t xml:space="preserve"> </w:t>
      </w:r>
      <w:r>
        <w:t xml:space="preserve">— Kanaalkeuze op basis van doelgroepfit en inbound-theorie.</w:t>
      </w:r>
    </w:p>
    <w:p>
      <w:pPr>
        <w:pStyle w:val="Compact"/>
        <w:numPr>
          <w:ilvl w:val="0"/>
          <w:numId w:val="1002"/>
        </w:numPr>
      </w:pPr>
      <w:r>
        <w:rPr>
          <w:b/>
          <w:bCs/>
        </w:rPr>
        <w:t xml:space="preserve">Hoe benader je scholen?</w:t>
      </w:r>
      <w:r>
        <w:t xml:space="preserve"> </w:t>
      </w:r>
      <w:r>
        <w:t xml:space="preserve">— Aanpak en volgorde gericht op een conservatieve DMU.</w:t>
      </w:r>
    </w:p>
    <w:p>
      <w:pPr>
        <w:pStyle w:val="Compact"/>
        <w:numPr>
          <w:ilvl w:val="0"/>
          <w:numId w:val="1002"/>
        </w:numPr>
      </w:pPr>
      <w:r>
        <w:rPr>
          <w:b/>
          <w:bCs/>
        </w:rPr>
        <w:t xml:space="preserve">Hoe breng je DGSkills in de markt?</w:t>
      </w:r>
      <w:r>
        <w:t xml:space="preserve"> </w:t>
      </w:r>
      <w:r>
        <w:t xml:space="preserve">— Positionering en diffusiestrategie voor een nieuwe EdTech-aanbieder.</w:t>
      </w:r>
    </w:p>
    <w:bookmarkEnd w:id="11"/>
    <w:bookmarkStart w:id="12" w:name="X936ee097d4f5b07ed34e582a2a2b04225fc7dce"/>
    <w:p>
      <w:pPr>
        <w:pStyle w:val="Heading3"/>
      </w:pPr>
      <w:r>
        <w:t xml:space="preserve">Verhouding tot de bestaande tactische documentatie</w:t>
      </w:r>
    </w:p>
    <w:p>
      <w:pPr>
        <w:pStyle w:val="FirstParagraph"/>
      </w:pPr>
      <w:r>
        <w:t xml:space="preserve">De tactische uitvoeringslaag bestaat al en is gedocumenteerd in:</w:t>
      </w:r>
    </w:p>
    <w:p>
      <w:pPr>
        <w:pStyle w:val="Compact"/>
        <w:numPr>
          <w:ilvl w:val="0"/>
          <w:numId w:val="1003"/>
        </w:numPr>
      </w:pPr>
      <w:r>
        <w:rPr>
          <w:rStyle w:val="VerbatimChar"/>
          <w:b/>
          <w:bCs/>
        </w:rPr>
        <w:t xml:space="preserve">00-niche-definition-first-3-pilots.md</w:t>
      </w:r>
      <w:r>
        <w:t xml:space="preserve"> </w:t>
      </w:r>
      <w:r>
        <w:t xml:space="preserve">— niche, pilotcriteria, beachhead-definitie</w:t>
      </w:r>
    </w:p>
    <w:p>
      <w:pPr>
        <w:pStyle w:val="Compact"/>
        <w:numPr>
          <w:ilvl w:val="0"/>
          <w:numId w:val="1003"/>
        </w:numPr>
      </w:pPr>
      <w:r>
        <w:rPr>
          <w:rStyle w:val="VerbatimChar"/>
          <w:b/>
          <w:bCs/>
        </w:rPr>
        <w:t xml:space="preserve">01-offer-packages-and-sla.md</w:t>
      </w:r>
      <w:r>
        <w:t xml:space="preserve"> </w:t>
      </w:r>
      <w:r>
        <w:t xml:space="preserve">— aanbod en SLA-structuur</w:t>
      </w:r>
    </w:p>
    <w:p>
      <w:pPr>
        <w:pStyle w:val="Compact"/>
        <w:numPr>
          <w:ilvl w:val="0"/>
          <w:numId w:val="1003"/>
        </w:numPr>
      </w:pPr>
      <w:r>
        <w:rPr>
          <w:rStyle w:val="VerbatimChar"/>
          <w:b/>
          <w:bCs/>
        </w:rPr>
        <w:t xml:space="preserve">02-pricing-matrix.md</w:t>
      </w:r>
      <w:r>
        <w:t xml:space="preserve"> </w:t>
      </w:r>
      <w:r>
        <w:t xml:space="preserve">— volledige prijstabel</w:t>
      </w:r>
    </w:p>
    <w:p>
      <w:pPr>
        <w:pStyle w:val="Compact"/>
        <w:numPr>
          <w:ilvl w:val="0"/>
          <w:numId w:val="1003"/>
        </w:numPr>
      </w:pPr>
      <w:r>
        <w:rPr>
          <w:rStyle w:val="VerbatimChar"/>
          <w:b/>
          <w:bCs/>
        </w:rPr>
        <w:t xml:space="preserve">03-pilot-cohort-playbook.md</w:t>
      </w:r>
      <w:r>
        <w:t xml:space="preserve"> </w:t>
      </w:r>
      <w:r>
        <w:t xml:space="preserve">— pilotuitvoering stap-voor-stap</w:t>
      </w:r>
    </w:p>
    <w:p>
      <w:pPr>
        <w:pStyle w:val="Compact"/>
        <w:numPr>
          <w:ilvl w:val="0"/>
          <w:numId w:val="1003"/>
        </w:numPr>
      </w:pPr>
      <w:r>
        <w:rPr>
          <w:rStyle w:val="VerbatimChar"/>
          <w:b/>
          <w:bCs/>
        </w:rPr>
        <w:t xml:space="preserve">05-weekly-kpi-dashboard-rhythm.md</w:t>
      </w:r>
      <w:r>
        <w:t xml:space="preserve"> </w:t>
      </w:r>
      <w:r>
        <w:t xml:space="preserve">— KPI-ritme en meetstructuur</w:t>
      </w:r>
    </w:p>
    <w:p>
      <w:pPr>
        <w:pStyle w:val="Compact"/>
        <w:numPr>
          <w:ilvl w:val="0"/>
          <w:numId w:val="1003"/>
        </w:numPr>
      </w:pPr>
      <w:r>
        <w:rPr>
          <w:rStyle w:val="VerbatimChar"/>
          <w:b/>
          <w:bCs/>
        </w:rPr>
        <w:t xml:space="preserve">07-usp-strategy-and-messaging.md</w:t>
      </w:r>
      <w:r>
        <w:t xml:space="preserve"> </w:t>
      </w:r>
      <w:r>
        <w:t xml:space="preserve">— USP’s en berichtgeving</w:t>
      </w:r>
    </w:p>
    <w:p>
      <w:pPr>
        <w:pStyle w:val="Compact"/>
        <w:numPr>
          <w:ilvl w:val="0"/>
          <w:numId w:val="1003"/>
        </w:numPr>
      </w:pPr>
      <w:r>
        <w:rPr>
          <w:rStyle w:val="VerbatimChar"/>
          <w:b/>
          <w:bCs/>
        </w:rPr>
        <w:t xml:space="preserve">10-marketing-campagne-strategie.md</w:t>
      </w:r>
      <w:r>
        <w:t xml:space="preserve"> </w:t>
      </w:r>
      <w:r>
        <w:t xml:space="preserve">— campagneplanning</w:t>
      </w:r>
    </w:p>
    <w:p>
      <w:pPr>
        <w:pStyle w:val="Compact"/>
        <w:numPr>
          <w:ilvl w:val="0"/>
          <w:numId w:val="1003"/>
        </w:numPr>
      </w:pPr>
      <w:r>
        <w:rPr>
          <w:rStyle w:val="VerbatimChar"/>
          <w:b/>
          <w:bCs/>
        </w:rPr>
        <w:t xml:space="preserve">12-go-to-market-strategie.md</w:t>
      </w:r>
      <w:r>
        <w:t xml:space="preserve"> </w:t>
      </w:r>
      <w:r>
        <w:t xml:space="preserve">— GTM-fasering</w:t>
      </w:r>
    </w:p>
    <w:p>
      <w:pPr>
        <w:pStyle w:val="Compact"/>
        <w:numPr>
          <w:ilvl w:val="0"/>
          <w:numId w:val="1003"/>
        </w:numPr>
      </w:pPr>
      <w:r>
        <w:rPr>
          <w:rStyle w:val="VerbatimChar"/>
          <w:b/>
          <w:bCs/>
        </w:rPr>
        <w:t xml:space="preserve">sales-assets/02-demo-script-vo.md</w:t>
      </w:r>
      <w:r>
        <w:t xml:space="preserve"> </w:t>
      </w:r>
      <w:r>
        <w:t xml:space="preserve">— demoscript voor VO</w:t>
      </w:r>
    </w:p>
    <w:p>
      <w:pPr>
        <w:pStyle w:val="Compact"/>
        <w:numPr>
          <w:ilvl w:val="0"/>
          <w:numId w:val="1003"/>
        </w:numPr>
      </w:pPr>
      <w:r>
        <w:rPr>
          <w:rStyle w:val="VerbatimChar"/>
          <w:b/>
          <w:bCs/>
        </w:rPr>
        <w:t xml:space="preserve">sales-assets/07-bezwarenkaart-dgskills.md</w:t>
      </w:r>
      <w:r>
        <w:t xml:space="preserve"> </w:t>
      </w:r>
      <w:r>
        <w:t xml:space="preserve">— bezwaarbehandeling</w:t>
      </w:r>
    </w:p>
    <w:p>
      <w:pPr>
        <w:pStyle w:val="FirstParagraph"/>
      </w:pPr>
      <w:r>
        <w:t xml:space="preserve">Dit plan dupliceert die documenten niet. Het plaatst ze in een strategisch kader en onderbouwt de logica erachter vanuit de literatuur. Zie</w:t>
      </w:r>
      <w:r>
        <w:t xml:space="preserve"> </w:t>
      </w:r>
      <w:hyperlink w:anchor="Xbf3c75dee6496e358ab9db28aef4900462c4758">
        <w:r>
          <w:rPr>
            <w:rStyle w:val="Hyperlink"/>
          </w:rPr>
          <w:t xml:space="preserve">bijlage 15</w:t>
        </w:r>
      </w:hyperlink>
      <w:r>
        <w:t xml:space="preserve"> </w:t>
      </w:r>
      <w:r>
        <w:t xml:space="preserve">voor de koppeling tussen strategische keuzes en uitvoerende documenten.</w:t>
      </w:r>
    </w:p>
    <w:bookmarkEnd w:id="12"/>
    <w:bookmarkStart w:id="13" w:name="wat-dit-plan-niet-behandelt"/>
    <w:p>
      <w:pPr>
        <w:pStyle w:val="Heading3"/>
      </w:pPr>
      <w:r>
        <w:t xml:space="preserve">Wat dit plan niet behandelt</w:t>
      </w:r>
    </w:p>
    <w:p>
      <w:pPr>
        <w:pStyle w:val="Compact"/>
        <w:numPr>
          <w:ilvl w:val="0"/>
          <w:numId w:val="1004"/>
        </w:numPr>
      </w:pPr>
      <w:r>
        <w:t xml:space="preserve">Productontwikkeling en curriculum (apart gedocumenteerd)</w:t>
      </w:r>
    </w:p>
    <w:p>
      <w:pPr>
        <w:pStyle w:val="Compact"/>
        <w:numPr>
          <w:ilvl w:val="0"/>
          <w:numId w:val="1004"/>
        </w:numPr>
      </w:pPr>
      <w:r>
        <w:t xml:space="preserve">AI Act-compliance-implementatie in detail (zie</w:t>
      </w:r>
      <w:r>
        <w:t xml:space="preserve"> </w:t>
      </w:r>
      <w:r>
        <w:rPr>
          <w:rStyle w:val="VerbatimChar"/>
        </w:rPr>
        <w:t xml:space="preserve">compliance/</w:t>
      </w:r>
      <w:r>
        <w:t xml:space="preserve">-map)</w:t>
      </w:r>
    </w:p>
    <w:p>
      <w:pPr>
        <w:pStyle w:val="Compact"/>
        <w:numPr>
          <w:ilvl w:val="0"/>
          <w:numId w:val="1004"/>
        </w:numPr>
      </w:pPr>
      <w:r>
        <w:t xml:space="preserve">Financiële prognoses en cashflow-modellen</w:t>
      </w:r>
    </w:p>
    <w:bookmarkEnd w:id="13"/>
    <w:bookmarkStart w:id="14" w:name="status"/>
    <w:p>
      <w:pPr>
        <w:pStyle w:val="Heading3"/>
      </w:pPr>
      <w:r>
        <w:t xml:space="preserve">Status</w:t>
      </w:r>
    </w:p>
    <w:p>
      <w:pPr>
        <w:pStyle w:val="FirstParagraph"/>
      </w:pPr>
      <w:r>
        <w:t xml:space="preserve">Dit is een</w:t>
      </w:r>
      <w:r>
        <w:t xml:space="preserve"> </w:t>
      </w:r>
      <w:r>
        <w:rPr>
          <w:b/>
          <w:bCs/>
        </w:rPr>
        <w:t xml:space="preserve">strategisch voorstel</w:t>
      </w:r>
      <w:r>
        <w:t xml:space="preserve">, niet een definitief beleidsdocument. De analyses zijn gebaseerd op beschikbare marktinformatie en interne documentatie. Validatie in de praktijk is noodzakelijk.</w:t>
      </w:r>
    </w:p>
    <w:p>
      <w:r>
        <w:pict>
          <v:rect style="width:0;height:1.5pt" o:hralign="center" o:hrstd="t" o:hr="t"/>
        </w:pict>
      </w:r>
    </w:p>
    <w:bookmarkEnd w:id="14"/>
    <w:bookmarkEnd w:id="15"/>
    <w:bookmarkStart w:id="18" w:name="theoretisch-fundament"/>
    <w:p>
      <w:pPr>
        <w:pStyle w:val="Heading2"/>
      </w:pPr>
      <w:r>
        <w:t xml:space="preserve">2. Theoretisch fundament</w:t>
      </w:r>
    </w:p>
    <w:bookmarkStart w:id="16" w:name="waarom-juist-deze-frameworks"/>
    <w:p>
      <w:pPr>
        <w:pStyle w:val="Heading3"/>
      </w:pPr>
      <w:r>
        <w:t xml:space="preserve">Waarom juist deze frameworks?</w:t>
      </w:r>
    </w:p>
    <w:p>
      <w:pPr>
        <w:pStyle w:val="FirstParagraph"/>
      </w:pPr>
      <w:r>
        <w:t xml:space="preserve">Scholen zijn geen gewone B2B-kopers. Ze zijn risicomijdend, budgetbewust, meervoudig georganiseerd (meerdere beslissers) en sterk gevoelig voor normatieve druk van inspectie, collega-scholen en overheid. Generieke B2C- of tech-verkoopmodellen volstaan niet. De hieronder gekozen frameworks zijn geselecteerd omdat ze elk een specifiek aspect van deze complexiteit adresseren.</w:t>
      </w:r>
    </w:p>
    <w:bookmarkEnd w:id="16"/>
    <w:bookmarkStart w:id="17" w:name="X13cd7e576af8f018016e743fb7ceeb9c6dbf38b"/>
    <w:p>
      <w:pPr>
        <w:pStyle w:val="Heading3"/>
      </w:pPr>
      <w:r>
        <w:t xml:space="preserve">Overzichtstabel: vraag → theorie → DGSkills-toepassing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Strategische vraag</w:t>
            </w:r>
          </w:p>
        </w:tc>
        <w:tc>
          <w:tcPr/>
          <w:p>
            <w:pPr>
              <w:pStyle w:val="Compact"/>
            </w:pPr>
            <w:r>
              <w:t xml:space="preserve">Theorie</w:t>
            </w:r>
          </w:p>
        </w:tc>
        <w:tc>
          <w:tcPr/>
          <w:p>
            <w:pPr>
              <w:pStyle w:val="Compact"/>
            </w:pPr>
            <w:r>
              <w:t xml:space="preserve">Toepassing DGSkills</w:t>
            </w:r>
          </w:p>
        </w:tc>
      </w:tr>
      <w:tr>
        <w:tc>
          <w:tcPr/>
          <w:p>
            <w:pPr>
              <w:pStyle w:val="Compact"/>
            </w:pPr>
            <w:r>
              <w:t xml:space="preserve">Wie is mijn klant en wat wil die eigenlijk?</w:t>
            </w:r>
          </w:p>
        </w:tc>
        <w:tc>
          <w:tcPr/>
          <w:p>
            <w:pPr>
              <w:pStyle w:val="Compact"/>
            </w:pPr>
            <w:r>
              <w:t xml:space="preserve">Jobs-to-Be-Done (Christensen et al., 2016) + Value Proposition Canvas (Osterwalder et al., 2014)</w:t>
            </w:r>
          </w:p>
        </w:tc>
        <w:tc>
          <w:tcPr/>
          <w:p>
            <w:pPr>
              <w:pStyle w:val="Compact"/>
            </w:pPr>
            <w:r>
              <w:t xml:space="preserve">De</w:t>
            </w:r>
            <w:r>
              <w:t xml:space="preserve"> </w:t>
            </w:r>
            <w:r>
              <w:t xml:space="preserve">“job”</w:t>
            </w:r>
            <w:r>
              <w:t xml:space="preserve"> </w:t>
            </w:r>
            <w:r>
              <w:t xml:space="preserve">van de school is DG aantoonbaar maken zonder docenten te overbelasten — niet</w:t>
            </w:r>
            <w:r>
              <w:t xml:space="preserve"> </w:t>
            </w:r>
            <w:r>
              <w:t xml:space="preserve">“digitale tools kopen”</w:t>
            </w:r>
          </w:p>
        </w:tc>
      </w:tr>
      <w:tr>
        <w:tc>
          <w:tcPr/>
          <w:p>
            <w:pPr>
              <w:pStyle w:val="Compact"/>
            </w:pPr>
            <w:r>
              <w:t xml:space="preserve">Hoe segmenteer en richt ik mij?</w:t>
            </w:r>
          </w:p>
        </w:tc>
        <w:tc>
          <w:tcPr/>
          <w:p>
            <w:pPr>
              <w:pStyle w:val="Compact"/>
            </w:pPr>
            <w:r>
              <w:t xml:space="preserve">STP (Kotler &amp; Keller, 2006); 7P-diensten (Booms &amp; Bitner, 1981)</w:t>
            </w:r>
          </w:p>
        </w:tc>
        <w:tc>
          <w:tcPr/>
          <w:p>
            <w:pPr>
              <w:pStyle w:val="Compact"/>
            </w:pPr>
            <w:r>
              <w:t xml:space="preserve">Beachhead: onderbouw VO lj1-2 vmbo-t/havo</w:t>
            </w:r>
          </w:p>
        </w:tc>
      </w:tr>
      <w:tr>
        <w:tc>
          <w:tcPr/>
          <w:p>
            <w:pPr>
              <w:pStyle w:val="Compact"/>
            </w:pPr>
            <w:r>
              <w:t xml:space="preserve">Hoe overbruggen we de kloof naar de massa?</w:t>
            </w:r>
          </w:p>
        </w:tc>
        <w:tc>
          <w:tcPr/>
          <w:p>
            <w:pPr>
              <w:pStyle w:val="Compact"/>
            </w:pPr>
            <w:r>
              <w:t xml:space="preserve">Diffusion of Innovations (Rogers, 2003); Crossing the Chasm (Moore, 1991/2014)</w:t>
            </w:r>
          </w:p>
        </w:tc>
        <w:tc>
          <w:tcPr/>
          <w:p>
            <w:pPr>
              <w:pStyle w:val="Compact"/>
            </w:pPr>
            <w:r>
              <w:t xml:space="preserve">Pilot als trialability-hefboom; referentiecases als observability</w:t>
            </w:r>
          </w:p>
        </w:tc>
      </w:tr>
      <w:tr>
        <w:tc>
          <w:tcPr/>
          <w:p>
            <w:pPr>
              <w:pStyle w:val="Compact"/>
            </w:pPr>
            <w:r>
              <w:t xml:space="preserve">Welke positie nemen we in?</w:t>
            </w:r>
          </w:p>
        </w:tc>
        <w:tc>
          <w:tcPr/>
          <w:p>
            <w:pPr>
              <w:pStyle w:val="Compact"/>
            </w:pPr>
            <w:r>
              <w:t xml:space="preserve">Positionering (Ries &amp; Trout, 1981); differentiatie-focus (Porter, 1985); Blue Ocean (Kim &amp; Mauborgne, 2005)</w:t>
            </w:r>
          </w:p>
        </w:tc>
        <w:tc>
          <w:tcPr/>
          <w:p>
            <w:pPr>
              <w:pStyle w:val="Compact"/>
            </w:pPr>
            <w:r>
              <w:t xml:space="preserve">“De docent-gebouwde, inspectie-bewijsbare DG-methode”</w:t>
            </w:r>
          </w:p>
        </w:tc>
      </w:tr>
      <w:tr>
        <w:tc>
          <w:tcPr/>
          <w:p>
            <w:pPr>
              <w:pStyle w:val="Compact"/>
            </w:pPr>
            <w:r>
              <w:t xml:space="preserve">Wie beslist bij een school en hoe?</w:t>
            </w:r>
          </w:p>
        </w:tc>
        <w:tc>
          <w:tcPr/>
          <w:p>
            <w:pPr>
              <w:pStyle w:val="Compact"/>
            </w:pPr>
            <w:r>
              <w:t xml:space="preserve">Organizational buying / buying center (Webster &amp; Wind, 1972; Bonoma, 1982)</w:t>
            </w:r>
          </w:p>
        </w:tc>
        <w:tc>
          <w:tcPr/>
          <w:p>
            <w:pPr>
              <w:pStyle w:val="Compact"/>
            </w:pPr>
            <w:r>
              <w:t xml:space="preserve">DMU-kaart: docent/ICT → teamleider → directie</w:t>
            </w:r>
          </w:p>
        </w:tc>
      </w:tr>
      <w:tr>
        <w:tc>
          <w:tcPr/>
          <w:p>
            <w:pPr>
              <w:pStyle w:val="Compact"/>
            </w:pPr>
            <w:r>
              <w:t xml:space="preserve">Hoe voer je het verkoopgesprek?</w:t>
            </w:r>
          </w:p>
        </w:tc>
        <w:tc>
          <w:tcPr/>
          <w:p>
            <w:pPr>
              <w:pStyle w:val="Compact"/>
            </w:pPr>
            <w:r>
              <w:t xml:space="preserve">SPIN Selling (Rackham, 1988); The Challenger Sale (Dixon &amp; Adamson, 2011)</w:t>
            </w:r>
          </w:p>
        </w:tc>
        <w:tc>
          <w:tcPr/>
          <w:p>
            <w:pPr>
              <w:pStyle w:val="Compact"/>
            </w:pPr>
            <w:r>
              <w:t xml:space="preserve">Discovery op SLO-gap; reframe naar compliance+werkdruk</w:t>
            </w:r>
          </w:p>
        </w:tc>
      </w:tr>
      <w:tr>
        <w:tc>
          <w:tcPr/>
          <w:p>
            <w:pPr>
              <w:pStyle w:val="Compact"/>
            </w:pPr>
            <w:r>
              <w:t xml:space="preserve">Welke kanalen en content?</w:t>
            </w:r>
          </w:p>
        </w:tc>
        <w:tc>
          <w:tcPr/>
          <w:p>
            <w:pPr>
              <w:pStyle w:val="Compact"/>
            </w:pPr>
            <w:r>
              <w:t xml:space="preserve">Inbound marketing (Halligan &amp; Shah, 2009); Content Inc. (Pulizzi, 2015)</w:t>
            </w:r>
          </w:p>
        </w:tc>
        <w:tc>
          <w:tcPr/>
          <w:p>
            <w:pPr>
              <w:pStyle w:val="Compact"/>
            </w:pPr>
            <w:r>
              <w:t xml:space="preserve">Founder-led LinkedIn + webinars als owned audience</w:t>
            </w:r>
          </w:p>
        </w:tc>
      </w:tr>
      <w:tr>
        <w:tc>
          <w:tcPr/>
          <w:p>
            <w:pPr>
              <w:pStyle w:val="Compact"/>
            </w:pPr>
            <w:r>
              <w:t xml:space="preserve">Hoe meten we voortgang?</w:t>
            </w:r>
          </w:p>
        </w:tc>
        <w:tc>
          <w:tcPr/>
          <w:p>
            <w:pPr>
              <w:pStyle w:val="Compact"/>
            </w:pPr>
            <w:r>
              <w:t xml:space="preserve">AIDA (Strong, 1925); AARRR (McClure, 2007)</w:t>
            </w:r>
          </w:p>
        </w:tc>
        <w:tc>
          <w:tcPr/>
          <w:p>
            <w:pPr>
              <w:pStyle w:val="Compact"/>
            </w:pPr>
            <w:r>
              <w:t xml:space="preserve">Funnel-KPI’s per fase: lead → pilot → contract</w:t>
            </w:r>
          </w:p>
        </w:tc>
      </w:tr>
    </w:tbl>
    <w:p>
      <w:r>
        <w:pict>
          <v:rect style="width:0;height:1.5pt" o:hralign="center" o:hrstd="t" o:hr="t"/>
        </w:pict>
      </w:r>
    </w:p>
    <w:bookmarkEnd w:id="17"/>
    <w:bookmarkEnd w:id="18"/>
    <w:bookmarkStart w:id="21" w:name="markt--en-krachtenveldanalyse"/>
    <w:p>
      <w:pPr>
        <w:pStyle w:val="Heading2"/>
      </w:pPr>
      <w:r>
        <w:t xml:space="preserve">3. Markt- en krachtenveldanalyse</w:t>
      </w:r>
    </w:p>
    <w:bookmarkStart w:id="19" w:name="X8cd77fc040468af32a5a64b1a9de42ca658c884"/>
    <w:p>
      <w:pPr>
        <w:pStyle w:val="Heading3"/>
      </w:pPr>
      <w:r>
        <w:t xml:space="preserve">Context: rugwind-venster met realistische tijdlijn</w:t>
      </w:r>
    </w:p>
    <w:p>
      <w:pPr>
        <w:pStyle w:val="FirstParagraph"/>
      </w:pPr>
      <w:r>
        <w:t xml:space="preserve">De marktomgeving voor DGSkills wordt gevormd door drie samenlopende krachten:</w:t>
      </w:r>
    </w:p>
    <w:p>
      <w:pPr>
        <w:pStyle w:val="BodyText"/>
      </w:pPr>
      <w:r>
        <w:rPr>
          <w:b/>
          <w:bCs/>
        </w:rPr>
        <w:t xml:space="preserve">1. Wettelijke verplichtingen digitale geletterdheid</w:t>
      </w:r>
      <w:r>
        <w:t xml:space="preserve"> </w:t>
      </w:r>
      <w:r>
        <w:t xml:space="preserve">De SLO heeft definitieve conceptkerndoelen digitale geletterdheid gepubliceerd (september 2025). Wettelijke invoering in het VO is vastgesteld op</w:t>
      </w:r>
      <w:r>
        <w:t xml:space="preserve"> </w:t>
      </w:r>
      <w:r>
        <w:rPr>
          <w:b/>
          <w:bCs/>
        </w:rPr>
        <w:t xml:space="preserve">1 augustus 2027</w:t>
      </w:r>
      <w:r>
        <w:t xml:space="preserve">; handhaving door de inspectie start per</w:t>
      </w:r>
      <w:r>
        <w:t xml:space="preserve"> </w:t>
      </w:r>
      <w:r>
        <w:rPr>
          <w:b/>
          <w:bCs/>
        </w:rPr>
        <w:t xml:space="preserve">2031</w:t>
      </w:r>
      <w:r>
        <w:t xml:space="preserve">. Dit geeft scholen een langere aanlooptijd dan aanvankelijk verwacht — maar de kerndoelen zijn géén vrijblijvend advies. Scholen die nu investeren in structurele implementatie, zijn in 2031 aantoonbaar voorbereid. Vier domeinen zijn leidend (Kennisnet): ICT-basisvaardigheden, informatievaardigheden, mediawijsheid en computational thinking.</w:t>
      </w:r>
    </w:p>
    <w:p>
      <w:pPr>
        <w:pStyle w:val="BodyText"/>
      </w:pPr>
      <w:r>
        <w:rPr>
          <w:b/>
          <w:bCs/>
        </w:rPr>
        <w:t xml:space="preserve">2. AI Act: hoog-risico classificatie</w:t>
      </w:r>
      <w:r>
        <w:t xml:space="preserve"> </w:t>
      </w:r>
      <w:r>
        <w:t xml:space="preserve">AI-systemen ingezet in het onderwijs vallen onder Annex III, punt 3(b) van de EU AI Act en zijn geclassificeerd als</w:t>
      </w:r>
      <w:r>
        <w:t xml:space="preserve"> </w:t>
      </w:r>
      <w:r>
        <w:rPr>
          <w:b/>
          <w:bCs/>
        </w:rPr>
        <w:t xml:space="preserve">hoog-risico</w:t>
      </w:r>
      <w:r>
        <w:t xml:space="preserve">. Voor DGSkills betekent dit: de DPIA, het risicoregister en AI-transparantie (Art. 50) zijn gedocumenteerd en geïmplementeerd. De resterende hoog-risico-verplichtingen (Art. 9 risicomanagementsysteem, Art. 11 technische documentatie, Art. 14 menselijk toezicht — docent kan STEP_COMPLETE nog niet overrulen, Art. 16-17 QMS, Art. 47-49 conformiteitsverklaring) zijn nog niet afgerond. De oorspronkelijke deadline van 2 augustus 2026 voor hoog-risico-systemen wordt via de</w:t>
      </w:r>
      <w:r>
        <w:t xml:space="preserve"> </w:t>
      </w:r>
      <w:r>
        <w:rPr>
          <w:b/>
          <w:bCs/>
        </w:rPr>
        <w:t xml:space="preserve">Digital Omnibus</w:t>
      </w:r>
      <w:r>
        <w:t xml:space="preserve"> </w:t>
      </w:r>
      <w:r>
        <w:t xml:space="preserve">(voorlopig EU-akkoord, nog niet formeel gepubliceerd) naar verwachting verschoven richting</w:t>
      </w:r>
      <w:r>
        <w:t xml:space="preserve"> </w:t>
      </w:r>
      <w:r>
        <w:rPr>
          <w:b/>
          <w:bCs/>
        </w:rPr>
        <w:t xml:space="preserve">2 december 2027</w:t>
      </w:r>
      <w:r>
        <w:t xml:space="preserve">.</w:t>
      </w:r>
    </w:p>
    <w:p>
      <w:pPr>
        <w:pStyle w:val="BlockText"/>
      </w:pPr>
      <w:r>
        <w:rPr>
          <w:b/>
          <w:bCs/>
        </w:rPr>
        <w:t xml:space="preserve">Belangrijk voor communicatie:</w:t>
      </w:r>
      <w:r>
        <w:t xml:space="preserve"> </w:t>
      </w:r>
      <w:r>
        <w:t xml:space="preserve">DGSkills claimt</w:t>
      </w:r>
      <w:r>
        <w:t xml:space="preserve"> </w:t>
      </w:r>
      <w:r>
        <w:rPr>
          <w:i/>
          <w:iCs/>
        </w:rPr>
        <w:t xml:space="preserve">niet</w:t>
      </w:r>
      <w:r>
        <w:t xml:space="preserve"> </w:t>
      </w:r>
      <w:r>
        <w:t xml:space="preserve">volledig AI Act-compliant te zijn. De eerlijke positionering is:</w:t>
      </w:r>
      <w:r>
        <w:t xml:space="preserve"> </w:t>
      </w:r>
      <w:r>
        <w:t xml:space="preserve">“hoog-risico AI-systeem, in actieve compliance-voorbereiding; DPIA, risicoregister en AI-transparantie zijn gedocumenteerd en geïmplementeerd; de resterende hoog-risico-verplichtingen worden voor de wettelijke deadline afgerond.”</w:t>
      </w:r>
      <w:r>
        <w:t xml:space="preserve"> </w:t>
      </w:r>
      <w:r>
        <w:t xml:space="preserve">Deze transparantie is zelf een onderscheidend kenmerk ten opzichte van concurrenten die de classificatie überhaupt niet hebben gemaakt.</w:t>
      </w:r>
    </w:p>
    <w:p>
      <w:pPr>
        <w:pStyle w:val="FirstParagraph"/>
      </w:pPr>
      <w:r>
        <w:rPr>
          <w:b/>
          <w:bCs/>
        </w:rPr>
        <w:t xml:space="preserve">3. Lerarentekort en werkdruk</w:t>
      </w:r>
      <w:r>
        <w:t xml:space="preserve"> </w:t>
      </w:r>
      <w:r>
        <w:t xml:space="preserve">Het lerarentekort in het VO bedroeg in schooljaar 2024/2025 circa</w:t>
      </w:r>
      <w:r>
        <w:t xml:space="preserve"> </w:t>
      </w:r>
      <w:r>
        <w:rPr>
          <w:b/>
          <w:bCs/>
        </w:rPr>
        <w:t xml:space="preserve">2.200 FTE</w:t>
      </w:r>
      <w:r>
        <w:t xml:space="preserve"> </w:t>
      </w:r>
      <w:r>
        <w:t xml:space="preserve">(Voion, 2025). Werkdruk is een structureel knelpunt. Elke tool die docenten ontlast in plaats van belast, heeft een intrinsiek voordeel bij de beslisser.</w:t>
      </w:r>
    </w:p>
    <w:bookmarkEnd w:id="19"/>
    <w:bookmarkStart w:id="20" w:name="porter-five-forces-nl-vo-edtech-beknopt"/>
    <w:p>
      <w:pPr>
        <w:pStyle w:val="Heading3"/>
      </w:pPr>
      <w:r>
        <w:t xml:space="preserve">Porter Five Forces — NL VO-EdTech (beknopt)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Kracht</w:t>
            </w:r>
          </w:p>
        </w:tc>
        <w:tc>
          <w:tcPr/>
          <w:p>
            <w:pPr>
              <w:pStyle w:val="Compact"/>
            </w:pPr>
            <w:r>
              <w:t xml:space="preserve">Beoordeling</w:t>
            </w:r>
          </w:p>
        </w:tc>
        <w:tc>
          <w:tcPr/>
          <w:p>
            <w:pPr>
              <w:pStyle w:val="Compact"/>
            </w:pPr>
            <w:r>
              <w:t xml:space="preserve">Implicatie voor DGSkills</w:t>
            </w:r>
          </w:p>
        </w:tc>
      </w:tr>
      <w:tr>
        <w:tc>
          <w:tcPr/>
          <w:p>
            <w:pPr>
              <w:pStyle w:val="Compact"/>
            </w:pPr>
            <w:r>
              <w:rPr>
                <w:b/>
                <w:bCs/>
              </w:rPr>
              <w:t xml:space="preserve">Onderhandelingsmacht kopers (scholen)</w:t>
            </w:r>
          </w:p>
        </w:tc>
        <w:tc>
          <w:tcPr/>
          <w:p>
            <w:pPr>
              <w:pStyle w:val="Compact"/>
            </w:pPr>
            <w:r>
              <w:t xml:space="preserve">Hoog — inkoop via besturen, budgetten krap, meerdere beslissers, lange cycli</w:t>
            </w:r>
          </w:p>
        </w:tc>
        <w:tc>
          <w:tcPr/>
          <w:p>
            <w:pPr>
              <w:pStyle w:val="Compact"/>
            </w:pPr>
            <w:r>
              <w:t xml:space="preserve">Pilot als risicodrempelverlagend mechanisme; value-based pricing verankerd aan aantoonbare waarde</w:t>
            </w:r>
          </w:p>
        </w:tc>
      </w:tr>
      <w:tr>
        <w:tc>
          <w:tcPr/>
          <w:p>
            <w:pPr>
              <w:pStyle w:val="Compact"/>
            </w:pPr>
            <w:r>
              <w:rPr>
                <w:b/>
                <w:bCs/>
              </w:rPr>
              <w:t xml:space="preserve">Substituten</w:t>
            </w:r>
          </w:p>
        </w:tc>
        <w:tc>
          <w:tcPr/>
          <w:p>
            <w:pPr>
              <w:pStyle w:val="Compact"/>
            </w:pPr>
            <w:r>
              <w:t xml:space="preserve">Matig tot hoog — lesboeken (Thieme/Noordhoff), zelfgebouwde materialen, losse apps, geen-methode-beleid</w:t>
            </w:r>
          </w:p>
        </w:tc>
        <w:tc>
          <w:tcPr/>
          <w:p>
            <w:pPr>
              <w:pStyle w:val="Compact"/>
            </w:pPr>
            <w:r>
              <w:t xml:space="preserve">Differentieer op SLO-aantoonbaarheid + werkdrukverlaging; lesboek-analogie in prijsstelling</w:t>
            </w:r>
          </w:p>
        </w:tc>
      </w:tr>
      <w:tr>
        <w:tc>
          <w:tcPr/>
          <w:p>
            <w:pPr>
              <w:pStyle w:val="Compact"/>
            </w:pPr>
            <w:r>
              <w:rPr>
                <w:b/>
                <w:bCs/>
              </w:rPr>
              <w:t xml:space="preserve">Rivaliteit bestaande aanbieders</w:t>
            </w:r>
          </w:p>
        </w:tc>
        <w:tc>
          <w:tcPr/>
          <w:p>
            <w:pPr>
              <w:pStyle w:val="Compact"/>
            </w:pPr>
            <w:r>
              <w:t xml:space="preserve">Matig — ~475 EdTech-bedrijven in NL (Radboud, jan. 2026), maar weinig gespecialiseerd op VO+DG+AI</w:t>
            </w:r>
          </w:p>
        </w:tc>
        <w:tc>
          <w:tcPr/>
          <w:p>
            <w:pPr>
              <w:pStyle w:val="Compact"/>
            </w:pPr>
            <w:r>
              <w:t xml:space="preserve">Niche-focus creëert tijdelijk defensieve positie; schaal snel in referenties vóór mainstream intrede</w:t>
            </w:r>
          </w:p>
        </w:tc>
      </w:tr>
      <w:tr>
        <w:tc>
          <w:tcPr/>
          <w:p>
            <w:pPr>
              <w:pStyle w:val="Compact"/>
            </w:pPr>
            <w:r>
              <w:rPr>
                <w:b/>
                <w:bCs/>
              </w:rPr>
              <w:t xml:space="preserve">Dreiging nieuwe toetreders</w:t>
            </w:r>
          </w:p>
        </w:tc>
        <w:tc>
          <w:tcPr/>
          <w:p>
            <w:pPr>
              <w:pStyle w:val="Compact"/>
            </w:pPr>
            <w:r>
              <w:t xml:space="preserve">Reëel op middellange termijn (grote uitgevers, Google/Microsoft EDU)</w:t>
            </w:r>
          </w:p>
        </w:tc>
        <w:tc>
          <w:tcPr/>
          <w:p>
            <w:pPr>
              <w:pStyle w:val="Compact"/>
            </w:pPr>
            <w:r>
              <w:t xml:space="preserve">Bouw merk en klantrelaties op voordat grote spelers bewegen; hoog-risico-compliance als toetredingsbarrière</w:t>
            </w:r>
          </w:p>
        </w:tc>
      </w:tr>
      <w:tr>
        <w:tc>
          <w:tcPr/>
          <w:p>
            <w:pPr>
              <w:pStyle w:val="Compact"/>
            </w:pPr>
            <w:r>
              <w:rPr>
                <w:b/>
                <w:bCs/>
              </w:rPr>
              <w:t xml:space="preserve">Onderhandelingsmacht leveranciers</w:t>
            </w:r>
          </w:p>
        </w:tc>
        <w:tc>
          <w:tcPr/>
          <w:p>
            <w:pPr>
              <w:pStyle w:val="Compact"/>
            </w:pPr>
            <w:r>
              <w:t xml:space="preserve">Laag (Supabase/Vercel/Mistral zijn commodity-cloud); EU-dataresidentie geborgd</w:t>
            </w:r>
          </w:p>
        </w:tc>
        <w:tc>
          <w:tcPr/>
          <w:p>
            <w:pPr>
              <w:pStyle w:val="Compact"/>
            </w:pPr>
            <w:r>
              <w:t xml:space="preserve">Weinig directe afhankelijkheid; leveranciersrisico beheersbaar</w:t>
            </w:r>
          </w:p>
        </w:tc>
      </w:tr>
    </w:tbl>
    <w:p>
      <w:pPr>
        <w:pStyle w:val="BodyText"/>
      </w:pPr>
      <w:r>
        <w:rPr>
          <w:b/>
          <w:bCs/>
        </w:rPr>
        <w:t xml:space="preserve">Conclusie:</w:t>
      </w:r>
      <w:r>
        <w:t xml:space="preserve"> </w:t>
      </w:r>
      <w:r>
        <w:t xml:space="preserve">De combinatie van regelgeving (SLO 2027, AI Act), lerarentekort en beperkte gespecialiseerde concurrentie creëert een</w:t>
      </w:r>
      <w:r>
        <w:t xml:space="preserve"> </w:t>
      </w:r>
      <w:r>
        <w:rPr>
          <w:b/>
          <w:bCs/>
        </w:rPr>
        <w:t xml:space="preserve">rugwind-venster van 12-24 maanden</w:t>
      </w:r>
      <w:r>
        <w:t xml:space="preserve"> </w:t>
      </w:r>
      <w:r>
        <w:t xml:space="preserve">om een defensieve positie op te bouwen in de onderbouw-VO-niche. De tijdlijn is echter langer dan initieel gepresenteerd: urgentie-framing moet gebaseerd zijn op de duurzame drivers (SLO-verplichting 2027, structurele werkdruk, hoog-risico-status), niet uitsluitend op een betwiste AI Act-deadline.</w:t>
      </w:r>
    </w:p>
    <w:p>
      <w:r>
        <w:pict>
          <v:rect style="width:0;height:1.5pt" o:hralign="center" o:hrstd="t" o:hr="t"/>
        </w:pict>
      </w:r>
    </w:p>
    <w:bookmarkEnd w:id="20"/>
    <w:bookmarkEnd w:id="21"/>
    <w:bookmarkStart w:id="25" w:name="stp-segmentatie-targeting-positionering"/>
    <w:p>
      <w:pPr>
        <w:pStyle w:val="Heading2"/>
      </w:pPr>
      <w:r>
        <w:t xml:space="preserve">4. STP — Segmentatie, Targeting, Positionering</w:t>
      </w:r>
    </w:p>
    <w:bookmarkStart w:id="22" w:name="segmentatie"/>
    <w:p>
      <w:pPr>
        <w:pStyle w:val="Heading3"/>
      </w:pPr>
      <w:r>
        <w:t xml:space="preserve">4.1 Segmentatie</w:t>
      </w:r>
    </w:p>
    <w:p>
      <w:pPr>
        <w:pStyle w:val="FirstParagraph"/>
      </w:pPr>
      <w:r>
        <w:t xml:space="preserve">Het Nederlands voortgezet onderwijs kent circa 650 scholen met in totaal bijna 1 miljoen leerlingen. Relevante segmentatievariabelen voor DGSkills: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Dimensie</w:t>
            </w:r>
          </w:p>
        </w:tc>
        <w:tc>
          <w:tcPr/>
          <w:p>
            <w:pPr>
              <w:pStyle w:val="Compact"/>
            </w:pPr>
            <w:r>
              <w:t xml:space="preserve">Segment</w:t>
            </w:r>
          </w:p>
        </w:tc>
        <w:tc>
          <w:tcPr/>
          <w:p>
            <w:pPr>
              <w:pStyle w:val="Compact"/>
            </w:pPr>
            <w:r>
              <w:t xml:space="preserve">Prioriteit</w:t>
            </w:r>
          </w:p>
        </w:tc>
      </w:tr>
      <w:tr>
        <w:tc>
          <w:tcPr/>
          <w:p>
            <w:pPr>
              <w:pStyle w:val="Compact"/>
            </w:pPr>
            <w:r>
              <w:rPr>
                <w:b/>
                <w:bCs/>
              </w:rPr>
              <w:t xml:space="preserve">Leerjaar / niveau</w:t>
            </w:r>
          </w:p>
        </w:tc>
        <w:tc>
          <w:tcPr/>
          <w:p>
            <w:pPr>
              <w:pStyle w:val="Compact"/>
            </w:pPr>
            <w:r>
              <w:t xml:space="preserve">Onderbouw lj1-2, vmbo-t/havo/vwo</w:t>
            </w:r>
          </w:p>
        </w:tc>
        <w:tc>
          <w:tcPr/>
          <w:p>
            <w:pPr>
              <w:pStyle w:val="Compact"/>
            </w:pPr>
            <w:r>
              <w:t xml:space="preserve">Primair: lj1-2 vmbo-t/havo</w:t>
            </w:r>
          </w:p>
        </w:tc>
      </w:tr>
      <w:tr>
        <w:tc>
          <w:tcPr/>
          <w:p>
            <w:pPr>
              <w:pStyle w:val="Compact"/>
            </w:pPr>
            <w:r>
              <w:rPr>
                <w:b/>
                <w:bCs/>
              </w:rPr>
              <w:t xml:space="preserve">Vakcontext</w:t>
            </w:r>
          </w:p>
        </w:tc>
        <w:tc>
          <w:tcPr/>
          <w:p>
            <w:pPr>
              <w:pStyle w:val="Compact"/>
            </w:pPr>
            <w:r>
              <w:t xml:space="preserve">Zelfstandig DG-uur, mentoruur, projectuur, Informatica-introductie</w:t>
            </w:r>
          </w:p>
        </w:tc>
        <w:tc>
          <w:tcPr/>
          <w:p>
            <w:pPr>
              <w:pStyle w:val="Compact"/>
            </w:pPr>
            <w:r>
              <w:t xml:space="preserve">Primair: DG-uur/mentoruur</w:t>
            </w:r>
          </w:p>
        </w:tc>
      </w:tr>
      <w:tr>
        <w:tc>
          <w:tcPr/>
          <w:p>
            <w:pPr>
              <w:pStyle w:val="Compact"/>
            </w:pPr>
            <w:r>
              <w:rPr>
                <w:b/>
                <w:bCs/>
              </w:rPr>
              <w:t xml:space="preserve">Schoolgrootte</w:t>
            </w:r>
          </w:p>
        </w:tc>
        <w:tc>
          <w:tcPr/>
          <w:p>
            <w:pPr>
              <w:pStyle w:val="Compact"/>
            </w:pPr>
            <w:r>
              <w:t xml:space="preserve">Kleine school ≤250 lln / middelgroot 251-900 / groot &gt;900</w:t>
            </w:r>
          </w:p>
        </w:tc>
        <w:tc>
          <w:tcPr/>
          <w:p>
            <w:pPr>
              <w:pStyle w:val="Compact"/>
            </w:pPr>
            <w:r>
              <w:t xml:space="preserve">Primair: 251-900 (School-S/M-pakket)</w:t>
            </w:r>
          </w:p>
        </w:tc>
      </w:tr>
      <w:tr>
        <w:tc>
          <w:tcPr/>
          <w:p>
            <w:pPr>
              <w:pStyle w:val="Compact"/>
            </w:pPr>
            <w:r>
              <w:rPr>
                <w:b/>
                <w:bCs/>
              </w:rPr>
              <w:t xml:space="preserve">Adoptiebereidheid</w:t>
            </w:r>
          </w:p>
        </w:tc>
        <w:tc>
          <w:tcPr/>
          <w:p>
            <w:pPr>
              <w:pStyle w:val="Compact"/>
            </w:pPr>
            <w:r>
              <w:t xml:space="preserve">Innovatief (vroeg adopter) / pragmatisch / conservatief</w:t>
            </w:r>
          </w:p>
        </w:tc>
        <w:tc>
          <w:tcPr/>
          <w:p>
            <w:pPr>
              <w:pStyle w:val="Compact"/>
            </w:pPr>
            <w:r>
              <w:t xml:space="preserve">Fase 1: innovatief; Fase 2: pragmatisch</w:t>
            </w:r>
          </w:p>
        </w:tc>
      </w:tr>
      <w:tr>
        <w:tc>
          <w:tcPr/>
          <w:p>
            <w:pPr>
              <w:pStyle w:val="Compact"/>
            </w:pPr>
            <w:r>
              <w:rPr>
                <w:b/>
                <w:bCs/>
              </w:rPr>
              <w:t xml:space="preserve">Bestuursverband</w:t>
            </w:r>
          </w:p>
        </w:tc>
        <w:tc>
          <w:tcPr/>
          <w:p>
            <w:pPr>
              <w:pStyle w:val="Compact"/>
            </w:pPr>
            <w:r>
              <w:t xml:space="preserve">Zelfstandige school vs. schoolbestuur ≥3 scholen</w:t>
            </w:r>
          </w:p>
        </w:tc>
        <w:tc>
          <w:tcPr/>
          <w:p>
            <w:pPr>
              <w:pStyle w:val="Compact"/>
            </w:pPr>
            <w:r>
              <w:t xml:space="preserve">Fase 1: zelfstandige scholen; Fase 2: besturen</w:t>
            </w:r>
          </w:p>
        </w:tc>
      </w:tr>
      <w:tr>
        <w:tc>
          <w:tcPr/>
          <w:p>
            <w:pPr>
              <w:pStyle w:val="Compact"/>
            </w:pPr>
            <w:r>
              <w:rPr>
                <w:b/>
                <w:bCs/>
              </w:rPr>
              <w:t xml:space="preserve">Geografie</w:t>
            </w:r>
          </w:p>
        </w:tc>
        <w:tc>
          <w:tcPr/>
          <w:p>
            <w:pPr>
              <w:pStyle w:val="Compact"/>
            </w:pPr>
            <w:r>
              <w:t xml:space="preserve">Heel NL</w:t>
            </w:r>
          </w:p>
        </w:tc>
        <w:tc>
          <w:tcPr/>
          <w:p>
            <w:pPr>
              <w:pStyle w:val="Compact"/>
            </w:pPr>
            <w:r>
              <w:t xml:space="preserve">Geen geografische beperking, maar persoonlijk netwerk prioriteren in fase 1</w:t>
            </w:r>
          </w:p>
        </w:tc>
      </w:tr>
    </w:tbl>
    <w:bookmarkEnd w:id="22"/>
    <w:bookmarkStart w:id="23" w:name="targeting-de-beachhead"/>
    <w:p>
      <w:pPr>
        <w:pStyle w:val="Heading3"/>
      </w:pPr>
      <w:r>
        <w:t xml:space="preserve">4.2 Targeting — de beachhead</w:t>
      </w:r>
    </w:p>
    <w:p>
      <w:pPr>
        <w:pStyle w:val="FirstParagraph"/>
      </w:pPr>
      <w:r>
        <w:t xml:space="preserve">De primaire doelgroep (beachhead) is:</w:t>
      </w:r>
      <w:r>
        <w:t xml:space="preserve"> </w:t>
      </w:r>
      <w:r>
        <w:rPr>
          <w:b/>
          <w:bCs/>
        </w:rPr>
        <w:t xml:space="preserve">onderbouw VO, leerjaar 1-2, vmbo-t/havo (heterogene brugklassen), scholen met een expliciete DG-uur of vergelijkbare inroosterings-ruimte, met minimaal één eigenaar/trekker</w:t>
      </w:r>
      <w:r>
        <w:t xml:space="preserve">.</w:t>
      </w:r>
    </w:p>
    <w:p>
      <w:pPr>
        <w:pStyle w:val="BodyText"/>
      </w:pPr>
      <w:r>
        <w:rPr>
          <w:b/>
          <w:bCs/>
        </w:rPr>
        <w:t xml:space="preserve">Rationale vanuit Moore (1991/2014):</w:t>
      </w:r>
      <w:r>
        <w:t xml:space="preserve"> </w:t>
      </w:r>
      <w:r>
        <w:t xml:space="preserve">Een beachhead werkt omdat de doelgroep homogeen genoeg is om referenties te genereren die doorklinken in dezelfde kring. Een vmbo-t/havo-brugklasdocent die DGSkills succesvol gebruikt, spreekt dezelfde taal als de volgende docent in dezelfde situatie. Brugklassen zijn ook aantrekkelijk omdat ze het begin van de VO-carrière markeren — een vroege investering levert meerjaren retentie op.</w:t>
      </w:r>
    </w:p>
    <w:p>
      <w:pPr>
        <w:pStyle w:val="BodyText"/>
      </w:pPr>
      <w:r>
        <w:t xml:space="preserve">Deze beachhead is uitgewerkt in</w:t>
      </w:r>
      <w:r>
        <w:t xml:space="preserve"> </w:t>
      </w:r>
      <w:r>
        <w:rPr>
          <w:rStyle w:val="VerbatimChar"/>
        </w:rPr>
        <w:t xml:space="preserve">00-niche-definition-first-3-pilots.md</w:t>
      </w:r>
      <w:r>
        <w:t xml:space="preserve"> </w:t>
      </w:r>
      <w:r>
        <w:t xml:space="preserve">(drie pilotprofielen met verplichte criteria).</w:t>
      </w:r>
    </w:p>
    <w:bookmarkEnd w:id="23"/>
    <w:bookmarkStart w:id="24" w:name="positioneringsstatement"/>
    <w:p>
      <w:pPr>
        <w:pStyle w:val="Heading3"/>
      </w:pPr>
      <w:r>
        <w:t xml:space="preserve">4.3 Positioneringsstatement</w:t>
      </w:r>
    </w:p>
    <w:p>
      <w:pPr>
        <w:pStyle w:val="BlockText"/>
      </w:pPr>
      <w:r>
        <w:rPr>
          <w:i/>
          <w:iCs/>
        </w:rPr>
        <w:t xml:space="preserve">Voor onderbouw-VO-scholen die digitale geletterdheid aantoonbaar willen maken zonder hun docenten extra te belasten, is DGSkills de enige methode die door een praktiserend VO-docent is gebouwd, alle SLO-kerndoelen aantoonbaar dekt, en binnen twee weken live staat. In tegenstelling tot generieke EdTech-tools of lesboeken levert DGSkills directe inspectie-bewijs én datagedreven leerling-inzicht — zonder maatwerk-implementatietraject.</w:t>
      </w:r>
    </w:p>
    <w:p>
      <w:pPr>
        <w:pStyle w:val="FirstParagraph"/>
      </w:pPr>
      <w:r>
        <w:t xml:space="preserve">Deze positionering is direct afgeleid van het bestaande werk in</w:t>
      </w:r>
      <w:r>
        <w:t xml:space="preserve"> </w:t>
      </w:r>
      <w:r>
        <w:rPr>
          <w:rStyle w:val="VerbatimChar"/>
        </w:rPr>
        <w:t xml:space="preserve">07-usp-strategy-and-messaging.md</w:t>
      </w:r>
      <w:r>
        <w:t xml:space="preserve"> </w:t>
      </w:r>
      <w:r>
        <w:t xml:space="preserve">en wordt in sectie 7 theoretisch onderbouwd.</w:t>
      </w:r>
    </w:p>
    <w:p>
      <w:r>
        <w:pict>
          <v:rect style="width:0;height:1.5pt" o:hralign="center" o:hrstd="t" o:hr="t"/>
        </w:pict>
      </w:r>
    </w:p>
    <w:bookmarkEnd w:id="24"/>
    <w:bookmarkEnd w:id="25"/>
    <w:bookmarkStart w:id="29" w:name="Xa58eefdfb16a22025959cbd03e937d1c8299cc2"/>
    <w:p>
      <w:pPr>
        <w:pStyle w:val="Heading2"/>
      </w:pPr>
      <w:r>
        <w:t xml:space="preserve">5. De klant begrijpen — JTBD, Value Proposition Canvas en Buying Center</w:t>
      </w:r>
    </w:p>
    <w:bookmarkStart w:id="26" w:name="jobs-to-be-done-christensen-et-al.-2016"/>
    <w:p>
      <w:pPr>
        <w:pStyle w:val="Heading3"/>
      </w:pPr>
      <w:r>
        <w:t xml:space="preserve">5.1 Jobs-to-Be-Done (Christensen et al., 2016)</w:t>
      </w:r>
    </w:p>
    <w:p>
      <w:pPr>
        <w:pStyle w:val="FirstParagraph"/>
      </w:pPr>
      <w:r>
        <w:t xml:space="preserve">Scholen kopen geen software; ze huren software in om een taak gedaan te krijgen die ze anders niet of slechter zouden uitvoeren. De primaire</w:t>
      </w:r>
      <w:r>
        <w:t xml:space="preserve"> </w:t>
      </w:r>
      <w:r>
        <w:t xml:space="preserve">“jobs”</w:t>
      </w:r>
      <w:r>
        <w:t xml:space="preserve"> </w:t>
      </w:r>
      <w:r>
        <w:t xml:space="preserve">zijn:</w:t>
      </w:r>
    </w:p>
    <w:p>
      <w:pPr>
        <w:pStyle w:val="BodyText"/>
      </w:pPr>
      <w:r>
        <w:rPr>
          <w:b/>
          <w:bCs/>
        </w:rPr>
        <w:t xml:space="preserve">De school (directie/bestuur):</w:t>
      </w:r>
      <w:r>
        <w:t xml:space="preserve"> </w:t>
      </w:r>
      <w:r>
        <w:t xml:space="preserve">&gt;</w:t>
      </w:r>
      <w:r>
        <w:t xml:space="preserve"> </w:t>
      </w:r>
      <w:r>
        <w:t xml:space="preserve">“Zorg dat wij aantoonbaar voldoen aan de kerndoelen digitale geletterdheid, zodat de inspectie tevreden is en wij als school geen risico lopen — zonder dat dit leidt tot extra werkdruk voor onze docenten of een langdurig implementatieproject.”</w:t>
      </w:r>
    </w:p>
    <w:p>
      <w:pPr>
        <w:pStyle w:val="BodyText"/>
      </w:pPr>
      <w:r>
        <w:rPr>
          <w:b/>
          <w:bCs/>
        </w:rPr>
        <w:t xml:space="preserve">De docent/ICT-coördinator:</w:t>
      </w:r>
      <w:r>
        <w:t xml:space="preserve"> </w:t>
      </w:r>
      <w:r>
        <w:t xml:space="preserve">&gt;</w:t>
      </w:r>
      <w:r>
        <w:t xml:space="preserve"> </w:t>
      </w:r>
      <w:r>
        <w:t xml:space="preserve">“Geef mij een methode die ik volgende week al kan gebruiken, die leerlingen motiveert, en waarvoor ik geen uren voorbereiding kwijt ben.”</w:t>
      </w:r>
    </w:p>
    <w:p>
      <w:pPr>
        <w:pStyle w:val="BodyText"/>
      </w:pPr>
      <w:r>
        <w:rPr>
          <w:b/>
          <w:bCs/>
        </w:rPr>
        <w:t xml:space="preserve">De leerling</w:t>
      </w:r>
      <w:r>
        <w:t xml:space="preserve"> </w:t>
      </w:r>
      <w:r>
        <w:t xml:space="preserve">(indirect, maar invloedrijk op duurzaam gebruik):</w:t>
      </w:r>
      <w:r>
        <w:t xml:space="preserve"> </w:t>
      </w:r>
      <w:r>
        <w:t xml:space="preserve">&gt;</w:t>
      </w:r>
      <w:r>
        <w:t xml:space="preserve"> </w:t>
      </w:r>
      <w:r>
        <w:t xml:space="preserve">“Laat mij iets leren dat uitdagend voelt en waarbij ik merk dat ik vooruitgang boek.”</w:t>
      </w:r>
    </w:p>
    <w:p>
      <w:pPr>
        <w:pStyle w:val="BodyText"/>
      </w:pPr>
      <w:r>
        <w:t xml:space="preserve">Deze jobs zijn niet afgeleid van wat klanten</w:t>
      </w:r>
      <w:r>
        <w:t xml:space="preserve"> </w:t>
      </w:r>
      <w:r>
        <w:rPr>
          <w:i/>
          <w:iCs/>
        </w:rPr>
        <w:t xml:space="preserve">zeggen</w:t>
      </w:r>
      <w:r>
        <w:t xml:space="preserve"> </w:t>
      </w:r>
      <w:r>
        <w:t xml:space="preserve">te willen (een digitaal leerplatform), maar van wat ze</w:t>
      </w:r>
      <w:r>
        <w:t xml:space="preserve"> </w:t>
      </w:r>
      <w:r>
        <w:rPr>
          <w:i/>
          <w:iCs/>
        </w:rPr>
        <w:t xml:space="preserve">proberen te bereiken</w:t>
      </w:r>
      <w:r>
        <w:t xml:space="preserve"> </w:t>
      </w:r>
      <w:r>
        <w:t xml:space="preserve">(compliance, ontzorging, motivatie). Dit onderscheid is cruciaal voor de berichtgeving: praat over uitkomsten, niet over features.</w:t>
      </w:r>
    </w:p>
    <w:bookmarkEnd w:id="26"/>
    <w:bookmarkStart w:id="27" w:name="X9cbdd797b02a17cf59f441964c0fa52cf5ac957"/>
    <w:p>
      <w:pPr>
        <w:pStyle w:val="Heading3"/>
      </w:pPr>
      <w:r>
        <w:t xml:space="preserve">5.2 Value Proposition Canvas (Osterwalder et al., 2014)</w:t>
      </w:r>
    </w:p>
    <w:p>
      <w:pPr>
        <w:pStyle w:val="FirstParagraph"/>
      </w:pPr>
      <w:r>
        <w:rPr>
          <w:b/>
          <w:bCs/>
        </w:rPr>
        <w:t xml:space="preserve">Customer Profile — de school: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Customer Jobs</w:t>
            </w:r>
          </w:p>
        </w:tc>
        <w:tc>
          <w:tcPr/>
          <w:p>
            <w:pPr>
              <w:pStyle w:val="Compact"/>
            </w:pPr>
            <w:r>
              <w:t xml:space="preserve">Pains</w:t>
            </w:r>
          </w:p>
        </w:tc>
        <w:tc>
          <w:tcPr/>
          <w:p>
            <w:pPr>
              <w:pStyle w:val="Compact"/>
            </w:pPr>
            <w:r>
              <w:t xml:space="preserve">Gains</w:t>
            </w:r>
          </w:p>
        </w:tc>
      </w:tr>
      <w:tr>
        <w:tc>
          <w:tcPr/>
          <w:p>
            <w:pPr>
              <w:pStyle w:val="Compact"/>
            </w:pPr>
            <w:r>
              <w:t xml:space="preserve">DG aantoonbaar maken voor inspectie</w:t>
            </w:r>
          </w:p>
        </w:tc>
        <w:tc>
          <w:tcPr/>
          <w:p>
            <w:pPr>
              <w:pStyle w:val="Compact"/>
            </w:pPr>
            <w:r>
              <w:t xml:space="preserve">Gebrek aan bewijs voor kerndoeldekking</w:t>
            </w:r>
          </w:p>
        </w:tc>
        <w:tc>
          <w:tcPr/>
          <w:p>
            <w:pPr>
              <w:pStyle w:val="Compact"/>
            </w:pPr>
            <w:r>
              <w:t xml:space="preserve">Directe exporteerbare rapportages</w:t>
            </w:r>
          </w:p>
        </w:tc>
      </w:tr>
      <w:tr>
        <w:tc>
          <w:tcPr/>
          <w:p>
            <w:pPr>
              <w:pStyle w:val="Compact"/>
            </w:pPr>
            <w:r>
              <w:t xml:space="preserve">Docenten niet verder belasten</w:t>
            </w:r>
          </w:p>
        </w:tc>
        <w:tc>
          <w:tcPr/>
          <w:p>
            <w:pPr>
              <w:pStyle w:val="Compact"/>
            </w:pPr>
            <w:r>
              <w:t xml:space="preserve">Tijdgebrek voor nieuwe methode-implementatie</w:t>
            </w:r>
          </w:p>
        </w:tc>
        <w:tc>
          <w:tcPr/>
          <w:p>
            <w:pPr>
              <w:pStyle w:val="Compact"/>
            </w:pPr>
            <w:r>
              <w:t xml:space="preserve">Platform live in &lt;2 weken, weinig voorbereiding</w:t>
            </w:r>
          </w:p>
        </w:tc>
      </w:tr>
      <w:tr>
        <w:tc>
          <w:tcPr/>
          <w:p>
            <w:pPr>
              <w:pStyle w:val="Compact"/>
            </w:pPr>
            <w:r>
              <w:t xml:space="preserve">Leerlingen motiveren voor DG</w:t>
            </w:r>
          </w:p>
        </w:tc>
        <w:tc>
          <w:tcPr/>
          <w:p>
            <w:pPr>
              <w:pStyle w:val="Compact"/>
            </w:pPr>
            <w:r>
              <w:t xml:space="preserve">Leerlingen haken af bij droge digitale taken</w:t>
            </w:r>
          </w:p>
        </w:tc>
        <w:tc>
          <w:tcPr/>
          <w:p>
            <w:pPr>
              <w:pStyle w:val="Compact"/>
            </w:pPr>
            <w:r>
              <w:t xml:space="preserve">Missiegedreven leeromgeving, directe succeservaring</w:t>
            </w:r>
          </w:p>
        </w:tc>
      </w:tr>
      <w:tr>
        <w:tc>
          <w:tcPr/>
          <w:p>
            <w:pPr>
              <w:pStyle w:val="Compact"/>
            </w:pPr>
            <w:r>
              <w:t xml:space="preserve">Voldoen aan AVG / AI Act (opkomend)</w:t>
            </w:r>
          </w:p>
        </w:tc>
        <w:tc>
          <w:tcPr/>
          <w:p>
            <w:pPr>
              <w:pStyle w:val="Compact"/>
            </w:pPr>
            <w:r>
              <w:t xml:space="preserve">Onduidelijkheid over compliance van EdTech-tools</w:t>
            </w:r>
          </w:p>
        </w:tc>
        <w:tc>
          <w:tcPr/>
          <w:p>
            <w:pPr>
              <w:pStyle w:val="Compact"/>
            </w:pPr>
            <w:r>
              <w:t xml:space="preserve">DPIA gedaan, data in NL, AI-transparantie geïmplementeerd</w:t>
            </w:r>
          </w:p>
        </w:tc>
      </w:tr>
    </w:tbl>
    <w:p>
      <w:pPr>
        <w:pStyle w:val="BodyText"/>
      </w:pPr>
      <w:r>
        <w:rPr>
          <w:b/>
          <w:bCs/>
        </w:rPr>
        <w:t xml:space="preserve">Value Map — DGSkills: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Pain Relievers</w:t>
            </w:r>
          </w:p>
        </w:tc>
        <w:tc>
          <w:tcPr/>
          <w:p>
            <w:pPr>
              <w:pStyle w:val="Compact"/>
            </w:pPr>
            <w:r>
              <w:t xml:space="preserve">Gain Creators</w:t>
            </w:r>
          </w:p>
        </w:tc>
      </w:tr>
      <w:tr>
        <w:tc>
          <w:tcPr/>
          <w:p>
            <w:pPr>
              <w:pStyle w:val="Compact"/>
            </w:pPr>
            <w:r>
              <w:t xml:space="preserve">97 missies dekken alle 9 SLO-kerndoelen aantoonbaar (incl. rapport voor inspectie)</w:t>
            </w:r>
          </w:p>
        </w:tc>
        <w:tc>
          <w:tcPr/>
          <w:p>
            <w:pPr>
              <w:pStyle w:val="Compact"/>
            </w:pPr>
            <w:r>
              <w:t xml:space="preserve">Datagedreven dashboard voor docent: overzicht per leerling per kerndoel</w:t>
            </w:r>
          </w:p>
        </w:tc>
      </w:tr>
      <w:tr>
        <w:tc>
          <w:tcPr/>
          <w:p>
            <w:pPr>
              <w:pStyle w:val="Compact"/>
            </w:pPr>
            <w:r>
              <w:t xml:space="preserve">Implementatie in &lt;2 weken, geen maatwerk nodig</w:t>
            </w:r>
          </w:p>
        </w:tc>
        <w:tc>
          <w:tcPr/>
          <w:p>
            <w:pPr>
              <w:pStyle w:val="Compact"/>
            </w:pPr>
            <w:r>
              <w:t xml:space="preserve">Pilotgarantie: 100% verrekend bij jaarcontract</w:t>
            </w:r>
          </w:p>
        </w:tc>
      </w:tr>
      <w:tr>
        <w:tc>
          <w:tcPr/>
          <w:p>
            <w:pPr>
              <w:pStyle w:val="Compact"/>
            </w:pPr>
            <w:r>
              <w:t xml:space="preserve">DPIA, risicoregister, AVG-proof, data in NL (EU-dataresidentie)</w:t>
            </w:r>
          </w:p>
        </w:tc>
        <w:tc>
          <w:tcPr/>
          <w:p>
            <w:pPr>
              <w:pStyle w:val="Compact"/>
            </w:pPr>
            <w:r>
              <w:t xml:space="preserve">Transparante AI-classificatie (hoog-risico, actieve compliance) = voorsprong op concurrenten</w:t>
            </w:r>
          </w:p>
        </w:tc>
      </w:tr>
      <w:tr>
        <w:tc>
          <w:tcPr/>
          <w:p>
            <w:pPr>
              <w:pStyle w:val="Compact"/>
            </w:pPr>
            <w:r>
              <w:t xml:space="preserve">Missie-voor-missie leerroute houdt leerlingen op niveau</w:t>
            </w:r>
          </w:p>
        </w:tc>
        <w:tc>
          <w:tcPr/>
          <w:p>
            <w:pPr>
              <w:pStyle w:val="Compact"/>
            </w:pPr>
            <w:r>
              <w:t xml:space="preserve">Founder is praktiserend docent: het platform klopt pedagogisch</w:t>
            </w:r>
          </w:p>
        </w:tc>
      </w:tr>
    </w:tbl>
    <w:p>
      <w:pPr>
        <w:pStyle w:val="BodyText"/>
      </w:pPr>
      <w:r>
        <w:t xml:space="preserve">De fit tussen Customer Profile en Value Map is sterk op de assen</w:t>
      </w:r>
      <w:r>
        <w:t xml:space="preserve"> </w:t>
      </w:r>
      <w:r>
        <w:rPr>
          <w:i/>
          <w:iCs/>
        </w:rPr>
        <w:t xml:space="preserve">compliance-ontzorging</w:t>
      </w:r>
      <w:r>
        <w:t xml:space="preserve"> </w:t>
      </w:r>
      <w:r>
        <w:t xml:space="preserve">en</w:t>
      </w:r>
      <w:r>
        <w:t xml:space="preserve"> </w:t>
      </w:r>
      <w:r>
        <w:rPr>
          <w:i/>
          <w:iCs/>
        </w:rPr>
        <w:t xml:space="preserve">werkdrukverlaging</w:t>
      </w:r>
      <w:r>
        <w:t xml:space="preserve"> </w:t>
      </w:r>
      <w:r>
        <w:t xml:space="preserve">— dat zijn de primaire pijnpunten die kopers bewegen.</w:t>
      </w:r>
    </w:p>
    <w:bookmarkEnd w:id="27"/>
    <w:bookmarkStart w:id="28" w:name="X713ee290fe927e63e112779fddccb5720f4c1c4"/>
    <w:p>
      <w:pPr>
        <w:pStyle w:val="Heading3"/>
      </w:pPr>
      <w:r>
        <w:t xml:space="preserve">5.3 Buying Center (Webster &amp; Wind, 1972; Bonoma, 1982)</w:t>
      </w:r>
    </w:p>
    <w:p>
      <w:pPr>
        <w:pStyle w:val="FirstParagraph"/>
      </w:pPr>
      <w:r>
        <w:t xml:space="preserve">Webster en Wind (1972) identificeerden vijf rollen in het organisatorische inkoopproces. Bonoma (1982) voegde een zesde toe — de</w:t>
      </w:r>
      <w:r>
        <w:t xml:space="preserve"> </w:t>
      </w:r>
      <w:r>
        <w:rPr>
          <w:i/>
          <w:iCs/>
        </w:rPr>
        <w:t xml:space="preserve">Initiator</w:t>
      </w:r>
      <w:r>
        <w:t xml:space="preserve">.</w:t>
      </w:r>
    </w:p>
    <w:p>
      <w:pPr>
        <w:pStyle w:val="BodyText"/>
      </w:pPr>
      <w:r>
        <w:rPr>
          <w:b/>
          <w:bCs/>
        </w:rPr>
        <w:t xml:space="preserve">Toegepast op het DGSkills-koopproces: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Wie bij een school</w:t>
            </w:r>
          </w:p>
        </w:tc>
        <w:tc>
          <w:tcPr/>
          <w:p>
            <w:pPr>
              <w:pStyle w:val="Compact"/>
            </w:pPr>
            <w:r>
              <w:t xml:space="preserve">Wat ze willen weten</w:t>
            </w:r>
          </w:p>
        </w:tc>
        <w:tc>
          <w:tcPr/>
          <w:p>
            <w:pPr>
              <w:pStyle w:val="Compact"/>
            </w:pPr>
            <w:r>
              <w:t xml:space="preserve">DGSkills-actie</w:t>
            </w:r>
          </w:p>
        </w:tc>
      </w:tr>
      <w:tr>
        <w:tc>
          <w:tcPr/>
          <w:p>
            <w:pPr>
              <w:pStyle w:val="Compact"/>
            </w:pPr>
            <w:r>
              <w:rPr>
                <w:b/>
                <w:bCs/>
              </w:rPr>
              <w:t xml:space="preserve">Initiator</w:t>
            </w:r>
            <w:r>
              <w:t xml:space="preserve"> </w:t>
            </w:r>
            <w:r>
              <w:t xml:space="preserve">(Bonoma, 1982)</w:t>
            </w:r>
          </w:p>
        </w:tc>
        <w:tc>
          <w:tcPr/>
          <w:p>
            <w:pPr>
              <w:pStyle w:val="Compact"/>
            </w:pPr>
            <w:r>
              <w:t xml:space="preserve">Innovatieve docent of ICT-coördinator die het probleem agendeert</w:t>
            </w:r>
          </w:p>
        </w:tc>
        <w:tc>
          <w:tcPr/>
          <w:p>
            <w:pPr>
              <w:pStyle w:val="Compact"/>
            </w:pPr>
            <w:r>
              <w:t xml:space="preserve">“Is dit de moeite waard om intern te bepleiten?”</w:t>
            </w:r>
          </w:p>
        </w:tc>
        <w:tc>
          <w:tcPr/>
          <w:p>
            <w:pPr>
              <w:pStyle w:val="Compact"/>
            </w:pPr>
            <w:r>
              <w:t xml:space="preserve">Gratis proefmissie, LinkedIn-content, webinar</w:t>
            </w:r>
          </w:p>
        </w:tc>
      </w:tr>
      <w:tr>
        <w:tc>
          <w:tcPr/>
          <w:p>
            <w:pPr>
              <w:pStyle w:val="Compact"/>
            </w:pPr>
            <w:r>
              <w:rPr>
                <w:b/>
                <w:bCs/>
              </w:rPr>
              <w:t xml:space="preserve">User</w:t>
            </w:r>
          </w:p>
        </w:tc>
        <w:tc>
          <w:tcPr/>
          <w:p>
            <w:pPr>
              <w:pStyle w:val="Compact"/>
            </w:pPr>
            <w:r>
              <w:t xml:space="preserve">Docenten die het platform daadwerkelijk gebruiken</w:t>
            </w:r>
          </w:p>
        </w:tc>
        <w:tc>
          <w:tcPr/>
          <w:p>
            <w:pPr>
              <w:pStyle w:val="Compact"/>
            </w:pPr>
            <w:r>
              <w:t xml:space="preserve">“Past dit in mijn les? Kost het mij tijd?”</w:t>
            </w:r>
          </w:p>
        </w:tc>
        <w:tc>
          <w:tcPr/>
          <w:p>
            <w:pPr>
              <w:pStyle w:val="Compact"/>
            </w:pPr>
            <w:r>
              <w:t xml:space="preserve">Demo + pilotervaring, snel-live-garantie</w:t>
            </w:r>
          </w:p>
        </w:tc>
      </w:tr>
      <w:tr>
        <w:tc>
          <w:tcPr/>
          <w:p>
            <w:pPr>
              <w:pStyle w:val="Compact"/>
            </w:pPr>
            <w:r>
              <w:rPr>
                <w:b/>
                <w:bCs/>
              </w:rPr>
              <w:t xml:space="preserve">Influencer</w:t>
            </w:r>
          </w:p>
        </w:tc>
        <w:tc>
          <w:tcPr/>
          <w:p>
            <w:pPr>
              <w:pStyle w:val="Compact"/>
            </w:pPr>
            <w:r>
              <w:t xml:space="preserve">Vakgroep DG, ICT-coördinator, teamleider VO</w:t>
            </w:r>
          </w:p>
        </w:tc>
        <w:tc>
          <w:tcPr/>
          <w:p>
            <w:pPr>
              <w:pStyle w:val="Compact"/>
            </w:pPr>
            <w:r>
              <w:t xml:space="preserve">“Is dit beter dan wat we nu hebben? Wat zeggen andere scholen?”</w:t>
            </w:r>
          </w:p>
        </w:tc>
        <w:tc>
          <w:tcPr/>
          <w:p>
            <w:pPr>
              <w:pStyle w:val="Compact"/>
            </w:pPr>
            <w:r>
              <w:t xml:space="preserve">Referentiecases, SLO-mapping, vergelijking</w:t>
            </w:r>
          </w:p>
        </w:tc>
      </w:tr>
      <w:tr>
        <w:tc>
          <w:tcPr/>
          <w:p>
            <w:pPr>
              <w:pStyle w:val="Compact"/>
            </w:pPr>
            <w:r>
              <w:rPr>
                <w:b/>
                <w:bCs/>
              </w:rPr>
              <w:t xml:space="preserve">Decider</w:t>
            </w:r>
          </w:p>
        </w:tc>
        <w:tc>
          <w:tcPr/>
          <w:p>
            <w:pPr>
              <w:pStyle w:val="Compact"/>
            </w:pPr>
            <w:r>
              <w:t xml:space="preserve">Directeur / rector</w:t>
            </w:r>
          </w:p>
        </w:tc>
        <w:tc>
          <w:tcPr/>
          <w:p>
            <w:pPr>
              <w:pStyle w:val="Compact"/>
            </w:pPr>
            <w:r>
              <w:t xml:space="preserve">“Wat is het risico? Wat kost het? Is er bewijs?”</w:t>
            </w:r>
          </w:p>
        </w:tc>
        <w:tc>
          <w:tcPr/>
          <w:p>
            <w:pPr>
              <w:pStyle w:val="Compact"/>
            </w:pPr>
            <w:r>
              <w:t xml:space="preserve">Eenvoudig pilotcontract, compliance-pack, rapportage</w:t>
            </w:r>
          </w:p>
        </w:tc>
      </w:tr>
      <w:tr>
        <w:tc>
          <w:tcPr/>
          <w:p>
            <w:pPr>
              <w:pStyle w:val="Compact"/>
            </w:pPr>
            <w:r>
              <w:rPr>
                <w:b/>
                <w:bCs/>
              </w:rPr>
              <w:t xml:space="preserve">Buyer</w:t>
            </w:r>
          </w:p>
        </w:tc>
        <w:tc>
          <w:tcPr/>
          <w:p>
            <w:pPr>
              <w:pStyle w:val="Compact"/>
            </w:pPr>
            <w:r>
              <w:t xml:space="preserve">Administratie / inkoopfunctionaris</w:t>
            </w:r>
          </w:p>
        </w:tc>
        <w:tc>
          <w:tcPr/>
          <w:p>
            <w:pPr>
              <w:pStyle w:val="Compact"/>
            </w:pPr>
            <w:r>
              <w:t xml:space="preserve">“Voldoet dit aan onze inkoopregels? AVG?”</w:t>
            </w:r>
          </w:p>
        </w:tc>
        <w:tc>
          <w:tcPr/>
          <w:p>
            <w:pPr>
              <w:pStyle w:val="Compact"/>
            </w:pPr>
            <w:r>
              <w:t xml:space="preserve">Verwerkersovereenkomst, SLA, standaard offerte</w:t>
            </w:r>
          </w:p>
        </w:tc>
      </w:tr>
      <w:tr>
        <w:tc>
          <w:tcPr/>
          <w:p>
            <w:pPr>
              <w:pStyle w:val="Compact"/>
            </w:pPr>
            <w:r>
              <w:rPr>
                <w:b/>
                <w:bCs/>
              </w:rPr>
              <w:t xml:space="preserve">Gatekeeper</w:t>
            </w:r>
          </w:p>
        </w:tc>
        <w:tc>
          <w:tcPr/>
          <w:p>
            <w:pPr>
              <w:pStyle w:val="Compact"/>
            </w:pPr>
            <w:r>
              <w:t xml:space="preserve">ICT-beheer / securityfunctionaris</w:t>
            </w:r>
          </w:p>
        </w:tc>
        <w:tc>
          <w:tcPr/>
          <w:p>
            <w:pPr>
              <w:pStyle w:val="Compact"/>
            </w:pPr>
            <w:r>
              <w:t xml:space="preserve">“Is dit veilig? Sluit het aan op onze infra?”</w:t>
            </w:r>
          </w:p>
        </w:tc>
        <w:tc>
          <w:tcPr/>
          <w:p>
            <w:pPr>
              <w:pStyle w:val="Compact"/>
            </w:pPr>
            <w:r>
              <w:t xml:space="preserve">Compliance-pack, technische specificaties, AVG-documentatie</w:t>
            </w:r>
          </w:p>
        </w:tc>
      </w:tr>
    </w:tbl>
    <w:p>
      <w:pPr>
        <w:pStyle w:val="BodyText"/>
      </w:pPr>
      <w:r>
        <w:rPr>
          <w:b/>
          <w:bCs/>
        </w:rPr>
        <w:t xml:space="preserve">Implicatie:</w:t>
      </w:r>
      <w:r>
        <w:t xml:space="preserve"> </w:t>
      </w:r>
      <w:r>
        <w:t xml:space="preserve">Marketing moet zowel de</w:t>
      </w:r>
      <w:r>
        <w:t xml:space="preserve"> </w:t>
      </w:r>
      <w:r>
        <w:rPr>
          <w:i/>
          <w:iCs/>
        </w:rPr>
        <w:t xml:space="preserve">Initiator</w:t>
      </w:r>
      <w:r>
        <w:t xml:space="preserve"> </w:t>
      </w:r>
      <w:r>
        <w:t xml:space="preserve">(docent/ICT) bereiken als de</w:t>
      </w:r>
      <w:r>
        <w:t xml:space="preserve"> </w:t>
      </w:r>
      <w:r>
        <w:rPr>
          <w:i/>
          <w:iCs/>
        </w:rPr>
        <w:t xml:space="preserve">Decider</w:t>
      </w:r>
      <w:r>
        <w:t xml:space="preserve"> </w:t>
      </w:r>
      <w:r>
        <w:t xml:space="preserve">(directie) overtuigen. Twee fundamenteel verschillende boodschappen, twee fundamenteel verschillende kanalen. De docent ontdekt via LinkedIn/community; de directie beslist op basis van een overtuigend pilotvoorstel van de ICT-coördinator. Zie ook</w:t>
      </w:r>
      <w:r>
        <w:t xml:space="preserve"> </w:t>
      </w:r>
      <w:r>
        <w:rPr>
          <w:rStyle w:val="VerbatimChar"/>
        </w:rPr>
        <w:t xml:space="preserve">07-usp-strategy-and-messaging.md</w:t>
      </w:r>
      <w:r>
        <w:t xml:space="preserve"> </w:t>
      </w:r>
      <w:r>
        <w:t xml:space="preserve">voor de uitgewerkte persona’s</w:t>
      </w:r>
      <w:r>
        <w:t xml:space="preserve"> </w:t>
      </w:r>
      <w:r>
        <w:t xml:space="preserve">“Mark”</w:t>
      </w:r>
      <w:r>
        <w:t xml:space="preserve">,</w:t>
      </w:r>
      <w:r>
        <w:t xml:space="preserve"> </w:t>
      </w:r>
      <w:r>
        <w:t xml:space="preserve">“Annemarie”</w:t>
      </w:r>
      <w:r>
        <w:t xml:space="preserve"> </w:t>
      </w:r>
      <w:r>
        <w:t xml:space="preserve">en</w:t>
      </w:r>
      <w:r>
        <w:t xml:space="preserve"> </w:t>
      </w:r>
      <w:r>
        <w:t xml:space="preserve">“Sanne”</w:t>
      </w:r>
      <w:r>
        <w:t xml:space="preserve">.</w:t>
      </w:r>
    </w:p>
    <w:p>
      <w:r>
        <w:pict>
          <v:rect style="width:0;height:1.5pt" o:hralign="center" o:hrstd="t" o:hr="t"/>
        </w:pict>
      </w:r>
    </w:p>
    <w:bookmarkEnd w:id="28"/>
    <w:bookmarkEnd w:id="29"/>
    <w:bookmarkStart w:id="33" w:name="Xee9e31e7eba04ae038901ba0c35225bb29ccb1f"/>
    <w:p>
      <w:pPr>
        <w:pStyle w:val="Heading2"/>
      </w:pPr>
      <w:r>
        <w:t xml:space="preserve">6. Adoptiestrategie — Diffusion of Innovations en Crossing the Chasm</w:t>
      </w:r>
    </w:p>
    <w:bookmarkStart w:id="30" w:name="X1639c386f05b3455376b964110c597f47628901"/>
    <w:p>
      <w:pPr>
        <w:pStyle w:val="Heading3"/>
      </w:pPr>
      <w:r>
        <w:t xml:space="preserve">6.1 Rogers’ vijf adoptercategorieën (Rogers, 2003)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Categorie</w:t>
            </w:r>
          </w:p>
        </w:tc>
        <w:tc>
          <w:tcPr/>
          <w:p>
            <w:pPr>
              <w:pStyle w:val="Compact"/>
            </w:pPr>
            <w:r>
              <w:t xml:space="preserve">% markt</w:t>
            </w:r>
          </w:p>
        </w:tc>
        <w:tc>
          <w:tcPr/>
          <w:p>
            <w:pPr>
              <w:pStyle w:val="Compact"/>
            </w:pPr>
            <w:r>
              <w:t xml:space="preserve">Kenmerk</w:t>
            </w:r>
          </w:p>
        </w:tc>
        <w:tc>
          <w:tcPr/>
          <w:p>
            <w:pPr>
              <w:pStyle w:val="Compact"/>
            </w:pPr>
            <w:r>
              <w:t xml:space="preserve">DGSkills-vertaling</w:t>
            </w:r>
          </w:p>
        </w:tc>
      </w:tr>
      <w:tr>
        <w:tc>
          <w:tcPr/>
          <w:p>
            <w:pPr>
              <w:pStyle w:val="Compact"/>
            </w:pPr>
            <w:r>
              <w:rPr>
                <w:b/>
                <w:bCs/>
              </w:rPr>
              <w:t xml:space="preserve">Innovators</w:t>
            </w:r>
          </w:p>
        </w:tc>
        <w:tc>
          <w:tcPr/>
          <w:p>
            <w:pPr>
              <w:pStyle w:val="Compact"/>
            </w:pPr>
            <w:r>
              <w:t xml:space="preserve">~2,5%</w:t>
            </w:r>
          </w:p>
        </w:tc>
        <w:tc>
          <w:tcPr/>
          <w:p>
            <w:pPr>
              <w:pStyle w:val="Compact"/>
            </w:pPr>
            <w:r>
              <w:t xml:space="preserve">Risicobereid, technisch nieuwsgierig</w:t>
            </w:r>
          </w:p>
        </w:tc>
        <w:tc>
          <w:tcPr/>
          <w:p>
            <w:pPr>
              <w:pStyle w:val="Compact"/>
            </w:pPr>
            <w:r>
              <w:t xml:space="preserve">ICT-docenten die zelf experimenteren met AI-tools</w:t>
            </w:r>
          </w:p>
        </w:tc>
      </w:tr>
      <w:tr>
        <w:tc>
          <w:tcPr/>
          <w:p>
            <w:pPr>
              <w:pStyle w:val="Compact"/>
            </w:pPr>
            <w:r>
              <w:rPr>
                <w:b/>
                <w:bCs/>
              </w:rPr>
              <w:t xml:space="preserve">Early Adopters</w:t>
            </w:r>
          </w:p>
        </w:tc>
        <w:tc>
          <w:tcPr/>
          <w:p>
            <w:pPr>
              <w:pStyle w:val="Compact"/>
            </w:pPr>
            <w:r>
              <w:t xml:space="preserve">~13,5%</w:t>
            </w:r>
          </w:p>
        </w:tc>
        <w:tc>
          <w:tcPr/>
          <w:p>
            <w:pPr>
              <w:pStyle w:val="Compact"/>
            </w:pPr>
            <w:r>
              <w:t xml:space="preserve">Visionaire early adopters, zoeken strategisch voordeel</w:t>
            </w:r>
          </w:p>
        </w:tc>
        <w:tc>
          <w:tcPr/>
          <w:p>
            <w:pPr>
              <w:pStyle w:val="Compact"/>
            </w:pPr>
            <w:r>
              <w:t xml:space="preserve">Docenten die DG als kans zien voor hun school; NOLAI-deelnemers</w:t>
            </w:r>
          </w:p>
        </w:tc>
      </w:tr>
      <w:tr>
        <w:tc>
          <w:tcPr/>
          <w:p>
            <w:pPr>
              <w:pStyle w:val="Compact"/>
            </w:pPr>
            <w:r>
              <w:rPr>
                <w:b/>
                <w:bCs/>
              </w:rPr>
              <w:t xml:space="preserve">Early Majority</w:t>
            </w:r>
          </w:p>
        </w:tc>
        <w:tc>
          <w:tcPr/>
          <w:p>
            <w:pPr>
              <w:pStyle w:val="Compact"/>
            </w:pPr>
            <w:r>
              <w:t xml:space="preserve">~34%</w:t>
            </w:r>
          </w:p>
        </w:tc>
        <w:tc>
          <w:tcPr/>
          <w:p>
            <w:pPr>
              <w:pStyle w:val="Compact"/>
            </w:pPr>
            <w:r>
              <w:t xml:space="preserve">Pragmatisch, willen bewezen oplossingen</w:t>
            </w:r>
          </w:p>
        </w:tc>
        <w:tc>
          <w:tcPr/>
          <w:p>
            <w:pPr>
              <w:pStyle w:val="Compact"/>
            </w:pPr>
            <w:r>
              <w:t xml:space="preserve">Scholen die wachten op referenties van collega-scholen</w:t>
            </w:r>
          </w:p>
        </w:tc>
      </w:tr>
      <w:tr>
        <w:tc>
          <w:tcPr/>
          <w:p>
            <w:pPr>
              <w:pStyle w:val="Compact"/>
            </w:pPr>
            <w:r>
              <w:rPr>
                <w:b/>
                <w:bCs/>
              </w:rPr>
              <w:t xml:space="preserve">Late Majority</w:t>
            </w:r>
          </w:p>
        </w:tc>
        <w:tc>
          <w:tcPr/>
          <w:p>
            <w:pPr>
              <w:pStyle w:val="Compact"/>
            </w:pPr>
            <w:r>
              <w:t xml:space="preserve">~34%</w:t>
            </w:r>
          </w:p>
        </w:tc>
        <w:tc>
          <w:tcPr/>
          <w:p>
            <w:pPr>
              <w:pStyle w:val="Compact"/>
            </w:pPr>
            <w:r>
              <w:t xml:space="preserve">Sceptisch, bewegen alleen onder sociale druk</w:t>
            </w:r>
          </w:p>
        </w:tc>
        <w:tc>
          <w:tcPr/>
          <w:p>
            <w:pPr>
              <w:pStyle w:val="Compact"/>
            </w:pPr>
            <w:r>
              <w:t xml:space="preserve">Scholen die pas bewegen als inspectie handhaving start (post-2031)</w:t>
            </w:r>
          </w:p>
        </w:tc>
      </w:tr>
      <w:tr>
        <w:tc>
          <w:tcPr/>
          <w:p>
            <w:pPr>
              <w:pStyle w:val="Compact"/>
            </w:pPr>
            <w:r>
              <w:rPr>
                <w:b/>
                <w:bCs/>
              </w:rPr>
              <w:t xml:space="preserve">Laggards</w:t>
            </w:r>
          </w:p>
        </w:tc>
        <w:tc>
          <w:tcPr/>
          <w:p>
            <w:pPr>
              <w:pStyle w:val="Compact"/>
            </w:pPr>
            <w:r>
              <w:t xml:space="preserve">~16%</w:t>
            </w:r>
          </w:p>
        </w:tc>
        <w:tc>
          <w:tcPr/>
          <w:p>
            <w:pPr>
              <w:pStyle w:val="Compact"/>
            </w:pPr>
            <w:r>
              <w:t xml:space="preserve">Traditioneel, resistent</w:t>
            </w:r>
          </w:p>
        </w:tc>
        <w:tc>
          <w:tcPr/>
          <w:p>
            <w:pPr>
              <w:pStyle w:val="Compact"/>
            </w:pPr>
            <w:r>
              <w:t xml:space="preserve">Buiten scope</w:t>
            </w:r>
          </w:p>
        </w:tc>
      </w:tr>
    </w:tbl>
    <w:p>
      <w:pPr>
        <w:pStyle w:val="BodyText"/>
      </w:pPr>
      <w:r>
        <w:rPr>
          <w:b/>
          <w:bCs/>
        </w:rPr>
        <w:t xml:space="preserve">Strategie fase 1 (2026):</w:t>
      </w:r>
      <w:r>
        <w:t xml:space="preserve"> </w:t>
      </w:r>
      <w:r>
        <w:t xml:space="preserve">Activeer Innovators en Early Adopters via persoonlijke benadering, webinars en community-aanwezigheid. Gebruik de pilot als mechanisme.</w:t>
      </w:r>
      <w:r>
        <w:t xml:space="preserve"> </w:t>
      </w:r>
      <w:r>
        <w:rPr>
          <w:b/>
          <w:bCs/>
        </w:rPr>
        <w:t xml:space="preserve">Fase 2 (2027-2028):</w:t>
      </w:r>
      <w:r>
        <w:t xml:space="preserve"> </w:t>
      </w:r>
      <w:r>
        <w:t xml:space="preserve">Gebruik die referenties om Early Majority te bereiken via word-of-mouth en gepubliceerde casestudies. Dit is de klassieke diffusie-curve: begin aan de linkerkant, trek de lijn naar rechts.</w:t>
      </w:r>
    </w:p>
    <w:bookmarkEnd w:id="30"/>
    <w:bookmarkStart w:id="31" w:name="Xf0125dbed7862e68964e4aa1eb4e83d9e87f03a"/>
    <w:p>
      <w:pPr>
        <w:pStyle w:val="Heading3"/>
      </w:pPr>
      <w:r>
        <w:t xml:space="preserve">6.2 Rogers’ vijf adoptiekenmerken — concreet voor DGSkills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Kenmerk</w:t>
            </w:r>
          </w:p>
        </w:tc>
        <w:tc>
          <w:tcPr/>
          <w:p>
            <w:pPr>
              <w:pStyle w:val="Compact"/>
            </w:pPr>
            <w:r>
              <w:t xml:space="preserve">Wat het betekent</w:t>
            </w:r>
          </w:p>
        </w:tc>
        <w:tc>
          <w:tcPr/>
          <w:p>
            <w:pPr>
              <w:pStyle w:val="Compact"/>
            </w:pPr>
            <w:r>
              <w:t xml:space="preserve">DGSkills-invulling</w:t>
            </w:r>
          </w:p>
        </w:tc>
      </w:tr>
      <w:tr>
        <w:tc>
          <w:tcPr/>
          <w:p>
            <w:pPr>
              <w:pStyle w:val="Compact"/>
            </w:pPr>
            <w:r>
              <w:rPr>
                <w:b/>
                <w:bCs/>
              </w:rPr>
              <w:t xml:space="preserve">Relatief voordeel</w:t>
            </w:r>
          </w:p>
        </w:tc>
        <w:tc>
          <w:tcPr/>
          <w:p>
            <w:pPr>
              <w:pStyle w:val="Compact"/>
            </w:pPr>
            <w:r>
              <w:t xml:space="preserve">Is het beter dan het alternatief?</w:t>
            </w:r>
          </w:p>
        </w:tc>
        <w:tc>
          <w:tcPr/>
          <w:p>
            <w:pPr>
              <w:pStyle w:val="Compact"/>
            </w:pPr>
            <w:r>
              <w:t xml:space="preserve">SLO-kerndoeldekking aantoonbaar (vs. geen methode of lesboek zonder bewijs); werkdrukverlichting vs. zelf ontwikkelen</w:t>
            </w:r>
          </w:p>
        </w:tc>
      </w:tr>
      <w:tr>
        <w:tc>
          <w:tcPr/>
          <w:p>
            <w:pPr>
              <w:pStyle w:val="Compact"/>
            </w:pPr>
            <w:r>
              <w:rPr>
                <w:b/>
                <w:bCs/>
              </w:rPr>
              <w:t xml:space="preserve">Compatibiliteit</w:t>
            </w:r>
          </w:p>
        </w:tc>
        <w:tc>
          <w:tcPr/>
          <w:p>
            <w:pPr>
              <w:pStyle w:val="Compact"/>
            </w:pPr>
            <w:r>
              <w:t xml:space="preserve">Past het in de bestaande situatie?</w:t>
            </w:r>
          </w:p>
        </w:tc>
        <w:tc>
          <w:tcPr/>
          <w:p>
            <w:pPr>
              <w:pStyle w:val="Compact"/>
            </w:pPr>
            <w:r>
              <w:t xml:space="preserve">Werkt in bestaand lesrooster (DG-uur/mentoruur); past bij NL curriculumvereisten; AVG-proof met data in NL</w:t>
            </w:r>
          </w:p>
        </w:tc>
      </w:tr>
      <w:tr>
        <w:tc>
          <w:tcPr/>
          <w:p>
            <w:pPr>
              <w:pStyle w:val="Compact"/>
            </w:pPr>
            <w:r>
              <w:rPr>
                <w:b/>
                <w:bCs/>
              </w:rPr>
              <w:t xml:space="preserve">Complexiteit</w:t>
            </w:r>
          </w:p>
        </w:tc>
        <w:tc>
          <w:tcPr/>
          <w:p>
            <w:pPr>
              <w:pStyle w:val="Compact"/>
            </w:pPr>
            <w:r>
              <w:t xml:space="preserve">Hoe moeilijk is het om te starten?</w:t>
            </w:r>
          </w:p>
        </w:tc>
        <w:tc>
          <w:tcPr/>
          <w:p>
            <w:pPr>
              <w:pStyle w:val="Compact"/>
            </w:pPr>
            <w:r>
              <w:t xml:space="preserve">Live binnen 2 weken; geen maatwerk-integraties; docent hoeft alleen inloggegevens te verstrekken</w:t>
            </w:r>
          </w:p>
        </w:tc>
      </w:tr>
      <w:tr>
        <w:tc>
          <w:tcPr/>
          <w:p>
            <w:pPr>
              <w:pStyle w:val="Compact"/>
            </w:pPr>
            <w:r>
              <w:rPr>
                <w:b/>
                <w:bCs/>
              </w:rPr>
              <w:t xml:space="preserve">Trialability</w:t>
            </w:r>
          </w:p>
        </w:tc>
        <w:tc>
          <w:tcPr/>
          <w:p>
            <w:pPr>
              <w:pStyle w:val="Compact"/>
            </w:pPr>
            <w:r>
              <w:t xml:space="preserve">Kan ik het eerst proberen?</w:t>
            </w:r>
          </w:p>
        </w:tc>
        <w:tc>
          <w:tcPr/>
          <w:p>
            <w:pPr>
              <w:pStyle w:val="Compact"/>
            </w:pPr>
            <w:r>
              <w:rPr>
                <w:b/>
                <w:bCs/>
              </w:rPr>
              <w:t xml:space="preserve">De €1.500-pilot (8 weken, ≤150 lln)</w:t>
            </w:r>
            <w:r>
              <w:t xml:space="preserve"> </w:t>
            </w:r>
            <w:r>
              <w:t xml:space="preserve">is het directe mechanisme; 100% verrekend bij jaarcontract</w:t>
            </w:r>
          </w:p>
        </w:tc>
      </w:tr>
      <w:tr>
        <w:tc>
          <w:tcPr/>
          <w:p>
            <w:pPr>
              <w:pStyle w:val="Compact"/>
            </w:pPr>
            <w:r>
              <w:rPr>
                <w:b/>
                <w:bCs/>
              </w:rPr>
              <w:t xml:space="preserve">Observability</w:t>
            </w:r>
          </w:p>
        </w:tc>
        <w:tc>
          <w:tcPr/>
          <w:p>
            <w:pPr>
              <w:pStyle w:val="Compact"/>
            </w:pPr>
            <w:r>
              <w:t xml:space="preserve">Kan ik de resultaten zien (en laten zien)?</w:t>
            </w:r>
          </w:p>
        </w:tc>
        <w:tc>
          <w:tcPr/>
          <w:p>
            <w:pPr>
              <w:pStyle w:val="Compact"/>
            </w:pPr>
            <w:r>
              <w:rPr>
                <w:b/>
                <w:bCs/>
              </w:rPr>
              <w:t xml:space="preserve">Dashboard-export + SLO-rapport</w:t>
            </w:r>
            <w:r>
              <w:t xml:space="preserve"> </w:t>
            </w:r>
            <w:r>
              <w:t xml:space="preserve">maakt resultaten zichtbaar voor docent én directie; casestudies van andere scholen creëren observability voor volgende kopers</w:t>
            </w:r>
          </w:p>
        </w:tc>
      </w:tr>
    </w:tbl>
    <w:p>
      <w:pPr>
        <w:pStyle w:val="BodyText"/>
      </w:pPr>
      <w:r>
        <w:t xml:space="preserve">Trialability en observability zijn de twee kenmerken die het meest bepalend zijn voor adoptietempo bij innovaties gericht op organisaties (Rogers, 2003, p. 258). De pilotstructuur en de rapportage-export zijn dan ook de meest kritische commerciële mechanismen in de DGSkills-aanpak.</w:t>
      </w:r>
    </w:p>
    <w:bookmarkEnd w:id="31"/>
    <w:bookmarkStart w:id="32" w:name="X1562cee2c6655ddbc1d7891499736c7018f5d79"/>
    <w:p>
      <w:pPr>
        <w:pStyle w:val="Heading3"/>
      </w:pPr>
      <w:r>
        <w:t xml:space="preserve">6.3 Crossing the Chasm (Moore, 1991/2014) — de kloof overbruggen</w:t>
      </w:r>
    </w:p>
    <w:p>
      <w:pPr>
        <w:pStyle w:val="FirstParagraph"/>
      </w:pPr>
      <w:r>
        <w:t xml:space="preserve">Moore stelde dat de grootste commerciële drempel niet tussen adoptercategorieën zit, maar in de</w:t>
      </w:r>
      <w:r>
        <w:t xml:space="preserve"> </w:t>
      </w:r>
      <w:r>
        <w:rPr>
          <w:b/>
          <w:bCs/>
        </w:rPr>
        <w:t xml:space="preserve">kloof</w:t>
      </w:r>
      <w:r>
        <w:t xml:space="preserve"> </w:t>
      </w:r>
      <w:r>
        <w:t xml:space="preserve">tussen Early Adopters en Early Majority. Early Adopters kopen op visie; de Early Majority koopt op bewijs dat het werkt voor iemand die op hen lijkt.</w:t>
      </w:r>
    </w:p>
    <w:p>
      <w:pPr>
        <w:pStyle w:val="BodyText"/>
      </w:pPr>
      <w:r>
        <w:rPr>
          <w:b/>
          <w:bCs/>
        </w:rPr>
        <w:t xml:space="preserve">DGSkills’ kloof-overbrugging:</w:t>
      </w:r>
    </w:p>
    <w:p>
      <w:pPr>
        <w:pStyle w:val="Compact"/>
        <w:numPr>
          <w:ilvl w:val="0"/>
          <w:numId w:val="1005"/>
        </w:numPr>
      </w:pPr>
      <w:r>
        <w:rPr>
          <w:b/>
          <w:bCs/>
        </w:rPr>
        <w:t xml:space="preserve">Whole Product:</w:t>
      </w:r>
      <w:r>
        <w:t xml:space="preserve"> </w:t>
      </w:r>
      <w:r>
        <w:t xml:space="preserve">De pilot is meer dan een proefperiode — het is een compleet onboardingpakket met begeleiding, SLO-mapping, en rapportage (het</w:t>
      </w:r>
      <w:r>
        <w:t xml:space="preserve"> </w:t>
      </w:r>
      <w:r>
        <w:t xml:space="preserve">“whole product”</w:t>
      </w:r>
      <w:r>
        <w:t xml:space="preserve"> </w:t>
      </w:r>
      <w:r>
        <w:t xml:space="preserve">dat de Early Majority nodig heeft om het risico acceptabel te vinden).</w:t>
      </w:r>
    </w:p>
    <w:p>
      <w:pPr>
        <w:pStyle w:val="Compact"/>
        <w:numPr>
          <w:ilvl w:val="0"/>
          <w:numId w:val="1005"/>
        </w:numPr>
      </w:pPr>
      <w:r>
        <w:rPr>
          <w:b/>
          <w:bCs/>
        </w:rPr>
        <w:t xml:space="preserve">Beachhead als referentie-incubator:</w:t>
      </w:r>
      <w:r>
        <w:t xml:space="preserve"> </w:t>
      </w:r>
      <w:r>
        <w:t xml:space="preserve">Door te starten met homogene onderbouw-brugklasdocenten, ontstaan casestudies die herkenbaar zijn voor de volgende golf onderbouw-brugklasdocenten. De referentie werkt alleen als de doelgroep gelijkend is.</w:t>
      </w:r>
    </w:p>
    <w:p>
      <w:pPr>
        <w:pStyle w:val="Compact"/>
        <w:numPr>
          <w:ilvl w:val="0"/>
          <w:numId w:val="1005"/>
        </w:numPr>
      </w:pPr>
      <w:r>
        <w:rPr>
          <w:b/>
          <w:bCs/>
        </w:rPr>
        <w:t xml:space="preserve">“Concentrische cirkels”</w:t>
      </w:r>
      <w:r>
        <w:rPr>
          <w:b/>
          <w:bCs/>
        </w:rPr>
        <w:t xml:space="preserve"> </w:t>
      </w:r>
      <w:r>
        <w:rPr>
          <w:b/>
          <w:bCs/>
        </w:rPr>
        <w:t xml:space="preserve">uit</w:t>
      </w:r>
      <w:r>
        <w:rPr>
          <w:b/>
          <w:bCs/>
        </w:rPr>
        <w:t xml:space="preserve"> </w:t>
      </w:r>
      <w:r>
        <w:rPr>
          <w:rStyle w:val="VerbatimChar"/>
          <w:b/>
          <w:bCs/>
        </w:rPr>
        <w:t xml:space="preserve">12-go-to-market-strategie.md</w:t>
      </w:r>
      <w:r>
        <w:t xml:space="preserve"> </w:t>
      </w:r>
      <w:r>
        <w:t xml:space="preserve">zijn in diffusie-termen de uitbreiding van de beachhead naar aangrenzende segmenten: van onderbouw vmbo-t/havo naar bovenbouw, van kleine scholen naar besturen — de beweging langs de diffusie-curve.</w:t>
      </w:r>
    </w:p>
    <w:p>
      <w:r>
        <w:pict>
          <v:rect style="width:0;height:1.5pt" o:hralign="center" o:hrstd="t" o:hr="t"/>
        </w:pict>
      </w:r>
    </w:p>
    <w:bookmarkEnd w:id="32"/>
    <w:bookmarkEnd w:id="33"/>
    <w:bookmarkStart w:id="38" w:name="positionering-en-boodschap"/>
    <w:p>
      <w:pPr>
        <w:pStyle w:val="Heading2"/>
      </w:pPr>
      <w:r>
        <w:t xml:space="preserve">7. Positionering en boodschap</w:t>
      </w:r>
    </w:p>
    <w:bookmarkStart w:id="34" w:name="de-positie-innemen-ries-trout-1981"/>
    <w:p>
      <w:pPr>
        <w:pStyle w:val="Heading3"/>
      </w:pPr>
      <w:r>
        <w:t xml:space="preserve">7.1 De positie innemen (Ries &amp; Trout, 1981)</w:t>
      </w:r>
    </w:p>
    <w:p>
      <w:pPr>
        <w:pStyle w:val="FirstParagraph"/>
      </w:pPr>
      <w:r>
        <w:t xml:space="preserve">Positionering gaat niet over het product; het gaat over de positie die het product inneemt in het hoofd van de koper (Ries &amp; Trout, 1981). Het gaat om één heldere associatie domineren.</w:t>
      </w:r>
    </w:p>
    <w:p>
      <w:pPr>
        <w:pStyle w:val="BodyText"/>
      </w:pPr>
      <w:r>
        <w:t xml:space="preserve">De beoogde positie van DGSkills:</w:t>
      </w:r>
      <w:r>
        <w:t xml:space="preserve"> </w:t>
      </w:r>
      <w:r>
        <w:rPr>
          <w:b/>
          <w:bCs/>
        </w:rPr>
        <w:t xml:space="preserve">“de docent-gebouwde, inspectie-bewijsbare DG-methode voor het VO.”</w:t>
      </w:r>
    </w:p>
    <w:p>
      <w:pPr>
        <w:pStyle w:val="BodyText"/>
      </w:pPr>
      <w:r>
        <w:t xml:space="preserve">Dit is geen marketingslogan. Het is de enige associatie die de koper moet hebben na elk contactmoment. Elke uitlating, elk kanaal, elk gesprek moet deze positie versterken.</w:t>
      </w:r>
    </w:p>
    <w:bookmarkEnd w:id="34"/>
    <w:bookmarkStart w:id="35" w:name="porters-differentiatie-focus-porter-1985"/>
    <w:p>
      <w:pPr>
        <w:pStyle w:val="Heading3"/>
      </w:pPr>
      <w:r>
        <w:t xml:space="preserve">7.2 Porter’s differentiatie-focus (Porter, 1985)</w:t>
      </w:r>
    </w:p>
    <w:p>
      <w:pPr>
        <w:pStyle w:val="FirstParagraph"/>
      </w:pPr>
      <w:r>
        <w:t xml:space="preserve">Porter’s generieke strategie voor DGSkills in deze fase is</w:t>
      </w:r>
      <w:r>
        <w:t xml:space="preserve"> </w:t>
      </w:r>
      <w:r>
        <w:rPr>
          <w:b/>
          <w:bCs/>
        </w:rPr>
        <w:t xml:space="preserve">differentiatie-focus</w:t>
      </w:r>
      <w:r>
        <w:t xml:space="preserve">: een specifiek segment (onderbouw VO) bedienen met een onderscheidend aanbod (SLO-bewijs + werkdrukverlaging + compliancetransparantie), in plaats van kostleiderschap of breedte-differentiatie.</w:t>
      </w:r>
    </w:p>
    <w:p>
      <w:pPr>
        <w:pStyle w:val="BodyText"/>
      </w:pPr>
      <w:r>
        <w:t xml:space="preserve">Dit impliceert dat DGSkills</w:t>
      </w:r>
      <w:r>
        <w:t xml:space="preserve"> </w:t>
      </w:r>
      <w:r>
        <w:rPr>
          <w:i/>
          <w:iCs/>
        </w:rPr>
        <w:t xml:space="preserve">niet</w:t>
      </w:r>
      <w:r>
        <w:t xml:space="preserve"> </w:t>
      </w:r>
      <w:r>
        <w:t xml:space="preserve">probeert voor alle VO-scholen de beste tool te zijn. Het is de beste tool voor scholen die DG aantoonbaar willen maken in de onderbouw, zonder een langdurig implementatietraject.</w:t>
      </w:r>
    </w:p>
    <w:bookmarkEnd w:id="35"/>
    <w:bookmarkStart w:id="36" w:name="Xa30ddcbe6923ecc53a18133d3c93e87141d53ca"/>
    <w:p>
      <w:pPr>
        <w:pStyle w:val="Heading3"/>
      </w:pPr>
      <w:r>
        <w:t xml:space="preserve">7.3 Blue Ocean — waarde-innovatie (Kim &amp; Mauborgne, 2005)</w:t>
      </w:r>
    </w:p>
    <w:p>
      <w:pPr>
        <w:pStyle w:val="FirstParagraph"/>
      </w:pPr>
      <w:r>
        <w:t xml:space="preserve">Kim &amp; Mauborgne (2005) beschrijven waarde-innovatie als het gelijktijdig verlagen van kosten (voor de koper) en verhogen van waarde, door te concurreren op dimensies die de markt nog niet waardeert.</w:t>
      </w:r>
    </w:p>
    <w:p>
      <w:pPr>
        <w:pStyle w:val="BodyText"/>
      </w:pPr>
      <w:r>
        <w:t xml:space="preserve">DGSkills combineert drie elementen die bestaande alternatieven elk afzonderlijk missen: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Dimensie</w:t>
            </w:r>
          </w:p>
        </w:tc>
        <w:tc>
          <w:tcPr/>
          <w:p>
            <w:pPr>
              <w:pStyle w:val="Compact"/>
            </w:pPr>
            <w:r>
              <w:t xml:space="preserve">Lesboek</w:t>
            </w:r>
          </w:p>
        </w:tc>
        <w:tc>
          <w:tcPr/>
          <w:p>
            <w:pPr>
              <w:pStyle w:val="Compact"/>
            </w:pPr>
            <w:r>
              <w:t xml:space="preserve">Generieke EdTech</w:t>
            </w:r>
          </w:p>
        </w:tc>
        <w:tc>
          <w:tcPr/>
          <w:p>
            <w:pPr>
              <w:pStyle w:val="Compact"/>
            </w:pPr>
            <w:r>
              <w:t xml:space="preserve">DGSkills</w:t>
            </w:r>
          </w:p>
        </w:tc>
      </w:tr>
      <w:tr>
        <w:tc>
          <w:tcPr/>
          <w:p>
            <w:pPr>
              <w:pStyle w:val="Compact"/>
            </w:pPr>
            <w:r>
              <w:t xml:space="preserve">SLO-kerndoeldekking aantoonbaar</w:t>
            </w:r>
          </w:p>
        </w:tc>
        <w:tc>
          <w:tcPr/>
          <w:p>
            <w:pPr>
              <w:pStyle w:val="Compact"/>
            </w:pPr>
            <w:r>
              <w:t xml:space="preserve">Gedeeltelijk</w:t>
            </w:r>
          </w:p>
        </w:tc>
        <w:tc>
          <w:tcPr/>
          <w:p>
            <w:pPr>
              <w:pStyle w:val="Compact"/>
            </w:pPr>
            <w:r>
              <w:t xml:space="preserve">Zelden</w:t>
            </w:r>
          </w:p>
        </w:tc>
        <w:tc>
          <w:tcPr/>
          <w:p>
            <w:pPr>
              <w:pStyle w:val="Compact"/>
            </w:pPr>
            <w:r>
              <w:t xml:space="preserve">Volledig (97 missies, 9 kerndoelen)</w:t>
            </w:r>
          </w:p>
        </w:tc>
      </w:tr>
      <w:tr>
        <w:tc>
          <w:tcPr/>
          <w:p>
            <w:pPr>
              <w:pStyle w:val="Compact"/>
            </w:pPr>
            <w:r>
              <w:t xml:space="preserve">Leerling-motivatie (missiegedreven)</w:t>
            </w:r>
          </w:p>
        </w:tc>
        <w:tc>
          <w:tcPr/>
          <w:p>
            <w:pPr>
              <w:pStyle w:val="Compact"/>
            </w:pPr>
            <w:r>
              <w:t xml:space="preserve">Laag</w:t>
            </w:r>
          </w:p>
        </w:tc>
        <w:tc>
          <w:tcPr/>
          <w:p>
            <w:pPr>
              <w:pStyle w:val="Compact"/>
            </w:pPr>
            <w:r>
              <w:t xml:space="preserve">Matig</w:t>
            </w:r>
          </w:p>
        </w:tc>
        <w:tc>
          <w:tcPr/>
          <w:p>
            <w:pPr>
              <w:pStyle w:val="Compact"/>
            </w:pPr>
            <w:r>
              <w:t xml:space="preserve">Hoog (persoonlijke leerroute, directe succeservaring)</w:t>
            </w:r>
          </w:p>
        </w:tc>
      </w:tr>
      <w:tr>
        <w:tc>
          <w:tcPr/>
          <w:p>
            <w:pPr>
              <w:pStyle w:val="Compact"/>
            </w:pPr>
            <w:r>
              <w:t xml:space="preserve">Werkdrukverlaging docent</w:t>
            </w:r>
          </w:p>
        </w:tc>
        <w:tc>
          <w:tcPr/>
          <w:p>
            <w:pPr>
              <w:pStyle w:val="Compact"/>
            </w:pPr>
            <w:r>
              <w:t xml:space="preserve">Matig</w:t>
            </w:r>
          </w:p>
        </w:tc>
        <w:tc>
          <w:tcPr/>
          <w:p>
            <w:pPr>
              <w:pStyle w:val="Compact"/>
            </w:pPr>
            <w:r>
              <w:t xml:space="preserve">Wisselend</w:t>
            </w:r>
          </w:p>
        </w:tc>
        <w:tc>
          <w:tcPr/>
          <w:p>
            <w:pPr>
              <w:pStyle w:val="Compact"/>
            </w:pPr>
            <w:r>
              <w:t xml:space="preserve">Hoog (2 weken live, geen voorbereiding)</w:t>
            </w:r>
          </w:p>
        </w:tc>
      </w:tr>
      <w:tr>
        <w:tc>
          <w:tcPr/>
          <w:p>
            <w:pPr>
              <w:pStyle w:val="Compact"/>
            </w:pPr>
            <w:r>
              <w:t xml:space="preserve">Compliance-transparantie (AVG/AI Act)</w:t>
            </w:r>
          </w:p>
        </w:tc>
        <w:tc>
          <w:tcPr/>
          <w:p>
            <w:pPr>
              <w:pStyle w:val="Compact"/>
            </w:pPr>
            <w:r>
              <w:t xml:space="preserve">n.v.t.</w:t>
            </w:r>
          </w:p>
        </w:tc>
        <w:tc>
          <w:tcPr/>
          <w:p>
            <w:pPr>
              <w:pStyle w:val="Compact"/>
            </w:pPr>
            <w:r>
              <w:t xml:space="preserve">Zelden</w:t>
            </w:r>
          </w:p>
        </w:tc>
        <w:tc>
          <w:tcPr/>
          <w:p>
            <w:pPr>
              <w:pStyle w:val="Compact"/>
            </w:pPr>
            <w:r>
              <w:t xml:space="preserve">Actief: DPIA, risicoregister, EU-dataresidentie, AI-markering</w:t>
            </w:r>
          </w:p>
        </w:tc>
      </w:tr>
    </w:tbl>
    <w:p>
      <w:pPr>
        <w:pStyle w:val="BodyText"/>
      </w:pPr>
      <w:r>
        <w:t xml:space="preserve">De combinatie van deze vier elementen in één platform is de Blue Ocean-positie: concurrenten bieden één of twee; DGSkills biedt alle vier.</w:t>
      </w:r>
    </w:p>
    <w:bookmarkEnd w:id="36"/>
    <w:bookmarkStart w:id="37" w:name="boodschap-per-dmu-rol"/>
    <w:p>
      <w:pPr>
        <w:pStyle w:val="Heading3"/>
      </w:pPr>
      <w:r>
        <w:t xml:space="preserve">7.4 Boodschap per DMU-rol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DMU-rol</w:t>
            </w:r>
          </w:p>
        </w:tc>
        <w:tc>
          <w:tcPr/>
          <w:p>
            <w:pPr>
              <w:pStyle w:val="Compact"/>
            </w:pPr>
            <w:r>
              <w:t xml:space="preserve">Kern van de boodschap</w:t>
            </w:r>
          </w:p>
        </w:tc>
        <w:tc>
          <w:tcPr/>
          <w:p>
            <w:pPr>
              <w:pStyle w:val="Compact"/>
            </w:pPr>
            <w:r>
              <w:t xml:space="preserve">Toon</w:t>
            </w:r>
          </w:p>
        </w:tc>
      </w:tr>
      <w:tr>
        <w:tc>
          <w:tcPr/>
          <w:p>
            <w:pPr>
              <w:pStyle w:val="Compact"/>
            </w:pPr>
            <w:r>
              <w:rPr>
                <w:b/>
                <w:bCs/>
              </w:rPr>
              <w:t xml:space="preserve">Innovatieve docent (Initiator/User)</w:t>
            </w:r>
          </w:p>
        </w:tc>
        <w:tc>
          <w:tcPr/>
          <w:p>
            <w:pPr>
              <w:pStyle w:val="Compact"/>
            </w:pPr>
            <w:r>
              <w:t xml:space="preserve">“Jij hoeft dit niet zelf te bouwen — en het werkt echt in de klas, want ik gebruik het zelf.”</w:t>
            </w:r>
          </w:p>
        </w:tc>
        <w:tc>
          <w:tcPr/>
          <w:p>
            <w:pPr>
              <w:pStyle w:val="Compact"/>
            </w:pPr>
            <w:r>
              <w:t xml:space="preserve">Collegiaal, praktisch, enthousiast</w:t>
            </w:r>
          </w:p>
        </w:tc>
      </w:tr>
      <w:tr>
        <w:tc>
          <w:tcPr/>
          <w:p>
            <w:pPr>
              <w:pStyle w:val="Compact"/>
            </w:pPr>
            <w:r>
              <w:rPr>
                <w:b/>
                <w:bCs/>
              </w:rPr>
              <w:t xml:space="preserve">ICT-coördinator (Influencer/Gatekeeper)</w:t>
            </w:r>
          </w:p>
        </w:tc>
        <w:tc>
          <w:tcPr/>
          <w:p>
            <w:pPr>
              <w:pStyle w:val="Compact"/>
            </w:pPr>
            <w:r>
              <w:t xml:space="preserve">“AVG-proof, data in NL, DPIA gedaan, AI Act hoog-risico transparant gedocumenteerd. Compliance-pack beschikbaar.”</w:t>
            </w:r>
          </w:p>
        </w:tc>
        <w:tc>
          <w:tcPr/>
          <w:p>
            <w:pPr>
              <w:pStyle w:val="Compact"/>
            </w:pPr>
            <w:r>
              <w:t xml:space="preserve">Zakelijk, technisch, feitelijk</w:t>
            </w:r>
          </w:p>
        </w:tc>
      </w:tr>
      <w:tr>
        <w:tc>
          <w:tcPr/>
          <w:p>
            <w:pPr>
              <w:pStyle w:val="Compact"/>
            </w:pPr>
            <w:r>
              <w:rPr>
                <w:b/>
                <w:bCs/>
              </w:rPr>
              <w:t xml:space="preserve">Teamleider (Influencer)</w:t>
            </w:r>
          </w:p>
        </w:tc>
        <w:tc>
          <w:tcPr/>
          <w:p>
            <w:pPr>
              <w:pStyle w:val="Compact"/>
            </w:pPr>
            <w:r>
              <w:t xml:space="preserve">“Jouw docenten zijn binnen twee weken live, en jij hebt direct inzicht in de voortgang van elke klas.”</w:t>
            </w:r>
          </w:p>
        </w:tc>
        <w:tc>
          <w:tcPr/>
          <w:p>
            <w:pPr>
              <w:pStyle w:val="Compact"/>
            </w:pPr>
            <w:r>
              <w:t xml:space="preserve">Managementgericht, resultaatgericht</w:t>
            </w:r>
          </w:p>
        </w:tc>
      </w:tr>
      <w:tr>
        <w:tc>
          <w:tcPr/>
          <w:p>
            <w:pPr>
              <w:pStyle w:val="Compact"/>
            </w:pPr>
            <w:r>
              <w:rPr>
                <w:b/>
                <w:bCs/>
              </w:rPr>
              <w:t xml:space="preserve">Directeur (Decider)</w:t>
            </w:r>
          </w:p>
        </w:tc>
        <w:tc>
          <w:tcPr/>
          <w:p>
            <w:pPr>
              <w:pStyle w:val="Compact"/>
            </w:pPr>
            <w:r>
              <w:t xml:space="preserve">“Aantoonbare SLO-dekking voor de inspectie. Lage instap (pilot €1.500). Geen implementatierisico.”</w:t>
            </w:r>
          </w:p>
        </w:tc>
        <w:tc>
          <w:tcPr/>
          <w:p>
            <w:pPr>
              <w:pStyle w:val="Compact"/>
            </w:pPr>
            <w:r>
              <w:t xml:space="preserve">Strategisch, risicomijdend, bondig</w:t>
            </w:r>
          </w:p>
        </w:tc>
      </w:tr>
    </w:tbl>
    <w:p>
      <w:pPr>
        <w:pStyle w:val="BodyText"/>
      </w:pPr>
      <w:r>
        <w:t xml:space="preserve">Zie</w:t>
      </w:r>
      <w:r>
        <w:t xml:space="preserve"> </w:t>
      </w:r>
      <w:r>
        <w:rPr>
          <w:rStyle w:val="VerbatimChar"/>
        </w:rPr>
        <w:t xml:space="preserve">07-usp-strategy-and-messaging.md</w:t>
      </w:r>
      <w:r>
        <w:t xml:space="preserve"> </w:t>
      </w:r>
      <w:r>
        <w:t xml:space="preserve">voor de uitgewerkte berichtgeving per persona.</w:t>
      </w:r>
    </w:p>
    <w:p>
      <w:r>
        <w:pict>
          <v:rect style="width:0;height:1.5pt" o:hralign="center" o:hrstd="t" o:hr="t"/>
        </w:pict>
      </w:r>
    </w:p>
    <w:bookmarkEnd w:id="37"/>
    <w:bookmarkEnd w:id="38"/>
    <w:bookmarkStart w:id="49" w:name="kanaal--en-social-mediastrategie"/>
    <w:p>
      <w:pPr>
        <w:pStyle w:val="Heading2"/>
      </w:pPr>
      <w:r>
        <w:t xml:space="preserve">8. Kanaal- en social-mediastrategie</w:t>
      </w:r>
    </w:p>
    <w:bookmarkStart w:id="39" w:name="theoretische-grondslag-voor-kanaalkeuze"/>
    <w:p>
      <w:pPr>
        <w:pStyle w:val="Heading3"/>
      </w:pPr>
      <w:r>
        <w:t xml:space="preserve">8.1 Theoretische grondslag voor kanaalkeuze</w:t>
      </w:r>
    </w:p>
    <w:p>
      <w:pPr>
        <w:pStyle w:val="FirstParagraph"/>
      </w:pPr>
      <w:r>
        <w:t xml:space="preserve">Halligan &amp; Shah (2009) onderscheiden outbound marketing (interruptie, koud bereik) van inbound marketing (aantrekken via relevante content op het moment dat de koper actief zoekt). Voor een solo-founder met beperkte tijd en budget is inbound aanzienlijk effectiever: in plaats van naar iedere school te rijden, wordt de koper naar DGSkills getrokken door relevante content.</w:t>
      </w:r>
    </w:p>
    <w:p>
      <w:pPr>
        <w:pStyle w:val="BodyText"/>
      </w:pPr>
      <w:r>
        <w:t xml:space="preserve">Pulizzi (2015) voegt toe: de effectiefste vorm van inbound voor een kleine organisatie is</w:t>
      </w:r>
      <w:r>
        <w:t xml:space="preserve"> </w:t>
      </w:r>
      <w:r>
        <w:rPr>
          <w:b/>
          <w:bCs/>
        </w:rPr>
        <w:t xml:space="preserve">founder-led content</w:t>
      </w:r>
      <w:r>
        <w:t xml:space="preserve"> </w:t>
      </w:r>
      <w:r>
        <w:t xml:space="preserve">— de oprichter als persoonlijk merk dat een owned audience opbouwt. Dit werkt specifiek goed in het onderwijs, waar docenten andere docenten vertrouwen.</w:t>
      </w:r>
    </w:p>
    <w:p>
      <w:pPr>
        <w:pStyle w:val="BodyText"/>
      </w:pPr>
      <w:r>
        <w:t xml:space="preserve">Dixon &amp; Adamson (2011) bevestigen dit via de Challenger-aanpak: de beste verkopers</w:t>
      </w:r>
      <w:r>
        <w:t xml:space="preserve"> </w:t>
      </w:r>
      <w:r>
        <w:rPr>
          <w:i/>
          <w:iCs/>
        </w:rPr>
        <w:t xml:space="preserve">onderwijzen</w:t>
      </w:r>
      <w:r>
        <w:t xml:space="preserve"> </w:t>
      </w:r>
      <w:r>
        <w:t xml:space="preserve">hun kopers over iets wat die nog niet wisten. Content is de schaalbare manier om dat onderwijs te leveren voordat het verkoopgesprek begint.</w:t>
      </w:r>
    </w:p>
    <w:bookmarkEnd w:id="39"/>
    <w:bookmarkStart w:id="47" w:name="kanaalkeuze-wat-en-waarom"/>
    <w:p>
      <w:pPr>
        <w:pStyle w:val="Heading3"/>
      </w:pPr>
      <w:r>
        <w:t xml:space="preserve">8.2 Kanaalkeuze — wat en waarom</w:t>
      </w:r>
    </w:p>
    <w:bookmarkStart w:id="40" w:name="linkedin-primair-kanaal"/>
    <w:p>
      <w:pPr>
        <w:pStyle w:val="Heading4"/>
      </w:pPr>
      <w:r>
        <w:t xml:space="preserve">LinkedIn (primair kanaal)</w:t>
      </w:r>
    </w:p>
    <w:p>
      <w:pPr>
        <w:pStyle w:val="FirstParagraph"/>
      </w:pPr>
      <w:r>
        <w:rPr>
          <w:b/>
          <w:bCs/>
        </w:rPr>
        <w:t xml:space="preserve">Waarom:</w:t>
      </w:r>
      <w:r>
        <w:t xml:space="preserve"> </w:t>
      </w:r>
      <w:r>
        <w:t xml:space="preserve">LinkedIn heeft 5,7 miljoen Nederlandse gebruikers, waarvan 56% hoogopgeleid (Fingerspitz, 2024). Dit is precies het kanaal waar ICT-coördinatoren, teamleiders en directeuren actief zijn. Scholen kopen niet via Instagram — maar beslissers in het onderwijs zijn op LinkedIn aanwezig.</w:t>
      </w:r>
    </w:p>
    <w:p>
      <w:pPr>
        <w:pStyle w:val="BodyText"/>
      </w:pPr>
      <w:r>
        <w:rPr>
          <w:b/>
          <w:bCs/>
        </w:rPr>
        <w:t xml:space="preserve">Aanpak (founder-led):</w:t>
      </w:r>
      <w:r>
        <w:t xml:space="preserve"> </w:t>
      </w:r>
      <w:r>
        <w:t xml:space="preserve">Yorin post als praktiserend docent over DG in de klas, SLO-puzzels, AI Act in het onderwijs, en concrete leerling-ervaringen. Geen advertentietaal — collegiale reflectie die Initiators en Influencers bereikt. Doel: een volgend docentennetwerk dat zich omzet in inbound demo-aanvragen.</w:t>
      </w:r>
    </w:p>
    <w:p>
      <w:pPr>
        <w:pStyle w:val="BodyText"/>
      </w:pPr>
      <w:r>
        <w:rPr>
          <w:b/>
          <w:bCs/>
        </w:rPr>
        <w:t xml:space="preserve">Frequentie:</w:t>
      </w:r>
      <w:r>
        <w:t xml:space="preserve"> </w:t>
      </w:r>
      <w:r>
        <w:t xml:space="preserve">2-3 posts per week; prioriteit op contenttypes die goed performen in het onderwijs-segment: praktijkobservaties, SLO-analyse, bezwaar-debunking.</w:t>
      </w:r>
    </w:p>
    <w:bookmarkEnd w:id="40"/>
    <w:bookmarkStart w:id="41" w:name="Xc95460e9bed39e583186981dd2a4ab217c662ca"/>
    <w:p>
      <w:pPr>
        <w:pStyle w:val="Heading4"/>
      </w:pPr>
      <w:r>
        <w:t xml:space="preserve">Directe e-mail / warme outreach (secundair kanaal, hoge conversie)</w:t>
      </w:r>
    </w:p>
    <w:p>
      <w:pPr>
        <w:pStyle w:val="FirstParagraph"/>
      </w:pPr>
      <w:r>
        <w:rPr>
          <w:b/>
          <w:bCs/>
        </w:rPr>
        <w:t xml:space="preserve">Waarom:</w:t>
      </w:r>
      <w:r>
        <w:t xml:space="preserve"> </w:t>
      </w:r>
      <w:r>
        <w:t xml:space="preserve">Scholen zijn conservatieve kopers. Koude acquisitie via mail converteert slecht. Warme outreach — via een gedeelde connectie, na een LinkedIn-interactie, of na een conferentie — converteert aanzienlijk beter. Dit is het kanaal voor gerichte demo-uitnodigingen aan gekwalificeerde leads.</w:t>
      </w:r>
    </w:p>
    <w:p>
      <w:pPr>
        <w:pStyle w:val="BodyText"/>
      </w:pPr>
      <w:r>
        <w:rPr>
          <w:b/>
          <w:bCs/>
        </w:rPr>
        <w:t xml:space="preserve">Aanpak:</w:t>
      </w:r>
      <w:r>
        <w:t xml:space="preserve"> </w:t>
      </w:r>
      <w:r>
        <w:t xml:space="preserve">Gepersonaliseerde mails op basis van publiek beschikbare informatie (schoolwebsite, inspectierapporten, LinkedIn-profiel van de ICT-coördinator). SPIN-structuur van Rackham (1988) als leidraad voor de eerste e-mail.</w:t>
      </w:r>
    </w:p>
    <w:bookmarkEnd w:id="41"/>
    <w:bookmarkStart w:id="42" w:name="X8d48acc1b35858875086f841f374edd94723d0b"/>
    <w:p>
      <w:pPr>
        <w:pStyle w:val="Heading4"/>
      </w:pPr>
      <w:r>
        <w:t xml:space="preserve">Eigen netwerk en school (referral, hoge waarde)</w:t>
      </w:r>
    </w:p>
    <w:p>
      <w:pPr>
        <w:pStyle w:val="FirstParagraph"/>
      </w:pPr>
      <w:r>
        <w:rPr>
          <w:b/>
          <w:bCs/>
        </w:rPr>
        <w:t xml:space="preserve">Waarom:</w:t>
      </w:r>
      <w:r>
        <w:t xml:space="preserve"> </w:t>
      </w:r>
      <w:r>
        <w:t xml:space="preserve">Observability (Rogers) werkt het sterkst wanneer de referent iemand is die de koper kent en respecteert. Een aanbeveling van een collega-docent of -directeur heeft meer gewicht dan tien advertenties. Elke bestaande pilotkoper is een potentiële referral-bron.</w:t>
      </w:r>
    </w:p>
    <w:p>
      <w:pPr>
        <w:pStyle w:val="BodyText"/>
      </w:pPr>
      <w:r>
        <w:rPr>
          <w:b/>
          <w:bCs/>
        </w:rPr>
        <w:t xml:space="preserve">Aanpak:</w:t>
      </w:r>
      <w:r>
        <w:t xml:space="preserve"> </w:t>
      </w:r>
      <w:r>
        <w:t xml:space="preserve">Actief uitvragen van referrals na succesvolle pilots; casestudies (met toestemming) publiceren op website en LinkedIn.</w:t>
      </w:r>
    </w:p>
    <w:bookmarkEnd w:id="42"/>
    <w:bookmarkStart w:id="43" w:name="webinars-trialability-teach"/>
    <w:p>
      <w:pPr>
        <w:pStyle w:val="Heading4"/>
      </w:pPr>
      <w:r>
        <w:t xml:space="preserve">Webinars (trialability + teach)</w:t>
      </w:r>
    </w:p>
    <w:p>
      <w:pPr>
        <w:pStyle w:val="FirstParagraph"/>
      </w:pPr>
      <w:r>
        <w:rPr>
          <w:b/>
          <w:bCs/>
        </w:rPr>
        <w:t xml:space="preserve">Waarom:</w:t>
      </w:r>
      <w:r>
        <w:t xml:space="preserve"> </w:t>
      </w:r>
      <w:r>
        <w:t xml:space="preserve">Webinars combineren trialability (deelnemers ervaren de methode voordat ze kopen) met de Challenger-aanpak (teach: geef de koper iets waardevols voordat je iets vraagt). Een webinar over</w:t>
      </w:r>
      <w:r>
        <w:t xml:space="preserve"> </w:t>
      </w:r>
      <w:r>
        <w:t xml:space="preserve">“Hoe toon je SLO-kerndoeldekking aan voor de inspectie?”</w:t>
      </w:r>
      <w:r>
        <w:t xml:space="preserve"> </w:t>
      </w:r>
      <w:r>
        <w:t xml:space="preserve">trekt exact de juiste doelgroep — Initiators die intern willen pleiten.</w:t>
      </w:r>
    </w:p>
    <w:p>
      <w:pPr>
        <w:pStyle w:val="BodyText"/>
      </w:pPr>
      <w:r>
        <w:rPr>
          <w:b/>
          <w:bCs/>
        </w:rPr>
        <w:t xml:space="preserve">Aanpak:</w:t>
      </w:r>
      <w:r>
        <w:t xml:space="preserve"> </w:t>
      </w:r>
      <w:r>
        <w:t xml:space="preserve">Maandelijks live webinar (45 min), opname beschikbaar voor leadgeneratie via formulier op de website. Thema’s: SLO-dekking, AI Act voor scholen, werkdrukverlaging, demo van een missie.</w:t>
      </w:r>
    </w:p>
    <w:bookmarkEnd w:id="43"/>
    <w:bookmarkStart w:id="44" w:name="seo-website-inbound-capture"/>
    <w:p>
      <w:pPr>
        <w:pStyle w:val="Heading4"/>
      </w:pPr>
      <w:r>
        <w:t xml:space="preserve">SEO / website (inbound capture)</w:t>
      </w:r>
    </w:p>
    <w:p>
      <w:pPr>
        <w:pStyle w:val="FirstParagraph"/>
      </w:pPr>
      <w:r>
        <w:rPr>
          <w:b/>
          <w:bCs/>
        </w:rPr>
        <w:t xml:space="preserve">Waarom:</w:t>
      </w:r>
      <w:r>
        <w:t xml:space="preserve"> </w:t>
      </w:r>
      <w:r>
        <w:t xml:space="preserve">Zoekintentie van ICT-coördinatoren en teamleiders die actief zoeken naar</w:t>
      </w:r>
      <w:r>
        <w:t xml:space="preserve"> </w:t>
      </w:r>
      <w:r>
        <w:t xml:space="preserve">“digitale geletterdheid methode VO”</w:t>
      </w:r>
      <w:r>
        <w:t xml:space="preserve"> </w:t>
      </w:r>
      <w:r>
        <w:t xml:space="preserve">of</w:t>
      </w:r>
      <w:r>
        <w:t xml:space="preserve"> </w:t>
      </w:r>
      <w:r>
        <w:t xml:space="preserve">“SLO kerndoelen digitale geletterdheid”</w:t>
      </w:r>
      <w:r>
        <w:t xml:space="preserve"> </w:t>
      </w:r>
      <w:r>
        <w:t xml:space="preserve">moet landen op DGSkills.nl. Organisch verkeer is goedkoop en duurt lang mee.</w:t>
      </w:r>
    </w:p>
    <w:p>
      <w:pPr>
        <w:pStyle w:val="BodyText"/>
      </w:pPr>
      <w:r>
        <w:rPr>
          <w:b/>
          <w:bCs/>
        </w:rPr>
        <w:t xml:space="preserve">Aanpak:</w:t>
      </w:r>
      <w:r>
        <w:t xml:space="preserve"> </w:t>
      </w:r>
      <w:r>
        <w:t xml:space="preserve">Landingspagina’s op kerndoel-niveau; blog/kennisbank met artikelen die directe SLO-vragen beantwoorden; technische SEO op doelgerichte zoektermen.</w:t>
      </w:r>
    </w:p>
    <w:bookmarkEnd w:id="44"/>
    <w:bookmarkStart w:id="45" w:name="X175b1cc6f744333b891c64326b6fce64972f99b"/>
    <w:p>
      <w:pPr>
        <w:pStyle w:val="Heading4"/>
      </w:pPr>
      <w:r>
        <w:t xml:space="preserve">Conferenties — IPON (EdTech-beurs, Jaarbeurs Utrecht) en vergelijkbaar</w:t>
      </w:r>
    </w:p>
    <w:p>
      <w:pPr>
        <w:pStyle w:val="FirstParagraph"/>
      </w:pPr>
      <w:r>
        <w:rPr>
          <w:b/>
          <w:bCs/>
        </w:rPr>
        <w:t xml:space="preserve">Waarom:</w:t>
      </w:r>
      <w:r>
        <w:t xml:space="preserve"> </w:t>
      </w:r>
      <w:r>
        <w:t xml:space="preserve">Face-to-face contact is het meest effectieve kanaal om de pragmatische meerderheid (Early Majority) te bereiken — die koopt niet op basis van content, maar op basis van persoonlijk vertrouwen na een gesprek. IPON is de primaire EdTech-conferentie in NL.</w:t>
      </w:r>
    </w:p>
    <w:p>
      <w:pPr>
        <w:pStyle w:val="BodyText"/>
      </w:pPr>
      <w:r>
        <w:rPr>
          <w:b/>
          <w:bCs/>
        </w:rPr>
        <w:t xml:space="preserve">Aanpak:</w:t>
      </w:r>
      <w:r>
        <w:t xml:space="preserve"> </w:t>
      </w:r>
      <w:r>
        <w:t xml:space="preserve">Aanwezig als deelnemer/spreker (niet alleen als exposant); presenteer casestudies van pilotscholen; gebruik het als netwerk-moment voor warme outreach nadien.</w:t>
      </w:r>
    </w:p>
    <w:bookmarkEnd w:id="45"/>
    <w:bookmarkStart w:id="46" w:name="Xf69ef1c2dd0981fc1efb2bfa927bac23a79a3b4"/>
    <w:p>
      <w:pPr>
        <w:pStyle w:val="Heading4"/>
      </w:pPr>
      <w:r>
        <w:t xml:space="preserve">Kennisnet / onderwijscommunities (geloofwaardigheid)</w:t>
      </w:r>
    </w:p>
    <w:p>
      <w:pPr>
        <w:pStyle w:val="FirstParagraph"/>
      </w:pPr>
      <w:r>
        <w:rPr>
          <w:b/>
          <w:bCs/>
        </w:rPr>
        <w:t xml:space="preserve">Waarom:</w:t>
      </w:r>
      <w:r>
        <w:t xml:space="preserve"> </w:t>
      </w:r>
      <w:r>
        <w:t xml:space="preserve">Kennisnet is de neutrale, door het onderwijs erkende autoriteit op digitale geletterdheid. Aanwezigheid in Kennisnet-kanalen (publicaties, vermeldingen, communities) geeft sociale validatie aan een jong merk.</w:t>
      </w:r>
    </w:p>
    <w:p>
      <w:pPr>
        <w:pStyle w:val="BodyText"/>
      </w:pPr>
      <w:r>
        <w:rPr>
          <w:b/>
          <w:bCs/>
        </w:rPr>
        <w:t xml:space="preserve">Aanpak:</w:t>
      </w:r>
      <w:r>
        <w:t xml:space="preserve"> </w:t>
      </w:r>
      <w:r>
        <w:t xml:space="preserve">Bijdragen aan Kennisnet-kennisbank, aanmelden voor vermelding in EdTech-overzichten, deelnemen aan communityforums voor DG-docenten.</w:t>
      </w:r>
    </w:p>
    <w:bookmarkEnd w:id="46"/>
    <w:bookmarkEnd w:id="47"/>
    <w:bookmarkStart w:id="48" w:name="Xd64f995eff2b7e746e2a878fefeaff93244d17c"/>
    <w:p>
      <w:pPr>
        <w:pStyle w:val="Heading3"/>
      </w:pPr>
      <w:r>
        <w:t xml:space="preserve">8.3 Waarom NIET Instagram, TikTok of X voor B2B-schoolverkoop</w:t>
      </w:r>
    </w:p>
    <w:p>
      <w:pPr>
        <w:pStyle w:val="Compact"/>
        <w:numPr>
          <w:ilvl w:val="0"/>
          <w:numId w:val="1006"/>
        </w:numPr>
      </w:pPr>
      <w:r>
        <w:rPr>
          <w:b/>
          <w:bCs/>
        </w:rPr>
        <w:t xml:space="preserve">Leerlingen zijn niet de kopers.</w:t>
      </w:r>
      <w:r>
        <w:t xml:space="preserve"> </w:t>
      </w:r>
      <w:r>
        <w:t xml:space="preserve">Instagram en TikTok bereiken leerlingen, niet de beslissers. De DMU (directeur, teamleider, ICT-coördinator) is niet actief op deze platforms in een professionele hoedanigheid.</w:t>
      </w:r>
    </w:p>
    <w:p>
      <w:pPr>
        <w:pStyle w:val="Compact"/>
        <w:numPr>
          <w:ilvl w:val="0"/>
          <w:numId w:val="1006"/>
        </w:numPr>
      </w:pPr>
      <w:r>
        <w:rPr>
          <w:b/>
          <w:bCs/>
        </w:rPr>
        <w:t xml:space="preserve">X (voorheen Twitter)</w:t>
      </w:r>
      <w:r>
        <w:t xml:space="preserve"> </w:t>
      </w:r>
      <w:r>
        <w:t xml:space="preserve">heeft in NL beperkt bereik onder onderwijsbeslissers; de kwaliteit van het professionele netwerk is significant lager dan LinkedIn voor B2B-onderwijs.</w:t>
      </w:r>
    </w:p>
    <w:p>
      <w:pPr>
        <w:pStyle w:val="Compact"/>
        <w:numPr>
          <w:ilvl w:val="0"/>
          <w:numId w:val="1006"/>
        </w:numPr>
      </w:pPr>
      <w:r>
        <w:rPr>
          <w:b/>
          <w:bCs/>
        </w:rPr>
        <w:t xml:space="preserve">Schaalprobleem:</w:t>
      </w:r>
      <w:r>
        <w:t xml:space="preserve"> </w:t>
      </w:r>
      <w:r>
        <w:t xml:space="preserve">Solo-founder heeft beperkte content-capaciteit. Investeer die in kanalen waar de beslissers zijn, niet waar de leerlingen zijn.</w:t>
      </w:r>
    </w:p>
    <w:p>
      <w:pPr>
        <w:pStyle w:val="FirstParagraph"/>
      </w:pPr>
      <w:r>
        <w:t xml:space="preserve">Zie</w:t>
      </w:r>
      <w:r>
        <w:t xml:space="preserve"> </w:t>
      </w:r>
      <w:r>
        <w:rPr>
          <w:rStyle w:val="VerbatimChar"/>
        </w:rPr>
        <w:t xml:space="preserve">10-marketing-campagne-strategie.md</w:t>
      </w:r>
      <w:r>
        <w:t xml:space="preserve"> </w:t>
      </w:r>
      <w:r>
        <w:t xml:space="preserve">voor de operationele uitwerking van campagnes per kanaal.</w:t>
      </w:r>
    </w:p>
    <w:p>
      <w:r>
        <w:pict>
          <v:rect style="width:0;height:1.5pt" o:hralign="center" o:hrstd="t" o:hr="t"/>
        </w:pict>
      </w:r>
    </w:p>
    <w:bookmarkEnd w:id="48"/>
    <w:bookmarkEnd w:id="49"/>
    <w:bookmarkStart w:id="54" w:name="Xe36d59798cb6c62bda893da4d059b198350f8f0"/>
    <w:p>
      <w:pPr>
        <w:pStyle w:val="Heading2"/>
      </w:pPr>
      <w:r>
        <w:t xml:space="preserve">9. Verkoopmethodiek — hoe scholen benaderen en closen</w:t>
      </w:r>
    </w:p>
    <w:bookmarkStart w:id="50" w:name="theoretische-grondslag"/>
    <w:p>
      <w:pPr>
        <w:pStyle w:val="Heading3"/>
      </w:pPr>
      <w:r>
        <w:t xml:space="preserve">9.1 Theoretische grondslag</w:t>
      </w:r>
    </w:p>
    <w:p>
      <w:pPr>
        <w:pStyle w:val="FirstParagraph"/>
      </w:pPr>
      <w:r>
        <w:t xml:space="preserve">Rackham (1988) toonde empirisch aan dat bij complexe verkopen (hoge waarde, meerdere beslissers, lange cyclus) traditionele</w:t>
      </w:r>
      <w:r>
        <w:t xml:space="preserve"> </w:t>
      </w:r>
      <w:r>
        <w:t xml:space="preserve">“product-demo-close”</w:t>
      </w:r>
      <w:r>
        <w:t xml:space="preserve">-aanpakken ondermaats presteren. SPIN Selling — Situation, Problem, Implication, Need-payoff — werkt significant beter omdat het de koper zijn eigen overtuiging laat formuleren.</w:t>
      </w:r>
    </w:p>
    <w:p>
      <w:pPr>
        <w:pStyle w:val="BodyText"/>
      </w:pPr>
      <w:r>
        <w:t xml:space="preserve">Dixon &amp; Adamson (2011) voegen toe dat de beste B2B-verkopers niet vragen wat de koper wil, maar de koper</w:t>
      </w:r>
      <w:r>
        <w:t xml:space="preserve"> </w:t>
      </w:r>
      <w:r>
        <w:rPr>
          <w:i/>
          <w:iCs/>
        </w:rPr>
        <w:t xml:space="preserve">iets leren</w:t>
      </w:r>
      <w:r>
        <w:t xml:space="preserve"> </w:t>
      </w:r>
      <w:r>
        <w:t xml:space="preserve">wat die nog niet wist (Teach), de boodschap aanpassen aan de specifieke rol (Tailor), en het gesprek actief naar een beslissing sturen (Take control).</w:t>
      </w:r>
    </w:p>
    <w:p>
      <w:pPr>
        <w:pStyle w:val="BodyText"/>
      </w:pPr>
      <w:r>
        <w:t xml:space="preserve">Beide methodieken zijn complementair: SPIN voor de discovery-fase, Challenger voor de positioneringsfase.</w:t>
      </w:r>
    </w:p>
    <w:bookmarkEnd w:id="50"/>
    <w:bookmarkStart w:id="51" w:name="spin-structuur-toegepast-op-dgskills"/>
    <w:p>
      <w:pPr>
        <w:pStyle w:val="Heading3"/>
      </w:pPr>
      <w:r>
        <w:t xml:space="preserve">9.2 SPIN-structuur toegepast op DGSkills</w:t>
      </w:r>
    </w:p>
    <w:p>
      <w:pPr>
        <w:pStyle w:val="FirstParagraph"/>
      </w:pPr>
      <w:r>
        <w:rPr>
          <w:b/>
          <w:bCs/>
        </w:rPr>
        <w:t xml:space="preserve">Situation (hoe is de situatie nu?):</w:t>
      </w:r>
      <w:r>
        <w:t xml:space="preserve"> </w:t>
      </w:r>
      <w:r>
        <w:t xml:space="preserve">-</w:t>
      </w:r>
      <w:r>
        <w:t xml:space="preserve"> </w:t>
      </w:r>
      <w:r>
        <w:t xml:space="preserve">“Hoe pakken jullie digitale geletterdheid nu aan? Wat gebruiken jullie?”</w:t>
      </w:r>
      <w:r>
        <w:t xml:space="preserve"> </w:t>
      </w:r>
      <w:r>
        <w:t xml:space="preserve">-</w:t>
      </w:r>
      <w:r>
        <w:t xml:space="preserve"> </w:t>
      </w:r>
      <w:r>
        <w:t xml:space="preserve">“In welk leerjaar/welke vakken wordt DG aangeboden?”</w:t>
      </w:r>
      <w:r>
        <w:t xml:space="preserve"> </w:t>
      </w:r>
      <w:r>
        <w:t xml:space="preserve">-</w:t>
      </w:r>
      <w:r>
        <w:t xml:space="preserve"> </w:t>
      </w:r>
      <w:r>
        <w:t xml:space="preserve">“Wie is er verantwoordelijk voor de DG-invulling op jullie school?”</w:t>
      </w:r>
    </w:p>
    <w:p>
      <w:pPr>
        <w:pStyle w:val="BodyText"/>
      </w:pPr>
      <w:r>
        <w:rPr>
          <w:b/>
          <w:bCs/>
        </w:rPr>
        <w:t xml:space="preserve">Problem (wat klopt er niet aan de huidige situatie?):</w:t>
      </w:r>
      <w:r>
        <w:t xml:space="preserve"> </w:t>
      </w:r>
      <w:r>
        <w:t xml:space="preserve">-</w:t>
      </w:r>
      <w:r>
        <w:t xml:space="preserve"> </w:t>
      </w:r>
      <w:r>
        <w:t xml:space="preserve">“Hoe toon je nu aan dat jullie de SLO-kerndoelen halen? Wat zegt de inspectie daarover?”</w:t>
      </w:r>
      <w:r>
        <w:t xml:space="preserve"> </w:t>
      </w:r>
      <w:r>
        <w:t xml:space="preserve">-</w:t>
      </w:r>
      <w:r>
        <w:t xml:space="preserve"> </w:t>
      </w:r>
      <w:r>
        <w:t xml:space="preserve">“Hoeveel tijd kost het je nu om de DG-lessen voor te bereiden?”</w:t>
      </w:r>
      <w:r>
        <w:t xml:space="preserve"> </w:t>
      </w:r>
      <w:r>
        <w:t xml:space="preserve">-</w:t>
      </w:r>
      <w:r>
        <w:t xml:space="preserve"> </w:t>
      </w:r>
      <w:r>
        <w:t xml:space="preserve">“Merken jullie dat leerlingen afhaken bij de huidige DG-aanpak?”</w:t>
      </w:r>
    </w:p>
    <w:p>
      <w:pPr>
        <w:pStyle w:val="BodyText"/>
      </w:pPr>
      <w:r>
        <w:rPr>
          <w:b/>
          <w:bCs/>
        </w:rPr>
        <w:t xml:space="preserve">Implication (wat zijn de consequenties als dit niet verandert?):</w:t>
      </w:r>
      <w:r>
        <w:t xml:space="preserve"> </w:t>
      </w:r>
      <w:r>
        <w:t xml:space="preserve">-</w:t>
      </w:r>
      <w:r>
        <w:t xml:space="preserve"> </w:t>
      </w:r>
      <w:r>
        <w:t xml:space="preserve">“Als de SLO-kerndoelen in 2027 wettelijk worden en jullie nu geen structurele methode hebben, wat verwacht je dat de inspectie dan vraagt?”</w:t>
      </w:r>
      <w:r>
        <w:t xml:space="preserve"> </w:t>
      </w:r>
      <w:r>
        <w:t xml:space="preserve">-</w:t>
      </w:r>
      <w:r>
        <w:t xml:space="preserve"> </w:t>
      </w:r>
      <w:r>
        <w:t xml:space="preserve">“Als je docenten nog meer DG-voorbereiding krijgen bovenop de bestaande werkdruk, wat denk je dat er dan gebeurt?”</w:t>
      </w:r>
      <w:r>
        <w:t xml:space="preserve"> </w:t>
      </w:r>
      <w:r>
        <w:t xml:space="preserve">-</w:t>
      </w:r>
      <w:r>
        <w:t xml:space="preserve"> </w:t>
      </w:r>
      <w:r>
        <w:t xml:space="preserve">“Hoe denk je dat de school omgaat met aansprakelijkheid als een AI-tool voor leerlingen niet AVG-proof blijkt?”</w:t>
      </w:r>
    </w:p>
    <w:p>
      <w:pPr>
        <w:pStyle w:val="BodyText"/>
      </w:pPr>
      <w:r>
        <w:rPr>
          <w:b/>
          <w:bCs/>
        </w:rPr>
        <w:t xml:space="preserve">Need-payoff (wat zou het waard zijn als het opgelost was?):</w:t>
      </w:r>
      <w:r>
        <w:t xml:space="preserve"> </w:t>
      </w:r>
      <w:r>
        <w:t xml:space="preserve">-</w:t>
      </w:r>
      <w:r>
        <w:t xml:space="preserve"> </w:t>
      </w:r>
      <w:r>
        <w:t xml:space="preserve">“Als je morgen een exporteerbaar rapport had met SLO-kerndoeldekking per leerling, wat zou dat betekenen voor de volgende inspectie?”</w:t>
      </w:r>
      <w:r>
        <w:t xml:space="preserve"> </w:t>
      </w:r>
      <w:r>
        <w:t xml:space="preserve">-</w:t>
      </w:r>
      <w:r>
        <w:t xml:space="preserve"> </w:t>
      </w:r>
      <w:r>
        <w:t xml:space="preserve">“Als je docenten volgende maand al live konden gaan met een complete DG-methode zonder extra voorbereiding, wat zou dat opleveren?”</w:t>
      </w:r>
      <w:r>
        <w:t xml:space="preserve"> </w:t>
      </w:r>
      <w:r>
        <w:t xml:space="preserve">-</w:t>
      </w:r>
      <w:r>
        <w:t xml:space="preserve"> </w:t>
      </w:r>
      <w:r>
        <w:t xml:space="preserve">“Als je directie weet dat jullie AI Act hoog-risico-classificatie transparant is gedocumenteerd, hoe helpt dat in bestuursgesprekken?”</w:t>
      </w:r>
    </w:p>
    <w:bookmarkEnd w:id="51"/>
    <w:bookmarkStart w:id="52" w:name="X6424b6e99e5bf5ad24f500e9f12a08f21e1057c"/>
    <w:p>
      <w:pPr>
        <w:pStyle w:val="Heading3"/>
      </w:pPr>
      <w:r>
        <w:t xml:space="preserve">9.3 Challenger-aanpak: Teach-Tailor-Take control</w:t>
      </w:r>
    </w:p>
    <w:p>
      <w:pPr>
        <w:pStyle w:val="FirstParagraph"/>
      </w:pPr>
      <w:r>
        <w:rPr>
          <w:b/>
          <w:bCs/>
        </w:rPr>
        <w:t xml:space="preserve">Teach (onderwijs de koper over iets wat die niet wist):</w:t>
      </w:r>
      <w:r>
        <w:t xml:space="preserve"> </w:t>
      </w:r>
      <w:r>
        <w:t xml:space="preserve">De reframe die DGSkills kan bieden:</w:t>
      </w:r>
      <w:r>
        <w:t xml:space="preserve"> </w:t>
      </w:r>
      <w:r>
        <w:t xml:space="preserve">“De meeste scholen denken dat ze klaar zijn voor de SLO-verplichtingen als ze iets doen met digitale geletterdheid. Maar de inspectie kijkt niet naar activiteiten — ze kijkt naar aantoonbare leeruitkomsten per kerndoel. Dat is een fundamenteel ander bewijs.”</w:t>
      </w:r>
      <w:r>
        <w:t xml:space="preserve"> </w:t>
      </w:r>
      <w:r>
        <w:t xml:space="preserve">Dit is informatie die de koper helpt het probleem scherper te formuleren — en die tegelijk laat zien waarom DGSkills de oplossing is.</w:t>
      </w:r>
    </w:p>
    <w:p>
      <w:pPr>
        <w:pStyle w:val="BodyText"/>
      </w:pPr>
      <w:r>
        <w:rPr>
          <w:b/>
          <w:bCs/>
        </w:rPr>
        <w:t xml:space="preserve">Tailor (pas de boodschap aan de rol aan):</w:t>
      </w:r>
      <w:r>
        <w:t xml:space="preserve"> </w:t>
      </w:r>
      <w:r>
        <w:t xml:space="preserve">De directeur krijgt de compliance+risico-boodschap. De teamleider krijgt de werkdrukverlaging+implementatiegemak-boodschap. De docent krijgt de praktisch-in-de-klas-boodschap. Zelfde product, drie fundamenteel verschillende ingangshoeken.</w:t>
      </w:r>
    </w:p>
    <w:p>
      <w:pPr>
        <w:pStyle w:val="BodyText"/>
      </w:pPr>
      <w:r>
        <w:rPr>
          <w:b/>
          <w:bCs/>
        </w:rPr>
        <w:t xml:space="preserve">Take control (stuur naar een beslissing):</w:t>
      </w:r>
      <w:r>
        <w:t xml:space="preserve"> </w:t>
      </w:r>
      <w:r>
        <w:t xml:space="preserve">Na de SPIN-discovery en de Teach-fase is de logische volgende stap niet</w:t>
      </w:r>
      <w:r>
        <w:t xml:space="preserve"> </w:t>
      </w:r>
      <w:r>
        <w:t xml:space="preserve">“stuur me een offerte”</w:t>
      </w:r>
      <w:r>
        <w:t xml:space="preserve">, maar:</w:t>
      </w:r>
      <w:r>
        <w:t xml:space="preserve"> </w:t>
      </w:r>
      <w:r>
        <w:t xml:space="preserve">“Laten we een pilot doen. Acht weken, tot 150 leerlingen, €1.500 — en als jullie daarna een jaarcontract nemen, verrekenen we die €1.500 volledig. Zo is het risico voor jullie minimaal.”</w:t>
      </w:r>
      <w:r>
        <w:t xml:space="preserve"> </w:t>
      </w:r>
      <w:r>
        <w:t xml:space="preserve">Dit is een actieve sturing naar een concrete, risicoarme beslissing.</w:t>
      </w:r>
    </w:p>
    <w:bookmarkEnd w:id="52"/>
    <w:bookmarkStart w:id="53" w:name="bezwaarbehandeling"/>
    <w:p>
      <w:pPr>
        <w:pStyle w:val="Heading3"/>
      </w:pPr>
      <w:r>
        <w:t xml:space="preserve">9.4 Bezwaarbehandeling</w:t>
      </w:r>
    </w:p>
    <w:p>
      <w:pPr>
        <w:pStyle w:val="FirstParagraph"/>
      </w:pPr>
      <w:r>
        <w:t xml:space="preserve">De meest voorkomende bezwaren en de theoretisch onderbouwde respons: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Bezwaar</w:t>
            </w:r>
          </w:p>
        </w:tc>
        <w:tc>
          <w:tcPr/>
          <w:p>
            <w:pPr>
              <w:pStyle w:val="Compact"/>
            </w:pPr>
            <w:r>
              <w:t xml:space="preserve">Type bezwaar</w:t>
            </w:r>
          </w:p>
        </w:tc>
        <w:tc>
          <w:tcPr/>
          <w:p>
            <w:pPr>
              <w:pStyle w:val="Compact"/>
            </w:pPr>
            <w:r>
              <w:t xml:space="preserve">Respons-aanpak</w:t>
            </w:r>
          </w:p>
        </w:tc>
      </w:tr>
      <w:tr>
        <w:tc>
          <w:tcPr/>
          <w:p>
            <w:pPr>
              <w:pStyle w:val="Compact"/>
            </w:pPr>
            <w:r>
              <w:t xml:space="preserve">“We hebben al een methode”</w:t>
            </w:r>
          </w:p>
        </w:tc>
        <w:tc>
          <w:tcPr/>
          <w:p>
            <w:pPr>
              <w:pStyle w:val="Compact"/>
            </w:pPr>
            <w:r>
              <w:t xml:space="preserve">Compatibiliteitsbezwaar (Rogers)</w:t>
            </w:r>
          </w:p>
        </w:tc>
        <w:tc>
          <w:tcPr/>
          <w:p>
            <w:pPr>
              <w:pStyle w:val="Compact"/>
            </w:pPr>
            <w:r>
              <w:t xml:space="preserve">Stel de Situatie/Probleem-vragen: Welke methode? Hoe toont die SLO-kerndoeldekking aan? Dekt die AI-geletterdheid (kerndoel 21D)?</w:t>
            </w:r>
          </w:p>
        </w:tc>
      </w:tr>
      <w:tr>
        <w:tc>
          <w:tcPr/>
          <w:p>
            <w:pPr>
              <w:pStyle w:val="Compact"/>
            </w:pPr>
            <w:r>
              <w:t xml:space="preserve">“We hebben geen budget”</w:t>
            </w:r>
          </w:p>
        </w:tc>
        <w:tc>
          <w:tcPr/>
          <w:p>
            <w:pPr>
              <w:pStyle w:val="Compact"/>
            </w:pPr>
            <w:r>
              <w:t xml:space="preserve">Kopersmacht-bezwaar (Porter)</w:t>
            </w:r>
          </w:p>
        </w:tc>
        <w:tc>
          <w:tcPr/>
          <w:p>
            <w:pPr>
              <w:pStyle w:val="Compact"/>
            </w:pPr>
            <w:r>
              <w:t xml:space="preserve">Herankering: een jaarlicentie School-S is ~€17,80–35,50/leerling — in de orde van een lesboek, maar met dashboard, updates en support. Pilot is €1.500 en 100% verrekenbaar.</w:t>
            </w:r>
          </w:p>
        </w:tc>
      </w:tr>
      <w:tr>
        <w:tc>
          <w:tcPr/>
          <w:p>
            <w:pPr>
              <w:pStyle w:val="Compact"/>
            </w:pPr>
            <w:r>
              <w:t xml:space="preserve">“We zijn niet zo ver met DG”</w:t>
            </w:r>
          </w:p>
        </w:tc>
        <w:tc>
          <w:tcPr/>
          <w:p>
            <w:pPr>
              <w:pStyle w:val="Compact"/>
            </w:pPr>
            <w:r>
              <w:t xml:space="preserve">Adoptie-bezwaar (Rogers: complexiteit)</w:t>
            </w:r>
          </w:p>
        </w:tc>
        <w:tc>
          <w:tcPr/>
          <w:p>
            <w:pPr>
              <w:pStyle w:val="Compact"/>
            </w:pPr>
            <w:r>
              <w:t xml:space="preserve">Compatibiliteitsargument: het platform past in elke les, ook als DG nu minimaal is. Dat is juist waarom scholen beginnen.</w:t>
            </w:r>
          </w:p>
        </w:tc>
      </w:tr>
      <w:tr>
        <w:tc>
          <w:tcPr/>
          <w:p>
            <w:pPr>
              <w:pStyle w:val="Compact"/>
            </w:pPr>
            <w:r>
              <w:t xml:space="preserve">“Is dit AVG-proof?”</w:t>
            </w:r>
          </w:p>
        </w:tc>
        <w:tc>
          <w:tcPr/>
          <w:p>
            <w:pPr>
              <w:pStyle w:val="Compact"/>
            </w:pPr>
            <w:r>
              <w:t xml:space="preserve">Gatekeeper-bezwaar (Webster &amp; Wind)</w:t>
            </w:r>
          </w:p>
        </w:tc>
        <w:tc>
          <w:tcPr/>
          <w:p>
            <w:pPr>
              <w:pStyle w:val="Compact"/>
            </w:pPr>
            <w:r>
              <w:t xml:space="preserve">Compliance-pack: DPIA, verwerkersovereenkomst, AVG-documentatie, data in NL. Direct versturen.</w:t>
            </w:r>
          </w:p>
        </w:tc>
      </w:tr>
      <w:tr>
        <w:tc>
          <w:tcPr/>
          <w:p>
            <w:pPr>
              <w:pStyle w:val="Compact"/>
            </w:pPr>
            <w:r>
              <w:t xml:space="preserve">“Wat doen andere scholen ermee?”</w:t>
            </w:r>
          </w:p>
        </w:tc>
        <w:tc>
          <w:tcPr/>
          <w:p>
            <w:pPr>
              <w:pStyle w:val="Compact"/>
            </w:pPr>
            <w:r>
              <w:t xml:space="preserve">Observability-bezwaar (Rogers)</w:t>
            </w:r>
          </w:p>
        </w:tc>
        <w:tc>
          <w:tcPr/>
          <w:p>
            <w:pPr>
              <w:pStyle w:val="Compact"/>
            </w:pPr>
            <w:r>
              <w:t xml:space="preserve">Casestudy / referentie versturen. Als die nog niet beschikbaar is: pilot aanbieden als de referentie.</w:t>
            </w:r>
          </w:p>
        </w:tc>
      </w:tr>
    </w:tbl>
    <w:p>
      <w:pPr>
        <w:pStyle w:val="BodyText"/>
      </w:pPr>
      <w:r>
        <w:t xml:space="preserve">Zie</w:t>
      </w:r>
      <w:r>
        <w:t xml:space="preserve"> </w:t>
      </w:r>
      <w:r>
        <w:rPr>
          <w:rStyle w:val="VerbatimChar"/>
        </w:rPr>
        <w:t xml:space="preserve">sales-assets/07-bezwarenkaart-dgskills.md</w:t>
      </w:r>
      <w:r>
        <w:t xml:space="preserve"> </w:t>
      </w:r>
      <w:r>
        <w:t xml:space="preserve">en</w:t>
      </w:r>
      <w:r>
        <w:t xml:space="preserve"> </w:t>
      </w:r>
      <w:r>
        <w:rPr>
          <w:rStyle w:val="VerbatimChar"/>
        </w:rPr>
        <w:t xml:space="preserve">sales-assets/02-demo-script-vo.md</w:t>
      </w:r>
      <w:r>
        <w:t xml:space="preserve"> </w:t>
      </w:r>
      <w:r>
        <w:t xml:space="preserve">voor de uitgewerkte scripts.</w:t>
      </w:r>
    </w:p>
    <w:p>
      <w:r>
        <w:pict>
          <v:rect style="width:0;height:1.5pt" o:hralign="center" o:hrstd="t" o:hr="t"/>
        </w:pict>
      </w:r>
    </w:p>
    <w:bookmarkEnd w:id="53"/>
    <w:bookmarkEnd w:id="54"/>
    <w:bookmarkStart w:id="57" w:name="funnel-en-pijplijn"/>
    <w:p>
      <w:pPr>
        <w:pStyle w:val="Heading2"/>
      </w:pPr>
      <w:r>
        <w:t xml:space="preserve">10. Funnel en pijplijn</w:t>
      </w:r>
    </w:p>
    <w:bookmarkStart w:id="55" w:name="aida-aarrr-gecombineerde-funnel"/>
    <w:p>
      <w:pPr>
        <w:pStyle w:val="Heading3"/>
      </w:pPr>
      <w:r>
        <w:t xml:space="preserve">10.1 AIDA + AARRR — gecombineerde funnel</w:t>
      </w:r>
    </w:p>
    <w:p>
      <w:pPr>
        <w:pStyle w:val="FirstParagraph"/>
      </w:pPr>
      <w:r>
        <w:t xml:space="preserve">DGSkills gebruikt een gecombineerde funnel die AIDA (Strong, 1925; ontwerp ~1898 door St. Elmo Lewis) en AARRR-pirate metrics (McClure, 2007) integreert, aangepast aan de B2B-schoolverkoopcyclus: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AIDA-fase</w:t>
            </w:r>
          </w:p>
        </w:tc>
        <w:tc>
          <w:tcPr/>
          <w:p>
            <w:pPr>
              <w:pStyle w:val="Compact"/>
            </w:pPr>
            <w:r>
              <w:t xml:space="preserve">AARRR-equivalent</w:t>
            </w:r>
          </w:p>
        </w:tc>
        <w:tc>
          <w:tcPr/>
          <w:p>
            <w:pPr>
              <w:pStyle w:val="Compact"/>
            </w:pPr>
            <w:r>
              <w:t xml:space="preserve">Wat er in deze fase gebeurt</w:t>
            </w:r>
          </w:p>
        </w:tc>
        <w:tc>
          <w:tcPr/>
          <w:p>
            <w:pPr>
              <w:pStyle w:val="Compact"/>
            </w:pPr>
            <w:r>
              <w:t xml:space="preserve">Primaire actie</w:t>
            </w:r>
          </w:p>
        </w:tc>
      </w:tr>
      <w:tr>
        <w:tc>
          <w:tcPr/>
          <w:p>
            <w:pPr>
              <w:pStyle w:val="Compact"/>
            </w:pPr>
            <w:r>
              <w:rPr>
                <w:b/>
                <w:bCs/>
              </w:rPr>
              <w:t xml:space="preserve">Awareness</w:t>
            </w:r>
          </w:p>
        </w:tc>
        <w:tc>
          <w:tcPr/>
          <w:p>
            <w:pPr>
              <w:pStyle w:val="Compact"/>
            </w:pPr>
            <w:r>
              <w:t xml:space="preserve">Acquisition</w:t>
            </w:r>
          </w:p>
        </w:tc>
        <w:tc>
          <w:tcPr/>
          <w:p>
            <w:pPr>
              <w:pStyle w:val="Compact"/>
            </w:pPr>
            <w:r>
              <w:t xml:space="preserve">School/docent ontdekt DGSkills via LinkedIn, webinar, IPON, mond-tot-mondreclame</w:t>
            </w:r>
          </w:p>
        </w:tc>
        <w:tc>
          <w:tcPr/>
          <w:p>
            <w:pPr>
              <w:pStyle w:val="Compact"/>
            </w:pPr>
            <w:r>
              <w:t xml:space="preserve">Follow LinkedIn-profiel, webinar-aanmelding, websitebezoek</w:t>
            </w:r>
          </w:p>
        </w:tc>
      </w:tr>
      <w:tr>
        <w:tc>
          <w:tcPr/>
          <w:p>
            <w:pPr>
              <w:pStyle w:val="Compact"/>
            </w:pPr>
            <w:r>
              <w:rPr>
                <w:b/>
                <w:bCs/>
              </w:rPr>
              <w:t xml:space="preserve">Interest</w:t>
            </w:r>
          </w:p>
        </w:tc>
        <w:tc>
          <w:tcPr/>
          <w:p>
            <w:pPr>
              <w:pStyle w:val="Compact"/>
            </w:pPr>
            <w:r>
              <w:t xml:space="preserve">Activation</w:t>
            </w:r>
          </w:p>
        </w:tc>
        <w:tc>
          <w:tcPr/>
          <w:p>
            <w:pPr>
              <w:pStyle w:val="Compact"/>
            </w:pPr>
            <w:r>
              <w:t xml:space="preserve">Docent vraagt demo aan of meldt zich aan voor proefmissie</w:t>
            </w:r>
          </w:p>
        </w:tc>
        <w:tc>
          <w:tcPr/>
          <w:p>
            <w:pPr>
              <w:pStyle w:val="Compact"/>
            </w:pPr>
            <w:r>
              <w:t xml:space="preserve">Demo geplanned, demo gegeven, SLO-mapping verstuurd</w:t>
            </w:r>
          </w:p>
        </w:tc>
      </w:tr>
      <w:tr>
        <w:tc>
          <w:tcPr/>
          <w:p>
            <w:pPr>
              <w:pStyle w:val="Compact"/>
            </w:pPr>
            <w:r>
              <w:rPr>
                <w:b/>
                <w:bCs/>
              </w:rPr>
              <w:t xml:space="preserve">Desire</w:t>
            </w:r>
          </w:p>
        </w:tc>
        <w:tc>
          <w:tcPr/>
          <w:p>
            <w:pPr>
              <w:pStyle w:val="Compact"/>
            </w:pPr>
            <w:r>
              <w:t xml:space="preserve">Retention</w:t>
            </w:r>
          </w:p>
        </w:tc>
        <w:tc>
          <w:tcPr/>
          <w:p>
            <w:pPr>
              <w:pStyle w:val="Compact"/>
            </w:pPr>
            <w:r>
              <w:t xml:space="preserve">School doet pilot: 8 weken, ≤150 lln, begeleiding</w:t>
            </w:r>
          </w:p>
        </w:tc>
        <w:tc>
          <w:tcPr/>
          <w:p>
            <w:pPr>
              <w:pStyle w:val="Compact"/>
            </w:pPr>
            <w:r>
              <w:t xml:space="preserve">Pilot actief, wk4+wk8 evaluatiemoment, rapportage gedeeld</w:t>
            </w:r>
          </w:p>
        </w:tc>
      </w:tr>
      <w:tr>
        <w:tc>
          <w:tcPr/>
          <w:p>
            <w:pPr>
              <w:pStyle w:val="Compact"/>
            </w:pPr>
            <w:r>
              <w:rPr>
                <w:b/>
                <w:bCs/>
              </w:rPr>
              <w:t xml:space="preserve">Action</w:t>
            </w:r>
          </w:p>
        </w:tc>
        <w:tc>
          <w:tcPr/>
          <w:p>
            <w:pPr>
              <w:pStyle w:val="Compact"/>
            </w:pPr>
            <w:r>
              <w:t xml:space="preserve">Revenue</w:t>
            </w:r>
          </w:p>
        </w:tc>
        <w:tc>
          <w:tcPr/>
          <w:p>
            <w:pPr>
              <w:pStyle w:val="Compact"/>
            </w:pPr>
            <w:r>
              <w:t xml:space="preserve">School sluit jaarcontract</w:t>
            </w:r>
          </w:p>
        </w:tc>
        <w:tc>
          <w:tcPr/>
          <w:p>
            <w:pPr>
              <w:pStyle w:val="Compact"/>
            </w:pPr>
            <w:r>
              <w:t xml:space="preserve">Contract getekend, €1.500 verrekend</w:t>
            </w:r>
          </w:p>
        </w:tc>
      </w:tr>
      <w:tr>
        <w:tc>
          <w:tcPr/>
          <w:p>
            <w:pPr>
              <w:pStyle w:val="Compact"/>
            </w:pPr>
            <w:r>
              <w:rPr>
                <w:i/>
                <w:iCs/>
              </w:rPr>
              <w:t xml:space="preserve">(Loyaliteit)</w:t>
            </w:r>
          </w:p>
        </w:tc>
        <w:tc>
          <w:tcPr/>
          <w:p>
            <w:pPr>
              <w:pStyle w:val="Compact"/>
            </w:pPr>
            <w:r>
              <w:t xml:space="preserve">Referral</w:t>
            </w:r>
          </w:p>
        </w:tc>
        <w:tc>
          <w:tcPr/>
          <w:p>
            <w:pPr>
              <w:pStyle w:val="Compact"/>
            </w:pPr>
            <w:r>
              <w:t xml:space="preserve">School beveelt DGSkills aan bij collega’s</w:t>
            </w:r>
          </w:p>
        </w:tc>
        <w:tc>
          <w:tcPr/>
          <w:p>
            <w:pPr>
              <w:pStyle w:val="Compact"/>
            </w:pPr>
            <w:r>
              <w:t xml:space="preserve">Actieve referral-uitvraag; casestudy gepubliceerd</w:t>
            </w:r>
          </w:p>
        </w:tc>
      </w:tr>
    </w:tbl>
    <w:bookmarkEnd w:id="55"/>
    <w:bookmarkStart w:id="56" w:name="Xa66357814c6acea3692f08b3b251e42c482c05e"/>
    <w:p>
      <w:pPr>
        <w:pStyle w:val="Heading3"/>
      </w:pPr>
      <w:r>
        <w:t xml:space="preserve">10.2 Sales-pijplijn — fasen en kwalificatierubric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Definitie</w:t>
            </w:r>
          </w:p>
        </w:tc>
        <w:tc>
          <w:tcPr/>
          <w:p>
            <w:pPr>
              <w:pStyle w:val="Compact"/>
            </w:pPr>
            <w:r>
              <w:t xml:space="preserve">Criteria om door te stromen</w:t>
            </w:r>
          </w:p>
        </w:tc>
        <w:tc>
          <w:tcPr/>
          <w:p>
            <w:pPr>
              <w:pStyle w:val="Compact"/>
            </w:pPr>
            <w:r>
              <w:t xml:space="preserve">Actie</w:t>
            </w:r>
          </w:p>
        </w:tc>
      </w:tr>
      <w:tr>
        <w:tc>
          <w:tcPr/>
          <w:p>
            <w:pPr>
              <w:pStyle w:val="Compact"/>
            </w:pPr>
            <w:r>
              <w:rPr>
                <w:b/>
                <w:bCs/>
              </w:rPr>
              <w:t xml:space="preserve">Lead</w:t>
            </w:r>
          </w:p>
        </w:tc>
        <w:tc>
          <w:tcPr/>
          <w:p>
            <w:pPr>
              <w:pStyle w:val="Compact"/>
            </w:pPr>
            <w:r>
              <w:t xml:space="preserve">Eerste contact of inbound interesse</w:t>
            </w:r>
          </w:p>
        </w:tc>
        <w:tc>
          <w:tcPr/>
          <w:p>
            <w:pPr>
              <w:pStyle w:val="Compact"/>
            </w:pPr>
            <w:r>
              <w:t xml:space="preserve">Schooltype klopt (VO); heeft een DG-context (uur/vak)</w:t>
            </w:r>
          </w:p>
        </w:tc>
        <w:tc>
          <w:tcPr/>
          <w:p>
            <w:pPr>
              <w:pStyle w:val="Compact"/>
            </w:pPr>
            <w:r>
              <w:t xml:space="preserve">Toevoegen aan CRM; warme follow-up binnen 48 uur</w:t>
            </w:r>
          </w:p>
        </w:tc>
      </w:tr>
      <w:tr>
        <w:tc>
          <w:tcPr/>
          <w:p>
            <w:pPr>
              <w:pStyle w:val="Compact"/>
            </w:pPr>
            <w:r>
              <w:rPr>
                <w:b/>
                <w:bCs/>
              </w:rPr>
              <w:t xml:space="preserve">MQL</w:t>
            </w:r>
            <w:r>
              <w:t xml:space="preserve"> </w:t>
            </w:r>
            <w:r>
              <w:t xml:space="preserve">(Marketing Qualified Lead)</w:t>
            </w:r>
          </w:p>
        </w:tc>
        <w:tc>
          <w:tcPr/>
          <w:p>
            <w:pPr>
              <w:pStyle w:val="Compact"/>
            </w:pPr>
            <w:r>
              <w:t xml:space="preserve">Lead die actief interesse toont</w:t>
            </w:r>
          </w:p>
        </w:tc>
        <w:tc>
          <w:tcPr/>
          <w:p>
            <w:pPr>
              <w:pStyle w:val="Compact"/>
            </w:pPr>
            <w:r>
              <w:t xml:space="preserve">Heeft webinar bijgewoond, demo aangevraagd, of reageerde op content</w:t>
            </w:r>
          </w:p>
        </w:tc>
        <w:tc>
          <w:tcPr/>
          <w:p>
            <w:pPr>
              <w:pStyle w:val="Compact"/>
            </w:pPr>
            <w:r>
              <w:t xml:space="preserve">Demo inplannen</w:t>
            </w:r>
          </w:p>
        </w:tc>
      </w:tr>
      <w:tr>
        <w:tc>
          <w:tcPr/>
          <w:p>
            <w:pPr>
              <w:pStyle w:val="Compact"/>
            </w:pPr>
            <w:r>
              <w:rPr>
                <w:b/>
                <w:bCs/>
              </w:rPr>
              <w:t xml:space="preserve">SQL</w:t>
            </w:r>
            <w:r>
              <w:t xml:space="preserve"> </w:t>
            </w:r>
            <w:r>
              <w:t xml:space="preserve">(Sales Qualified Lead)</w:t>
            </w:r>
          </w:p>
        </w:tc>
        <w:tc>
          <w:tcPr/>
          <w:p>
            <w:pPr>
              <w:pStyle w:val="Compact"/>
            </w:pPr>
            <w:r>
              <w:t xml:space="preserve">Gekwalificeerd voor verkoop</w:t>
            </w:r>
          </w:p>
        </w:tc>
        <w:tc>
          <w:tcPr/>
          <w:p>
            <w:pPr>
              <w:pStyle w:val="Compact"/>
            </w:pPr>
            <w:r>
              <w:t xml:space="preserve">Heeft ≥1 eigenaar/trekker; heeft ≥2 docenten; directie is bereid doel vooraf goed te keuren; school is in onderbouw VO lj1-2</w:t>
            </w:r>
          </w:p>
        </w:tc>
        <w:tc>
          <w:tcPr/>
          <w:p>
            <w:pPr>
              <w:pStyle w:val="Compact"/>
            </w:pPr>
            <w:r>
              <w:t xml:space="preserve">SPIN-discovery doen; pilotvoorstel sturen</w:t>
            </w:r>
          </w:p>
        </w:tc>
      </w:tr>
      <w:tr>
        <w:tc>
          <w:tcPr/>
          <w:p>
            <w:pPr>
              <w:pStyle w:val="Compact"/>
            </w:pPr>
            <w:r>
              <w:rPr>
                <w:b/>
                <w:bCs/>
              </w:rPr>
              <w:t xml:space="preserve">Demo</w:t>
            </w:r>
          </w:p>
        </w:tc>
        <w:tc>
          <w:tcPr/>
          <w:p>
            <w:pPr>
              <w:pStyle w:val="Compact"/>
            </w:pPr>
            <w:r>
              <w:t xml:space="preserve">Demo gegeven</w:t>
            </w:r>
          </w:p>
        </w:tc>
        <w:tc>
          <w:tcPr/>
          <w:p>
            <w:pPr>
              <w:pStyle w:val="Compact"/>
            </w:pPr>
            <w:r>
              <w:t xml:space="preserve">Demo-feedback positief; SLO-mapping gedeeld; compliance-pack verstuurd</w:t>
            </w:r>
          </w:p>
        </w:tc>
        <w:tc>
          <w:tcPr/>
          <w:p>
            <w:pPr>
              <w:pStyle w:val="Compact"/>
            </w:pPr>
            <w:r>
              <w:t xml:space="preserve">Pilotcontract opstellen</w:t>
            </w:r>
          </w:p>
        </w:tc>
      </w:tr>
      <w:tr>
        <w:tc>
          <w:tcPr/>
          <w:p>
            <w:pPr>
              <w:pStyle w:val="Compact"/>
            </w:pPr>
            <w:r>
              <w:rPr>
                <w:b/>
                <w:bCs/>
              </w:rPr>
              <w:t xml:space="preserve">Pilot</w:t>
            </w:r>
          </w:p>
        </w:tc>
        <w:tc>
          <w:tcPr/>
          <w:p>
            <w:pPr>
              <w:pStyle w:val="Compact"/>
            </w:pPr>
            <w:r>
              <w:t xml:space="preserve">Pilot gestart</w:t>
            </w:r>
          </w:p>
        </w:tc>
        <w:tc>
          <w:tcPr/>
          <w:p>
            <w:pPr>
              <w:pStyle w:val="Compact"/>
            </w:pPr>
            <w:r>
              <w:t xml:space="preserve">Contract getekend; ≤€1.500 betaald; leerlingen ingeladen</w:t>
            </w:r>
          </w:p>
        </w:tc>
        <w:tc>
          <w:tcPr/>
          <w:p>
            <w:pPr>
              <w:pStyle w:val="Compact"/>
            </w:pPr>
            <w:r>
              <w:t xml:space="preserve">Begeleiden op wk4+wk8 evaluatiemomenten</w:t>
            </w:r>
          </w:p>
        </w:tc>
      </w:tr>
      <w:tr>
        <w:tc>
          <w:tcPr/>
          <w:p>
            <w:pPr>
              <w:pStyle w:val="Compact"/>
            </w:pPr>
            <w:r>
              <w:rPr>
                <w:b/>
                <w:bCs/>
              </w:rPr>
              <w:t xml:space="preserve">Contract</w:t>
            </w:r>
          </w:p>
        </w:tc>
        <w:tc>
          <w:tcPr/>
          <w:p>
            <w:pPr>
              <w:pStyle w:val="Compact"/>
            </w:pPr>
            <w:r>
              <w:t xml:space="preserve">Jaarcontract getekend</w:t>
            </w:r>
          </w:p>
        </w:tc>
        <w:tc>
          <w:tcPr/>
          <w:p>
            <w:pPr>
              <w:pStyle w:val="Compact"/>
            </w:pPr>
            <w:r>
              <w:t xml:space="preserve">Pilot-evaluatie positief; directie akkoord</w:t>
            </w:r>
          </w:p>
        </w:tc>
        <w:tc>
          <w:tcPr/>
          <w:p>
            <w:pPr>
              <w:pStyle w:val="Compact"/>
            </w:pPr>
            <w:r>
              <w:t xml:space="preserve">Contract opstellen; pilot verrekenen; onboarding afronden</w:t>
            </w:r>
          </w:p>
        </w:tc>
      </w:tr>
      <w:tr>
        <w:tc>
          <w:tcPr/>
          <w:p>
            <w:pPr>
              <w:pStyle w:val="Compact"/>
            </w:pPr>
            <w:r>
              <w:rPr>
                <w:b/>
                <w:bCs/>
              </w:rPr>
              <w:t xml:space="preserve">Renewal</w:t>
            </w:r>
          </w:p>
        </w:tc>
        <w:tc>
          <w:tcPr/>
          <w:p>
            <w:pPr>
              <w:pStyle w:val="Compact"/>
            </w:pPr>
            <w:r>
              <w:t xml:space="preserve">Verlenging</w:t>
            </w:r>
          </w:p>
        </w:tc>
        <w:tc>
          <w:tcPr/>
          <w:p>
            <w:pPr>
              <w:pStyle w:val="Compact"/>
            </w:pPr>
            <w:r>
              <w:t xml:space="preserve">Contract loopt af; gebruik actief gebleven</w:t>
            </w:r>
          </w:p>
        </w:tc>
        <w:tc>
          <w:tcPr/>
          <w:p>
            <w:pPr>
              <w:pStyle w:val="Compact"/>
            </w:pPr>
            <w:r>
              <w:t xml:space="preserve">Renewalgesprek 8-10 weken voor afloopdat; eventueel upgrade</w:t>
            </w:r>
          </w:p>
        </w:tc>
      </w:tr>
    </w:tbl>
    <w:p>
      <w:pPr>
        <w:pStyle w:val="BodyText"/>
      </w:pPr>
      <w:r>
        <w:rPr>
          <w:b/>
          <w:bCs/>
        </w:rPr>
        <w:t xml:space="preserve">SQL-kwalificatierubric</w:t>
      </w:r>
      <w:r>
        <w:t xml:space="preserve"> </w:t>
      </w:r>
      <w:r>
        <w:t xml:space="preserve">(direct afgeleid van de verplichte pilotcriteria in</w:t>
      </w:r>
      <w:r>
        <w:t xml:space="preserve"> </w:t>
      </w:r>
      <w:r>
        <w:rPr>
          <w:rStyle w:val="VerbatimChar"/>
        </w:rPr>
        <w:t xml:space="preserve">00-niche-definition-first-3-pilots.md</w:t>
      </w:r>
      <w:r>
        <w:t xml:space="preserve">):</w:t>
      </w:r>
    </w:p>
    <w:p>
      <w:pPr>
        <w:pStyle w:val="BodyText"/>
      </w:pPr>
      <w:r>
        <w:t xml:space="preserve">Een lead is SQL als:</w:t>
      </w:r>
      <w:r>
        <w:t xml:space="preserve"> </w:t>
      </w:r>
      <w:r>
        <w:t xml:space="preserve">- [ ] Er is minimaal één interne eigenaar/trekker aanwezig</w:t>
      </w:r>
      <w:r>
        <w:t xml:space="preserve"> </w:t>
      </w:r>
      <w:r>
        <w:t xml:space="preserve">- [ ] Minimaal twee docenten zijn bereid het platform te gebruiken</w:t>
      </w:r>
      <w:r>
        <w:t xml:space="preserve"> </w:t>
      </w:r>
      <w:r>
        <w:t xml:space="preserve">- [ ] School heeft twee evaluatiemomenten (wk4 + wk8) in de agenda</w:t>
      </w:r>
      <w:r>
        <w:t xml:space="preserve"> </w:t>
      </w:r>
      <w:r>
        <w:t xml:space="preserve">- [ ] Directie is bereid de pilotdoelen vooraf goed te keuren</w:t>
      </w:r>
      <w:r>
        <w:t xml:space="preserve"> </w:t>
      </w:r>
      <w:r>
        <w:t xml:space="preserve">- [ ] School bedient onderbouw VO (lj1-2)</w:t>
      </w:r>
    </w:p>
    <w:p>
      <w:pPr>
        <w:pStyle w:val="BodyText"/>
      </w:pPr>
      <w:r>
        <w:t xml:space="preserve">Zie</w:t>
      </w:r>
      <w:r>
        <w:t xml:space="preserve"> </w:t>
      </w:r>
      <w:r>
        <w:rPr>
          <w:rStyle w:val="VerbatimChar"/>
        </w:rPr>
        <w:t xml:space="preserve">05-weekly-kpi-dashboard-rhythm.md</w:t>
      </w:r>
      <w:r>
        <w:t xml:space="preserve"> </w:t>
      </w:r>
      <w:r>
        <w:t xml:space="preserve">en</w:t>
      </w:r>
      <w:r>
        <w:t xml:space="preserve"> </w:t>
      </w:r>
      <w:r>
        <w:rPr>
          <w:rStyle w:val="VerbatimChar"/>
        </w:rPr>
        <w:t xml:space="preserve">03-pilot-cohort-playbook.md</w:t>
      </w:r>
      <w:r>
        <w:t xml:space="preserve"> </w:t>
      </w:r>
      <w:r>
        <w:t xml:space="preserve">voor de operationele uitwerking van pijplijn-tracking en pilotbegeleiding.</w:t>
      </w:r>
    </w:p>
    <w:p>
      <w:r>
        <w:pict>
          <v:rect style="width:0;height:1.5pt" o:hralign="center" o:hrstd="t" o:hr="t"/>
        </w:pict>
      </w:r>
    </w:p>
    <w:bookmarkEnd w:id="56"/>
    <w:bookmarkEnd w:id="57"/>
    <w:bookmarkStart w:id="61" w:name="prijs-en-waarde"/>
    <w:p>
      <w:pPr>
        <w:pStyle w:val="Heading2"/>
      </w:pPr>
      <w:r>
        <w:t xml:space="preserve">11. Prijs en waarde</w:t>
      </w:r>
    </w:p>
    <w:bookmarkStart w:id="58" w:name="value-based-pricing-kotler-keller-2006"/>
    <w:p>
      <w:pPr>
        <w:pStyle w:val="Heading3"/>
      </w:pPr>
      <w:r>
        <w:t xml:space="preserve">11.1 Value-based pricing (Kotler &amp; Keller, 2006)</w:t>
      </w:r>
    </w:p>
    <w:p>
      <w:pPr>
        <w:pStyle w:val="FirstParagraph"/>
      </w:pPr>
      <w:r>
        <w:t xml:space="preserve">De prijsstrategie van DGSkills is niet gebaseerd op kostprijs-plus-marge, maar op de</w:t>
      </w:r>
      <w:r>
        <w:t xml:space="preserve"> </w:t>
      </w:r>
      <w:r>
        <w:rPr>
          <w:b/>
          <w:bCs/>
        </w:rPr>
        <w:t xml:space="preserve">waarde die de school ontvangt</w:t>
      </w:r>
      <w:r>
        <w:t xml:space="preserve">. Het referentiepunt is het lesboek: een schoolboek voor digitale geletterdheid kost gemiddeld €15-25 per leerling per jaar. DGSkills School-S (€8.900 voor 251-500 leerlingen) komt neer op</w:t>
      </w:r>
      <w:r>
        <w:t xml:space="preserve"> </w:t>
      </w:r>
      <w:r>
        <w:rPr>
          <w:b/>
          <w:bCs/>
        </w:rPr>
        <w:t xml:space="preserve">~€17,80-35,50 per leerling</w:t>
      </w:r>
      <w:r>
        <w:t xml:space="preserve"> </w:t>
      </w:r>
      <w:r>
        <w:t xml:space="preserve">— vergelijkbaar met of slechts marginaal duurder dan een lesboek, maar met een dynamisch, aantoonbaar platform in plaats van een statisch boek.</w:t>
      </w:r>
    </w:p>
    <w:p>
      <w:pPr>
        <w:pStyle w:val="BodyText"/>
      </w:pPr>
      <w:r>
        <w:t xml:space="preserve">Dit prijsanker is de eerste communicatiestap in elk gesprek over kosten:</w:t>
      </w:r>
      <w:r>
        <w:t xml:space="preserve"> </w:t>
      </w:r>
      <w:r>
        <w:t xml:space="preserve">“voor minder dan een lesboek per leerling krijg je een platform dat de inspectie direct kan zien.”</w:t>
      </w:r>
    </w:p>
    <w:bookmarkEnd w:id="58"/>
    <w:bookmarkStart w:id="59" w:name="Xff8b82408b5eb930c5561d0af7dc066b74e4da6"/>
    <w:p>
      <w:pPr>
        <w:pStyle w:val="Heading3"/>
      </w:pPr>
      <w:r>
        <w:t xml:space="preserve">11.2 Pilot als penetratie-pricing en trialability-hefboom</w:t>
      </w:r>
    </w:p>
    <w:p>
      <w:pPr>
        <w:pStyle w:val="FirstParagraph"/>
      </w:pPr>
      <w:r>
        <w:t xml:space="preserve">De pilotprijs (€1.500 voor 8 weken, ≤150 leerlingen) is bewust laag: het moet directies in staat stellen</w:t>
      </w:r>
      <w:r>
        <w:t xml:space="preserve"> </w:t>
      </w:r>
      <w:r>
        <w:t xml:space="preserve">“ja”</w:t>
      </w:r>
      <w:r>
        <w:t xml:space="preserve"> </w:t>
      </w:r>
      <w:r>
        <w:t xml:space="preserve">te zeggen zonder een uitgebreide inkoopprocedure. De 100%-verrekengarantie bij jaarcontract binnen 30 dagen elimineert het financiële risico volledig en maakt de pilot psychologisch tot een nul-kost-test.</w:t>
      </w:r>
    </w:p>
    <w:p>
      <w:pPr>
        <w:pStyle w:val="BodyText"/>
      </w:pPr>
      <w:r>
        <w:t xml:space="preserve">Dit is de directe vertaling van Rogers’ trialability-principe: verlaag de drempel om te proberen zo laag mogelijk, zodat adoptie versnelt.</w:t>
      </w:r>
    </w:p>
    <w:bookmarkEnd w:id="59"/>
    <w:bookmarkStart w:id="60" w:name="contractkorting-als-retentiemechanisme"/>
    <w:p>
      <w:pPr>
        <w:pStyle w:val="Heading3"/>
      </w:pPr>
      <w:r>
        <w:t xml:space="preserve">11.3 Contractkorting als retentiemechanisme</w:t>
      </w:r>
    </w:p>
    <w:p>
      <w:pPr>
        <w:pStyle w:val="FirstParagraph"/>
      </w:pPr>
      <w:r>
        <w:t xml:space="preserve">De meerjarenkorting (24m: 8%, 36m: 15%) stimuleert langetermijncommitment en verlaagt churns. Vanuit klantperspectief verankert dit het platform in de schoolorganisatie — een school die een 3-jaarscontract heeft, integreert DGSkills structureel in het curriculum.</w:t>
      </w:r>
    </w:p>
    <w:p>
      <w:pPr>
        <w:pStyle w:val="BodyText"/>
      </w:pPr>
      <w:r>
        <w:t xml:space="preserve">Voor de volledige prijstabel: zie</w:t>
      </w:r>
      <w:r>
        <w:t xml:space="preserve"> </w:t>
      </w:r>
      <w:r>
        <w:rPr>
          <w:rStyle w:val="VerbatimChar"/>
        </w:rPr>
        <w:t xml:space="preserve">02-pricing-matrix.md</w:t>
      </w:r>
      <w:r>
        <w:t xml:space="preserve">. Dit plan dupliceert die tabel niet.</w:t>
      </w:r>
    </w:p>
    <w:p>
      <w:r>
        <w:pict>
          <v:rect style="width:0;height:1.5pt" o:hralign="center" o:hrstd="t" o:hr="t"/>
        </w:pict>
      </w:r>
    </w:p>
    <w:bookmarkEnd w:id="60"/>
    <w:bookmarkEnd w:id="61"/>
    <w:bookmarkStart w:id="64" w:name="meetmodel-en-kpis"/>
    <w:p>
      <w:pPr>
        <w:pStyle w:val="Heading2"/>
      </w:pPr>
      <w:r>
        <w:t xml:space="preserve">12. Meetmodel en KPI’s</w:t>
      </w:r>
    </w:p>
    <w:bookmarkStart w:id="62" w:name="north-star-metric"/>
    <w:p>
      <w:pPr>
        <w:pStyle w:val="Heading3"/>
      </w:pPr>
      <w:r>
        <w:t xml:space="preserve">12.1 North Star Metric</w:t>
      </w:r>
    </w:p>
    <w:p>
      <w:pPr>
        <w:pStyle w:val="FirstParagraph"/>
      </w:pPr>
      <w:r>
        <w:rPr>
          <w:b/>
          <w:bCs/>
        </w:rPr>
        <w:t xml:space="preserve">Aantal scholen in actieve jaarcontracten</w:t>
      </w:r>
      <w:r>
        <w:t xml:space="preserve"> </w:t>
      </w:r>
      <w:r>
        <w:t xml:space="preserve">— dit is de enige metriek die alle commerciële doelen integreert: retentie (scholen verlengen), groei (nieuwe contracten), en product-marktfit (scholen die betalen, gebruiken ook).</w:t>
      </w:r>
    </w:p>
    <w:bookmarkEnd w:id="62"/>
    <w:bookmarkStart w:id="63" w:name="leading-vs.-lagging-kpis-per-aarrr-fase"/>
    <w:p>
      <w:pPr>
        <w:pStyle w:val="Heading3"/>
      </w:pPr>
      <w:r>
        <w:t xml:space="preserve">12.2 Leading vs. lagging KPI’s per AARRR-fase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Leading KPI (voorspellend)</w:t>
            </w:r>
          </w:p>
        </w:tc>
        <w:tc>
          <w:tcPr/>
          <w:p>
            <w:pPr>
              <w:pStyle w:val="Compact"/>
            </w:pPr>
            <w:r>
              <w:t xml:space="preserve">Lagging KPI (resultaat)</w:t>
            </w:r>
          </w:p>
        </w:tc>
      </w:tr>
      <w:tr>
        <w:tc>
          <w:tcPr/>
          <w:p>
            <w:pPr>
              <w:pStyle w:val="Compact"/>
            </w:pPr>
            <w:r>
              <w:rPr>
                <w:b/>
                <w:bCs/>
              </w:rPr>
              <w:t xml:space="preserve">Acquisition</w:t>
            </w:r>
          </w:p>
        </w:tc>
        <w:tc>
          <w:tcPr/>
          <w:p>
            <w:pPr>
              <w:pStyle w:val="Compact"/>
            </w:pPr>
            <w:r>
              <w:t xml:space="preserve">LinkedIn-bereik per week; webinar-aanmeldingen</w:t>
            </w:r>
          </w:p>
        </w:tc>
        <w:tc>
          <w:tcPr/>
          <w:p>
            <w:pPr>
              <w:pStyle w:val="Compact"/>
            </w:pPr>
            <w:r>
              <w:t xml:space="preserve">Demo-aanvragen per maand</w:t>
            </w:r>
          </w:p>
        </w:tc>
      </w:tr>
      <w:tr>
        <w:tc>
          <w:tcPr/>
          <w:p>
            <w:pPr>
              <w:pStyle w:val="Compact"/>
            </w:pPr>
            <w:r>
              <w:rPr>
                <w:b/>
                <w:bCs/>
              </w:rPr>
              <w:t xml:space="preserve">Activation</w:t>
            </w:r>
          </w:p>
        </w:tc>
        <w:tc>
          <w:tcPr/>
          <w:p>
            <w:pPr>
              <w:pStyle w:val="Compact"/>
            </w:pPr>
            <w:r>
              <w:t xml:space="preserve">Demo-to-pilot conversieratio</w:t>
            </w:r>
          </w:p>
        </w:tc>
        <w:tc>
          <w:tcPr/>
          <w:p>
            <w:pPr>
              <w:pStyle w:val="Compact"/>
            </w:pPr>
            <w:r>
              <w:t xml:space="preserve">Aantal gestarte pilots per kwartaal</w:t>
            </w:r>
          </w:p>
        </w:tc>
      </w:tr>
      <w:tr>
        <w:tc>
          <w:tcPr/>
          <w:p>
            <w:pPr>
              <w:pStyle w:val="Compact"/>
            </w:pPr>
            <w:r>
              <w:rPr>
                <w:b/>
                <w:bCs/>
              </w:rPr>
              <w:t xml:space="preserve">Retention</w:t>
            </w:r>
          </w:p>
        </w:tc>
        <w:tc>
          <w:tcPr/>
          <w:p>
            <w:pPr>
              <w:pStyle w:val="Compact"/>
            </w:pPr>
            <w:r>
              <w:t xml:space="preserve">Wekelijks actieve leerlingen tijdens pilot (% van totaal)</w:t>
            </w:r>
          </w:p>
        </w:tc>
        <w:tc>
          <w:tcPr/>
          <w:p>
            <w:pPr>
              <w:pStyle w:val="Compact"/>
            </w:pPr>
            <w:r>
              <w:t xml:space="preserve">Pilot-to-contract conversieratio</w:t>
            </w:r>
          </w:p>
        </w:tc>
      </w:tr>
      <w:tr>
        <w:tc>
          <w:tcPr/>
          <w:p>
            <w:pPr>
              <w:pStyle w:val="Compact"/>
            </w:pPr>
            <w:r>
              <w:rPr>
                <w:b/>
                <w:bCs/>
              </w:rPr>
              <w:t xml:space="preserve">Revenue</w:t>
            </w:r>
          </w:p>
        </w:tc>
        <w:tc>
          <w:tcPr/>
          <w:p>
            <w:pPr>
              <w:pStyle w:val="Compact"/>
            </w:pPr>
            <w:r>
              <w:t xml:space="preserve">Open offertes in pijplijn (€ gewogen op conversiekans)</w:t>
            </w:r>
          </w:p>
        </w:tc>
        <w:tc>
          <w:tcPr/>
          <w:p>
            <w:pPr>
              <w:pStyle w:val="Compact"/>
            </w:pPr>
            <w:r>
              <w:t xml:space="preserve">Nieuwe jaarcontracten per kwartaal; MRR/ARR</w:t>
            </w:r>
          </w:p>
        </w:tc>
      </w:tr>
      <w:tr>
        <w:tc>
          <w:tcPr/>
          <w:p>
            <w:pPr>
              <w:pStyle w:val="Compact"/>
            </w:pPr>
            <w:r>
              <w:rPr>
                <w:b/>
                <w:bCs/>
              </w:rPr>
              <w:t xml:space="preserve">Referral</w:t>
            </w:r>
          </w:p>
        </w:tc>
        <w:tc>
          <w:tcPr/>
          <w:p>
            <w:pPr>
              <w:pStyle w:val="Compact"/>
            </w:pPr>
            <w:r>
              <w:t xml:space="preserve">Aantal actieve referral-aanvragen gedaan</w:t>
            </w:r>
          </w:p>
        </w:tc>
        <w:tc>
          <w:tcPr/>
          <w:p>
            <w:pPr>
              <w:pStyle w:val="Compact"/>
            </w:pPr>
            <w:r>
              <w:t xml:space="preserve">Nieuwe leads via referral per kwartaal</w:t>
            </w:r>
          </w:p>
        </w:tc>
      </w:tr>
    </w:tbl>
    <w:p>
      <w:pPr>
        <w:pStyle w:val="BodyText"/>
      </w:pPr>
      <w:r>
        <w:rPr>
          <w:b/>
          <w:bCs/>
        </w:rPr>
        <w:t xml:space="preserve">Onderscheid:</w:t>
      </w:r>
      <w:r>
        <w:t xml:space="preserve"> </w:t>
      </w:r>
      <w:r>
        <w:t xml:space="preserve">Leading KPI’s zijn vroege signalen die direct beïnvloedbaar zijn. Lagging KPI’s zijn de uitkomsten — ze bevestigen of de aanpak werkte, maar zijn niet direct te sturen. Beide zijn nodig; de leading KPI’s zijn het echte stuurinstrument.</w:t>
      </w:r>
    </w:p>
    <w:p>
      <w:pPr>
        <w:pStyle w:val="BodyText"/>
      </w:pPr>
      <w:r>
        <w:t xml:space="preserve">Zie</w:t>
      </w:r>
      <w:r>
        <w:t xml:space="preserve"> </w:t>
      </w:r>
      <w:r>
        <w:rPr>
          <w:rStyle w:val="VerbatimChar"/>
        </w:rPr>
        <w:t xml:space="preserve">05-weekly-kpi-dashboard-rhythm.md</w:t>
      </w:r>
      <w:r>
        <w:t xml:space="preserve"> </w:t>
      </w:r>
      <w:r>
        <w:t xml:space="preserve">voor het operationele dashboard-format en de wekelijkse review-cyclus.</w:t>
      </w:r>
    </w:p>
    <w:p>
      <w:r>
        <w:pict>
          <v:rect style="width:0;height:1.5pt" o:hralign="center" o:hrstd="t" o:hr="t"/>
        </w:pict>
      </w:r>
    </w:p>
    <w:bookmarkEnd w:id="63"/>
    <w:bookmarkEnd w:id="64"/>
    <w:bookmarkStart w:id="71" w:name="risicos-aannames-en-afhankelijkheden"/>
    <w:p>
      <w:pPr>
        <w:pStyle w:val="Heading2"/>
      </w:pPr>
      <w:r>
        <w:t xml:space="preserve">13. Risico’s, aannames en afhankelijkheden</w:t>
      </w:r>
    </w:p>
    <w:bookmarkStart w:id="65" w:name="solo-founder-capaciteit"/>
    <w:p>
      <w:pPr>
        <w:pStyle w:val="Heading3"/>
      </w:pPr>
      <w:r>
        <w:t xml:space="preserve">13.1 Solo-founder-capaciteit</w:t>
      </w:r>
    </w:p>
    <w:p>
      <w:pPr>
        <w:pStyle w:val="FirstParagraph"/>
      </w:pPr>
      <w:r>
        <w:t xml:space="preserve">DGSkills wordt op dit moment gedragen door één persoon die ook als docent werkt (max. 8-10 uur/week voor DGSkills). Dit is de grootste operationele beperking. Elke strategie in dit plan moet passen binnen die capaciteit. Implicatie: kies voor hoge-impact, laagfrequente kanalen (LinkedIn, webinars, directe outreach) boven arbeidsintensieve kanalen (conferenties elk kwartaal, cold calling op schaal). Automatiseer waar mogelijk (e-mailsequenties, webinar-opnames hergebruiken).</w:t>
      </w:r>
    </w:p>
    <w:bookmarkEnd w:id="65"/>
    <w:bookmarkStart w:id="66" w:name="ai-act-compliancegaten-als-claim-risico"/>
    <w:p>
      <w:pPr>
        <w:pStyle w:val="Heading3"/>
      </w:pPr>
      <w:r>
        <w:t xml:space="preserve">13.2 AI Act-compliancegaten als claim-risico</w:t>
      </w:r>
    </w:p>
    <w:p>
      <w:pPr>
        <w:pStyle w:val="FirstParagraph"/>
      </w:pPr>
      <w:r>
        <w:t xml:space="preserve">Art. 14 (menselijk toezicht — docent kan STEP_COMPLETE nog niet overrulen) is nog niet geïmplementeerd. Dit betekent dat DGSkills op dit moment</w:t>
      </w:r>
      <w:r>
        <w:t xml:space="preserve"> </w:t>
      </w:r>
      <w:r>
        <w:rPr>
          <w:i/>
          <w:iCs/>
        </w:rPr>
        <w:t xml:space="preserve">niet</w:t>
      </w:r>
      <w:r>
        <w:t xml:space="preserve"> </w:t>
      </w:r>
      <w:r>
        <w:t xml:space="preserve">mag claimen volledig AI Act-compliant te zijn voor hoog-risico-systemen. Elke communicatie die dit impliciet of expliciet claimt, is een juridisch en reputatierisico. De veilige formule (zie sectie 3) is altijd:</w:t>
      </w:r>
      <w:r>
        <w:t xml:space="preserve"> </w:t>
      </w:r>
      <w:r>
        <w:t xml:space="preserve">“hoog-risico classificatie bevestigd; DPIA, risicoregister en AI-transparantie zijn gedocumenteerd; resterende verplichtingen worden voor de wettelijke deadline afgerond.”</w:t>
      </w:r>
      <w:r>
        <w:t xml:space="preserve"> </w:t>
      </w:r>
      <w:r>
        <w:t xml:space="preserve">Deze eerlijkheid is zelf een onderscheidend kenmerk.</w:t>
      </w:r>
    </w:p>
    <w:bookmarkEnd w:id="66"/>
    <w:bookmarkStart w:id="67" w:name="langere-slo-runway-vs.-urgentie-framing"/>
    <w:p>
      <w:pPr>
        <w:pStyle w:val="Heading3"/>
      </w:pPr>
      <w:r>
        <w:t xml:space="preserve">13.3 Langere SLO-runway vs. urgentie-framing</w:t>
      </w:r>
    </w:p>
    <w:p>
      <w:pPr>
        <w:pStyle w:val="FirstParagraph"/>
      </w:pPr>
      <w:r>
        <w:t xml:space="preserve">De wettelijke invoering van SLO-kerndoelen is 1 augustus 2027; handhaving door de inspectie start pas per 2031. Dit geeft scholen meer tijd dan ze denken, wat het lastiger maakt om urgentie te framen. De juiste aanpak is niet</w:t>
      </w:r>
      <w:r>
        <w:t xml:space="preserve"> </w:t>
      </w:r>
      <w:r>
        <w:t xml:space="preserve">“je moet nú handelen vanwege de deadline”</w:t>
      </w:r>
      <w:r>
        <w:t xml:space="preserve">, maar:</w:t>
      </w:r>
      <w:r>
        <w:t xml:space="preserve"> </w:t>
      </w:r>
      <w:r>
        <w:t xml:space="preserve">“scholen die nú structureel beginnen, staan in 2031 comfortabel voor de inspectie — en lopen al 5 jaar leerling-data voor terwijl laat-starters dan nog aan het beginnen zijn.”</w:t>
      </w:r>
      <w:r>
        <w:t xml:space="preserve"> </w:t>
      </w:r>
      <w:r>
        <w:t xml:space="preserve">Vroeg beginnen levert een kwalitatief voordeel, geen nalevingsvoordeel op korte termijn.</w:t>
      </w:r>
    </w:p>
    <w:bookmarkEnd w:id="67"/>
    <w:bookmarkStart w:id="68" w:name="onverifieerde-marktomvang"/>
    <w:p>
      <w:pPr>
        <w:pStyle w:val="Heading3"/>
      </w:pPr>
      <w:r>
        <w:t xml:space="preserve">13.4 Onverifieerde marktomvang</w:t>
      </w:r>
    </w:p>
    <w:p>
      <w:pPr>
        <w:pStyle w:val="FirstParagraph"/>
      </w:pPr>
      <w:r>
        <w:t xml:space="preserve">De totale EdTech-marktomvang in NL is niet betrouwbaar te kwantificeren op basis van publiek beschikbare bronnen. De Radboud-studie (jan. 2026) noemt ~475 EdTech-bedrijven en ~13.000 banen, maar geen totale marktomvang in euro’s. Commerciële marktrapporten (GlobalData) zijn achter een betaalmuur en rapporteren in USD. Dit plan baseert geen omzetprognoses op marktomvang-schattingen.</w:t>
      </w:r>
    </w:p>
    <w:bookmarkEnd w:id="68"/>
    <w:bookmarkStart w:id="69" w:name="Xbe438e051607d18d73b8789b81380c634342f12"/>
    <w:p>
      <w:pPr>
        <w:pStyle w:val="Heading3"/>
      </w:pPr>
      <w:r>
        <w:t xml:space="preserve">13.5 Afhankelijkheid van eerste referentiecase</w:t>
      </w:r>
    </w:p>
    <w:p>
      <w:pPr>
        <w:pStyle w:val="FirstParagraph"/>
      </w:pPr>
      <w:r>
        <w:t xml:space="preserve">De stap van Early Adopters naar Early Majority (Moore’s kloof) vereist een geloofwaardige referentiecase. Zonder een gepubliceerde casestudy van een bestaande klant is de Challenger</w:t>
      </w:r>
      <w:r>
        <w:t xml:space="preserve"> </w:t>
      </w:r>
      <w:r>
        <w:t xml:space="preserve">“Teach”</w:t>
      </w:r>
      <w:r>
        <w:t xml:space="preserve">-aanpak het enige wapen. De eerste twee of drie pilotscholen zijn dus niet alleen commercieel waardevol — ze zijn strategisch essentieel voor de fase-2-versnelling. Alles in de aanpak moet gericht zijn op het succesvol afronden van die eerste pilots.</w:t>
      </w:r>
    </w:p>
    <w:bookmarkEnd w:id="69"/>
    <w:bookmarkStart w:id="70" w:name="slo-dekkingsgat-23b-digitaal-welzijn"/>
    <w:p>
      <w:pPr>
        <w:pStyle w:val="Heading3"/>
      </w:pPr>
      <w:r>
        <w:t xml:space="preserve">13.6 SLO-dekkingsgat 23B Digitaal Welzijn</w:t>
      </w:r>
    </w:p>
    <w:p>
      <w:pPr>
        <w:pStyle w:val="FirstParagraph"/>
      </w:pPr>
      <w:r>
        <w:t xml:space="preserve">Kerndoel 23B (Digitaal Welzijn) heeft op dit moment slechts 12 missies — de dunste dekking van alle negen kerndoelen. Dit is een potentieel kwetsbaarheidspunt in de SLO-aantoonbaarheid-claim als een school of inspecteur specifiek op dat kerndoel inzoomt. Zie</w:t>
      </w:r>
      <w:r>
        <w:t xml:space="preserve"> </w:t>
      </w:r>
      <w:r>
        <w:rPr>
          <w:rStyle w:val="VerbatimChar"/>
        </w:rPr>
        <w:t xml:space="preserve">slo-gap-analyse.md</w:t>
      </w:r>
      <w:r>
        <w:t xml:space="preserve"> </w:t>
      </w:r>
      <w:r>
        <w:t xml:space="preserve">voor de gedetailleerde analyse. Prioriteer uitbreiding van 23B vóór brede marktintrede.</w:t>
      </w:r>
    </w:p>
    <w:p>
      <w:r>
        <w:pict>
          <v:rect style="width:0;height:1.5pt" o:hralign="center" o:hrstd="t" o:hr="t"/>
        </w:pict>
      </w:r>
    </w:p>
    <w:bookmarkEnd w:id="70"/>
    <w:bookmarkEnd w:id="71"/>
    <w:bookmarkStart w:id="74" w:name="bronnenlijst"/>
    <w:p>
      <w:pPr>
        <w:pStyle w:val="Heading2"/>
      </w:pPr>
      <w:r>
        <w:t xml:space="preserve">14. Bronnenlijst</w:t>
      </w:r>
    </w:p>
    <w:bookmarkStart w:id="72" w:name="academische-en-professionele-literatuur"/>
    <w:p>
      <w:pPr>
        <w:pStyle w:val="Heading3"/>
      </w:pPr>
      <w:r>
        <w:t xml:space="preserve">Academische en professionele literatuur</w:t>
      </w:r>
    </w:p>
    <w:p>
      <w:pPr>
        <w:pStyle w:val="FirstParagraph"/>
      </w:pPr>
      <w:r>
        <w:t xml:space="preserve">Booms, B.H., &amp; Bitner, M.J. (1981). Marketing strategies and organization structures for service firms. In J. Donnelly &amp; W. George (Eds.),</w:t>
      </w:r>
      <w:r>
        <w:t xml:space="preserve"> </w:t>
      </w:r>
      <w:r>
        <w:rPr>
          <w:i/>
          <w:iCs/>
        </w:rPr>
        <w:t xml:space="preserve">Marketing of Services</w:t>
      </w:r>
      <w:r>
        <w:t xml:space="preserve"> </w:t>
      </w:r>
      <w:r>
        <w:t xml:space="preserve">(pp. 47–51). American Marketing Association.</w:t>
      </w:r>
    </w:p>
    <w:p>
      <w:pPr>
        <w:pStyle w:val="BodyText"/>
      </w:pPr>
      <w:r>
        <w:t xml:space="preserve">Bonoma, T.V. (1982). Major sales: Who really does the buying?</w:t>
      </w:r>
      <w:r>
        <w:t xml:space="preserve"> </w:t>
      </w:r>
      <w:r>
        <w:rPr>
          <w:i/>
          <w:iCs/>
        </w:rPr>
        <w:t xml:space="preserve">Harvard Business Review</w:t>
      </w:r>
      <w:r>
        <w:t xml:space="preserve">, 60(3), 111–119.</w:t>
      </w:r>
    </w:p>
    <w:p>
      <w:pPr>
        <w:pStyle w:val="BodyText"/>
      </w:pPr>
      <w:r>
        <w:t xml:space="preserve">Christensen, C.M., Hall, T., Dillon, K., &amp; Duncan, D.S. (2016).</w:t>
      </w:r>
      <w:r>
        <w:t xml:space="preserve"> </w:t>
      </w:r>
      <w:r>
        <w:rPr>
          <w:i/>
          <w:iCs/>
        </w:rPr>
        <w:t xml:space="preserve">Competing Against Luck: The Story of Innovation and Customer Choice</w:t>
      </w:r>
      <w:r>
        <w:t xml:space="preserve">. HarperBusiness.</w:t>
      </w:r>
    </w:p>
    <w:p>
      <w:pPr>
        <w:pStyle w:val="BodyText"/>
      </w:pPr>
      <w:r>
        <w:t xml:space="preserve">Dixon, M., &amp; Adamson, B. (2011).</w:t>
      </w:r>
      <w:r>
        <w:t xml:space="preserve"> </w:t>
      </w:r>
      <w:r>
        <w:rPr>
          <w:i/>
          <w:iCs/>
        </w:rPr>
        <w:t xml:space="preserve">The Challenger Sale: Taking Control of the Customer Conversation</w:t>
      </w:r>
      <w:r>
        <w:t xml:space="preserve">. Portfolio/Penguin.</w:t>
      </w:r>
    </w:p>
    <w:p>
      <w:pPr>
        <w:pStyle w:val="BodyText"/>
      </w:pPr>
      <w:r>
        <w:t xml:space="preserve">Halligan, B., &amp; Shah, D. (2009).</w:t>
      </w:r>
      <w:r>
        <w:t xml:space="preserve"> </w:t>
      </w:r>
      <w:r>
        <w:rPr>
          <w:i/>
          <w:iCs/>
        </w:rPr>
        <w:t xml:space="preserve">Inbound Marketing: Get Found Using Google, Social Media, and Blogs</w:t>
      </w:r>
      <w:r>
        <w:t xml:space="preserve">. Wiley.</w:t>
      </w:r>
    </w:p>
    <w:p>
      <w:pPr>
        <w:pStyle w:val="BodyText"/>
      </w:pPr>
      <w:r>
        <w:t xml:space="preserve">Kim, W.C., &amp; Mauborgne, R. (2005).</w:t>
      </w:r>
      <w:r>
        <w:t xml:space="preserve"> </w:t>
      </w:r>
      <w:r>
        <w:rPr>
          <w:i/>
          <w:iCs/>
        </w:rPr>
        <w:t xml:space="preserve">Blue Ocean Strategy: How to Create Uncontested Market Space and Make the Competition Irrelevant</w:t>
      </w:r>
      <w:r>
        <w:t xml:space="preserve">. Harvard Business School Press.</w:t>
      </w:r>
    </w:p>
    <w:p>
      <w:pPr>
        <w:pStyle w:val="BodyText"/>
      </w:pPr>
      <w:r>
        <w:t xml:space="preserve">Kotler, P., &amp; Keller, K.L. (2006).</w:t>
      </w:r>
      <w:r>
        <w:t xml:space="preserve"> </w:t>
      </w:r>
      <w:r>
        <w:rPr>
          <w:i/>
          <w:iCs/>
        </w:rPr>
        <w:t xml:space="preserve">Marketing Management</w:t>
      </w:r>
      <w:r>
        <w:t xml:space="preserve"> </w:t>
      </w:r>
      <w:r>
        <w:t xml:space="preserve">(12e ed.). Pearson Prentice Hall.</w:t>
      </w:r>
    </w:p>
    <w:p>
      <w:pPr>
        <w:pStyle w:val="BodyText"/>
      </w:pPr>
      <w:r>
        <w:t xml:space="preserve">McClure, D. (2007).</w:t>
      </w:r>
      <w:r>
        <w:t xml:space="preserve"> </w:t>
      </w:r>
      <w:r>
        <w:rPr>
          <w:i/>
          <w:iCs/>
        </w:rPr>
        <w:t xml:space="preserve">Startup metrics for pirates: AARRR</w:t>
      </w:r>
      <w:r>
        <w:t xml:space="preserve">. Presentatie 500 Hats. Geraadpleegd via slideshare.</w:t>
      </w:r>
    </w:p>
    <w:p>
      <w:pPr>
        <w:pStyle w:val="BodyText"/>
      </w:pPr>
      <w:r>
        <w:t xml:space="preserve">Moore, G.A. (1991/2014).</w:t>
      </w:r>
      <w:r>
        <w:t xml:space="preserve"> </w:t>
      </w:r>
      <w:r>
        <w:rPr>
          <w:i/>
          <w:iCs/>
        </w:rPr>
        <w:t xml:space="preserve">Crossing the Chasm: Marketing and Selling Disruptive Products to Mainstream Customers</w:t>
      </w:r>
      <w:r>
        <w:t xml:space="preserve"> </w:t>
      </w:r>
      <w:r>
        <w:t xml:space="preserve">(3e ed.). HarperBusiness.</w:t>
      </w:r>
    </w:p>
    <w:p>
      <w:pPr>
        <w:pStyle w:val="BodyText"/>
      </w:pPr>
      <w:r>
        <w:t xml:space="preserve">Osterwalder, A., Pigneur, Y., Bernarda, G., &amp; Smith, A. (2014).</w:t>
      </w:r>
      <w:r>
        <w:t xml:space="preserve"> </w:t>
      </w:r>
      <w:r>
        <w:rPr>
          <w:i/>
          <w:iCs/>
        </w:rPr>
        <w:t xml:space="preserve">Value Proposition Design: How to Create Products and Services Customers Want</w:t>
      </w:r>
      <w:r>
        <w:t xml:space="preserve">. Wiley.</w:t>
      </w:r>
    </w:p>
    <w:p>
      <w:pPr>
        <w:pStyle w:val="BodyText"/>
      </w:pPr>
      <w:r>
        <w:t xml:space="preserve">Porter, M.E. (1980).</w:t>
      </w:r>
      <w:r>
        <w:t xml:space="preserve"> </w:t>
      </w:r>
      <w:r>
        <w:rPr>
          <w:i/>
          <w:iCs/>
        </w:rPr>
        <w:t xml:space="preserve">Competitive Strategy: Techniques for Analyzing Industries and Competitors</w:t>
      </w:r>
      <w:r>
        <w:t xml:space="preserve">. Free Press.</w:t>
      </w:r>
    </w:p>
    <w:p>
      <w:pPr>
        <w:pStyle w:val="BodyText"/>
      </w:pPr>
      <w:r>
        <w:t xml:space="preserve">Porter, M.E. (1985).</w:t>
      </w:r>
      <w:r>
        <w:t xml:space="preserve"> </w:t>
      </w:r>
      <w:r>
        <w:rPr>
          <w:i/>
          <w:iCs/>
        </w:rPr>
        <w:t xml:space="preserve">Competitive Advantage: Creating and Sustaining Superior Performance</w:t>
      </w:r>
      <w:r>
        <w:t xml:space="preserve">. Free Press.</w:t>
      </w:r>
    </w:p>
    <w:p>
      <w:pPr>
        <w:pStyle w:val="BodyText"/>
      </w:pPr>
      <w:r>
        <w:t xml:space="preserve">Pulizzi, J. (2015).</w:t>
      </w:r>
      <w:r>
        <w:t xml:space="preserve"> </w:t>
      </w:r>
      <w:r>
        <w:rPr>
          <w:i/>
          <w:iCs/>
        </w:rPr>
        <w:t xml:space="preserve">Content Inc.: How Entrepreneurs Use Content to Build Massive Audiences and Create Radically Successful Businesses</w:t>
      </w:r>
      <w:r>
        <w:t xml:space="preserve">. McGraw-Hill.</w:t>
      </w:r>
    </w:p>
    <w:p>
      <w:pPr>
        <w:pStyle w:val="BodyText"/>
      </w:pPr>
      <w:r>
        <w:t xml:space="preserve">Rackham, N. (1988).</w:t>
      </w:r>
      <w:r>
        <w:t xml:space="preserve"> </w:t>
      </w:r>
      <w:r>
        <w:rPr>
          <w:i/>
          <w:iCs/>
        </w:rPr>
        <w:t xml:space="preserve">SPIN Selling</w:t>
      </w:r>
      <w:r>
        <w:t xml:space="preserve">. McGraw-Hill.</w:t>
      </w:r>
    </w:p>
    <w:p>
      <w:pPr>
        <w:pStyle w:val="BodyText"/>
      </w:pPr>
      <w:r>
        <w:t xml:space="preserve">Ries, A., &amp; Trout, J. (1981).</w:t>
      </w:r>
      <w:r>
        <w:t xml:space="preserve"> </w:t>
      </w:r>
      <w:r>
        <w:rPr>
          <w:i/>
          <w:iCs/>
        </w:rPr>
        <w:t xml:space="preserve">Positioning: The Battle for Your Mind</w:t>
      </w:r>
      <w:r>
        <w:t xml:space="preserve">. McGraw-Hill.</w:t>
      </w:r>
    </w:p>
    <w:p>
      <w:pPr>
        <w:pStyle w:val="BodyText"/>
      </w:pPr>
      <w:r>
        <w:t xml:space="preserve">Rogers, E.M. (2003).</w:t>
      </w:r>
      <w:r>
        <w:t xml:space="preserve"> </w:t>
      </w:r>
      <w:r>
        <w:rPr>
          <w:i/>
          <w:iCs/>
        </w:rPr>
        <w:t xml:space="preserve">Diffusion of Innovations</w:t>
      </w:r>
      <w:r>
        <w:t xml:space="preserve"> </w:t>
      </w:r>
      <w:r>
        <w:t xml:space="preserve">(5e ed.). Free Press.</w:t>
      </w:r>
    </w:p>
    <w:p>
      <w:pPr>
        <w:pStyle w:val="BodyText"/>
      </w:pPr>
      <w:r>
        <w:t xml:space="preserve">Strong, E.K. (1925).</w:t>
      </w:r>
      <w:r>
        <w:t xml:space="preserve"> </w:t>
      </w:r>
      <w:r>
        <w:rPr>
          <w:i/>
          <w:iCs/>
        </w:rPr>
        <w:t xml:space="preserve">The Psychology of Selling</w:t>
      </w:r>
      <w:r>
        <w:t xml:space="preserve">. McGraw-Hill.</w:t>
      </w:r>
    </w:p>
    <w:p>
      <w:pPr>
        <w:pStyle w:val="BodyText"/>
      </w:pPr>
      <w:r>
        <w:t xml:space="preserve">Ulwick, A.W. (2016).</w:t>
      </w:r>
      <w:r>
        <w:t xml:space="preserve"> </w:t>
      </w:r>
      <w:r>
        <w:rPr>
          <w:i/>
          <w:iCs/>
        </w:rPr>
        <w:t xml:space="preserve">Jobs to be Done: Theory to Practice</w:t>
      </w:r>
      <w:r>
        <w:t xml:space="preserve">. Idea Bite Press.</w:t>
      </w:r>
    </w:p>
    <w:p>
      <w:pPr>
        <w:pStyle w:val="BodyText"/>
      </w:pPr>
      <w:r>
        <w:t xml:space="preserve">Webster, F.E., &amp; Wind, Y. (1972). A general model for understanding organizational buying behavior.</w:t>
      </w:r>
      <w:r>
        <w:t xml:space="preserve"> </w:t>
      </w:r>
      <w:r>
        <w:rPr>
          <w:i/>
          <w:iCs/>
        </w:rPr>
        <w:t xml:space="preserve">Journal of Marketing</w:t>
      </w:r>
      <w:r>
        <w:t xml:space="preserve">, 36(2), 12–19.</w:t>
      </w:r>
    </w:p>
    <w:bookmarkEnd w:id="72"/>
    <w:bookmarkStart w:id="73" w:name="nederlandse-en-eu-bronnen"/>
    <w:p>
      <w:pPr>
        <w:pStyle w:val="Heading3"/>
      </w:pPr>
      <w:r>
        <w:t xml:space="preserve">Nederlandse en EU-bronnen</w:t>
      </w:r>
    </w:p>
    <w:p>
      <w:pPr>
        <w:pStyle w:val="FirstParagraph"/>
      </w:pPr>
      <w:r>
        <w:t xml:space="preserve">Fingerspitz. (2024).</w:t>
      </w:r>
      <w:r>
        <w:t xml:space="preserve"> </w:t>
      </w:r>
      <w:r>
        <w:rPr>
          <w:i/>
          <w:iCs/>
        </w:rPr>
        <w:t xml:space="preserve">LinkedIn gebruikersstatistieken in Nederland</w:t>
      </w:r>
      <w:r>
        <w:t xml:space="preserve">. Geraadpleegd van https://fingerspitz.nl/blog/linkedin-gebruikersstatistieken-in-nederland/</w:t>
      </w:r>
    </w:p>
    <w:p>
      <w:pPr>
        <w:pStyle w:val="BodyText"/>
      </w:pPr>
      <w:r>
        <w:t xml:space="preserve">Gibson, Dunn &amp; Crutcher. (2025).</w:t>
      </w:r>
      <w:r>
        <w:t xml:space="preserve"> </w:t>
      </w:r>
      <w:r>
        <w:rPr>
          <w:i/>
          <w:iCs/>
        </w:rPr>
        <w:t xml:space="preserve">EU AI Act Omnibus: Agreement postponed high-risk deadlines and other key changes</w:t>
      </w:r>
      <w:r>
        <w:t xml:space="preserve">. Geraadpleegd van https://www.gibsondunn.com/eu-ai-act-omnibus-agreement-postponed-high-risk-deadlines-and-other-key-changes/</w:t>
      </w:r>
    </w:p>
    <w:p>
      <w:pPr>
        <w:pStyle w:val="BodyText"/>
      </w:pPr>
      <w:r>
        <w:t xml:space="preserve">IPON. (2026).</w:t>
      </w:r>
      <w:r>
        <w:t xml:space="preserve"> </w:t>
      </w:r>
      <w:r>
        <w:rPr>
          <w:i/>
          <w:iCs/>
        </w:rPr>
        <w:t xml:space="preserve">IPON EdTech-beurs, Jaarbeurs Utrecht</w:t>
      </w:r>
      <w:r>
        <w:t xml:space="preserve">. Geraadpleegd van https://www.ipon.nl</w:t>
      </w:r>
    </w:p>
    <w:p>
      <w:pPr>
        <w:pStyle w:val="BodyText"/>
      </w:pPr>
      <w:r>
        <w:t xml:space="preserve">Kennisnet. (z.d.).</w:t>
      </w:r>
      <w:r>
        <w:t xml:space="preserve"> </w:t>
      </w:r>
      <w:r>
        <w:rPr>
          <w:i/>
          <w:iCs/>
        </w:rPr>
        <w:t xml:space="preserve">Digitale geletterdheid: vier domeinen</w:t>
      </w:r>
      <w:r>
        <w:t xml:space="preserve">. Geraadpleegd van https://www.kennisnet.nl/digitale-geletterdheid/</w:t>
      </w:r>
    </w:p>
    <w:p>
      <w:pPr>
        <w:pStyle w:val="BodyText"/>
      </w:pPr>
      <w:r>
        <w:t xml:space="preserve">NOLAI / Nationaal Groeifonds. (2024).</w:t>
      </w:r>
      <w:r>
        <w:t xml:space="preserve"> </w:t>
      </w:r>
      <w:r>
        <w:rPr>
          <w:i/>
          <w:iCs/>
        </w:rPr>
        <w:t xml:space="preserve">National Growth Fund finances further AI innovation by NOLAI</w:t>
      </w:r>
      <w:r>
        <w:t xml:space="preserve"> </w:t>
      </w:r>
      <w:r>
        <w:t xml:space="preserve">(€63 miljoen, 2024; initieel €80 miljoen 2022). Geraadpleegd van https://www.ru.nl/en/about-us/news/national-growth-fund-finances-further-ai-innovation-by-nolai</w:t>
      </w:r>
    </w:p>
    <w:p>
      <w:pPr>
        <w:pStyle w:val="BodyText"/>
      </w:pPr>
      <w:r>
        <w:t xml:space="preserve">Radboud Universiteit. (2026, januari).</w:t>
      </w:r>
      <w:r>
        <w:t xml:space="preserve"> </w:t>
      </w:r>
      <w:r>
        <w:rPr>
          <w:i/>
          <w:iCs/>
        </w:rPr>
        <w:t xml:space="preserve">Bouwen aan een toekomstbestendig EdTech-ecosysteem in Nederland</w:t>
      </w:r>
      <w:r>
        <w:t xml:space="preserve"> </w:t>
      </w:r>
      <w:r>
        <w:t xml:space="preserve">(~475 EdTech-bedrijven, ~13.000 banen). Geraadpleegd van https://www.ru.nl/sites/default/files/2026-01/rapport_bouwen_aan_een_toekomstbestendig_edtech_ecosysteem.pdf</w:t>
      </w:r>
    </w:p>
    <w:p>
      <w:pPr>
        <w:pStyle w:val="BodyText"/>
      </w:pPr>
      <w:r>
        <w:t xml:space="preserve">SLO. (2025, september).</w:t>
      </w:r>
      <w:r>
        <w:t xml:space="preserve"> </w:t>
      </w:r>
      <w:r>
        <w:rPr>
          <w:i/>
          <w:iCs/>
        </w:rPr>
        <w:t xml:space="preserve">Definitieve conceptkerndoelen digitale geletterdheid VO</w:t>
      </w:r>
      <w:r>
        <w:t xml:space="preserve"> </w:t>
      </w:r>
      <w:r>
        <w:t xml:space="preserve">(wettelijke invoering 1 augustus 2027). Geraadpleegd van https://www.slo.nl/thema/meer/actualisatie-kerndoelen-examenprogramma/actualisatie-kerndoelen/definitieve-conceptkerndoelen-digitale/</w:t>
      </w:r>
    </w:p>
    <w:p>
      <w:pPr>
        <w:pStyle w:val="BodyText"/>
      </w:pPr>
      <w:r>
        <w:t xml:space="preserve">Voion. (2025).</w:t>
      </w:r>
      <w:r>
        <w:t xml:space="preserve"> </w:t>
      </w:r>
      <w:r>
        <w:rPr>
          <w:i/>
          <w:iCs/>
        </w:rPr>
        <w:t xml:space="preserve">Trendrapportage arbeidsmarkt leraren PO, VO en MBO 2025</w:t>
      </w:r>
      <w:r>
        <w:t xml:space="preserve"> </w:t>
      </w:r>
      <w:r>
        <w:t xml:space="preserve">(lerarentekort VO ~2.200 FTE schooljaar 2024/2025). Geraadpleegd van https://www.voion.nl/publicaties/trendrapportage-arbeidsmarkt-leraren-po-vo-en-mbo-2025</w:t>
      </w:r>
    </w:p>
    <w:p>
      <w:pPr>
        <w:pStyle w:val="BodyText"/>
      </w:pPr>
      <w:r>
        <w:t xml:space="preserve">Europees Parlement &amp; Raad. (2024).</w:t>
      </w:r>
      <w:r>
        <w:t xml:space="preserve"> </w:t>
      </w:r>
      <w:r>
        <w:rPr>
          <w:i/>
          <w:iCs/>
        </w:rPr>
        <w:t xml:space="preserve">Verordening (EU) 2024/1689 — AI Act, Annex III (hoog-risico classificatie onderwijs, punt 3b)</w:t>
      </w:r>
      <w:r>
        <w:t xml:space="preserve">. Geraadpleegd van https://artificialintelligenceact.eu/annex/3/</w:t>
      </w:r>
    </w:p>
    <w:p>
      <w:r>
        <w:pict>
          <v:rect style="width:0;height:1.5pt" o:hralign="center" o:hrstd="t" o:hr="t"/>
        </w:pict>
      </w:r>
    </w:p>
    <w:bookmarkEnd w:id="73"/>
    <w:bookmarkEnd w:id="74"/>
    <w:bookmarkStart w:id="75" w:name="bijlage-aansturingsmatrix"/>
    <w:p>
      <w:pPr>
        <w:pStyle w:val="Heading2"/>
      </w:pPr>
      <w:r>
        <w:t xml:space="preserve">15. Bijlage: Aansturingsmatrix</w:t>
      </w:r>
    </w:p>
    <w:p>
      <w:pPr>
        <w:pStyle w:val="FirstParagraph"/>
      </w:pPr>
      <w:r>
        <w:t xml:space="preserve">Strategische keuzes in dit plan worden uitgevoerd via de bestaande tactische documenten. Deze matrix koppelt de twee lagen.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Strategische keuze (dit plan)</w:t>
            </w:r>
          </w:p>
        </w:tc>
        <w:tc>
          <w:tcPr/>
          <w:p>
            <w:pPr>
              <w:pStyle w:val="Compact"/>
            </w:pPr>
            <w:r>
              <w:t xml:space="preserve">Tactisch uitvoeringsdocument</w:t>
            </w:r>
          </w:p>
        </w:tc>
      </w:tr>
      <w:tr>
        <w:tc>
          <w:tcPr/>
          <w:p>
            <w:pPr>
              <w:pStyle w:val="Compact"/>
            </w:pPr>
            <w:r>
              <w:t xml:space="preserve">Beachhead-definitie: onderbouw VO lj1-2 vmbo-t/havo, pilotcriteria</w:t>
            </w:r>
          </w:p>
        </w:tc>
        <w:tc>
          <w:tcPr/>
          <w:p>
            <w:pPr>
              <w:pStyle w:val="Compact"/>
            </w:pPr>
            <w:r>
              <w:rPr>
                <w:rStyle w:val="VerbatimChar"/>
              </w:rPr>
              <w:t xml:space="preserve">00-niche-definition-first-3-pilots.md</w:t>
            </w:r>
          </w:p>
        </w:tc>
      </w:tr>
      <w:tr>
        <w:tc>
          <w:tcPr/>
          <w:p>
            <w:pPr>
              <w:pStyle w:val="Compact"/>
            </w:pPr>
            <w:r>
              <w:t xml:space="preserve">Aanbodstructuur en SLA per schoolgrootte</w:t>
            </w:r>
          </w:p>
        </w:tc>
        <w:tc>
          <w:tcPr/>
          <w:p>
            <w:pPr>
              <w:pStyle w:val="Compact"/>
            </w:pPr>
            <w:r>
              <w:rPr>
                <w:rStyle w:val="VerbatimChar"/>
              </w:rPr>
              <w:t xml:space="preserve">01-offer-packages-and-sla.md</w:t>
            </w:r>
          </w:p>
        </w:tc>
      </w:tr>
      <w:tr>
        <w:tc>
          <w:tcPr/>
          <w:p>
            <w:pPr>
              <w:pStyle w:val="Compact"/>
            </w:pPr>
            <w:r>
              <w:t xml:space="preserve">Prijsstelling value-based, pilot-penetratie, contractkorting</w:t>
            </w:r>
          </w:p>
        </w:tc>
        <w:tc>
          <w:tcPr/>
          <w:p>
            <w:pPr>
              <w:pStyle w:val="Compact"/>
            </w:pPr>
            <w:r>
              <w:rPr>
                <w:rStyle w:val="VerbatimChar"/>
              </w:rPr>
              <w:t xml:space="preserve">02-pricing-matrix.md</w:t>
            </w:r>
          </w:p>
        </w:tc>
      </w:tr>
      <w:tr>
        <w:tc>
          <w:tcPr/>
          <w:p>
            <w:pPr>
              <w:pStyle w:val="Compact"/>
            </w:pPr>
            <w:r>
              <w:t xml:space="preserve">Pilotstructuur als trialability-hefboom; wk4+wk8 evaluatie</w:t>
            </w:r>
          </w:p>
        </w:tc>
        <w:tc>
          <w:tcPr/>
          <w:p>
            <w:pPr>
              <w:pStyle w:val="Compact"/>
            </w:pPr>
            <w:r>
              <w:rPr>
                <w:rStyle w:val="VerbatimChar"/>
              </w:rPr>
              <w:t xml:space="preserve">03-pilot-cohort-playbook.md</w:t>
            </w:r>
          </w:p>
        </w:tc>
      </w:tr>
      <w:tr>
        <w:tc>
          <w:tcPr/>
          <w:p>
            <w:pPr>
              <w:pStyle w:val="Compact"/>
            </w:pPr>
            <w:r>
              <w:t xml:space="preserve">KPI-ritme per funnel-fase, North Star, leading/lagging</w:t>
            </w:r>
          </w:p>
        </w:tc>
        <w:tc>
          <w:tcPr/>
          <w:p>
            <w:pPr>
              <w:pStyle w:val="Compact"/>
            </w:pPr>
            <w:r>
              <w:rPr>
                <w:rStyle w:val="VerbatimChar"/>
              </w:rPr>
              <w:t xml:space="preserve">05-weekly-kpi-dashboard-rhythm.md</w:t>
            </w:r>
          </w:p>
        </w:tc>
      </w:tr>
      <w:tr>
        <w:tc>
          <w:tcPr/>
          <w:p>
            <w:pPr>
              <w:pStyle w:val="Compact"/>
            </w:pPr>
            <w:r>
              <w:t xml:space="preserve">USP’s per DMU-rol; persona’s Mark/Annemarie/Sanne</w:t>
            </w:r>
          </w:p>
        </w:tc>
        <w:tc>
          <w:tcPr/>
          <w:p>
            <w:pPr>
              <w:pStyle w:val="Compact"/>
            </w:pPr>
            <w:r>
              <w:rPr>
                <w:rStyle w:val="VerbatimChar"/>
              </w:rPr>
              <w:t xml:space="preserve">07-usp-strategy-and-messaging.md</w:t>
            </w:r>
          </w:p>
        </w:tc>
      </w:tr>
      <w:tr>
        <w:tc>
          <w:tcPr/>
          <w:p>
            <w:pPr>
              <w:pStyle w:val="Compact"/>
            </w:pPr>
            <w:r>
              <w:t xml:space="preserve">Kanaalstrategie: LinkedIn, webinars, directe outreach, conferenties</w:t>
            </w:r>
          </w:p>
        </w:tc>
        <w:tc>
          <w:tcPr/>
          <w:p>
            <w:pPr>
              <w:pStyle w:val="Compact"/>
            </w:pPr>
            <w:r>
              <w:rPr>
                <w:rStyle w:val="VerbatimChar"/>
              </w:rPr>
              <w:t xml:space="preserve">10-marketing-campagne-strategie.md</w:t>
            </w:r>
          </w:p>
        </w:tc>
      </w:tr>
      <w:tr>
        <w:tc>
          <w:tcPr/>
          <w:p>
            <w:pPr>
              <w:pStyle w:val="Compact"/>
            </w:pPr>
            <w:r>
              <w:t xml:space="preserve">GTM-fasering: beachhead → concentrische cirkels → besturen</w:t>
            </w:r>
          </w:p>
        </w:tc>
        <w:tc>
          <w:tcPr/>
          <w:p>
            <w:pPr>
              <w:pStyle w:val="Compact"/>
            </w:pPr>
            <w:r>
              <w:rPr>
                <w:rStyle w:val="VerbatimChar"/>
              </w:rPr>
              <w:t xml:space="preserve">12-go-to-market-strategie.md</w:t>
            </w:r>
          </w:p>
        </w:tc>
      </w:tr>
      <w:tr>
        <w:tc>
          <w:tcPr/>
          <w:p>
            <w:pPr>
              <w:pStyle w:val="Compact"/>
            </w:pPr>
            <w:r>
              <w:t xml:space="preserve">SPIN-structure + Challenger in demo en discovery</w:t>
            </w:r>
          </w:p>
        </w:tc>
        <w:tc>
          <w:tcPr/>
          <w:p>
            <w:pPr>
              <w:pStyle w:val="Compact"/>
            </w:pPr>
            <w:r>
              <w:rPr>
                <w:rStyle w:val="VerbatimChar"/>
              </w:rPr>
              <w:t xml:space="preserve">sales-assets/02-demo-script-vo.md</w:t>
            </w:r>
          </w:p>
        </w:tc>
      </w:tr>
      <w:tr>
        <w:tc>
          <w:tcPr/>
          <w:p>
            <w:pPr>
              <w:pStyle w:val="Compact"/>
            </w:pPr>
            <w:r>
              <w:t xml:space="preserve">Bezwaarbehandeling per DMU-rol</w:t>
            </w:r>
          </w:p>
        </w:tc>
        <w:tc>
          <w:tcPr/>
          <w:p>
            <w:pPr>
              <w:pStyle w:val="Compact"/>
            </w:pPr>
            <w:r>
              <w:rPr>
                <w:rStyle w:val="VerbatimChar"/>
              </w:rPr>
              <w:t xml:space="preserve">sales-assets/07-bezwarenkaart-dgskills.md</w:t>
            </w:r>
          </w:p>
        </w:tc>
      </w:tr>
      <w:tr>
        <w:tc>
          <w:tcPr/>
          <w:p>
            <w:pPr>
              <w:pStyle w:val="Compact"/>
            </w:pPr>
            <w:r>
              <w:t xml:space="preserve">Compliance-communicatie: hoog-risico, actieve voorbereiding</w:t>
            </w:r>
          </w:p>
        </w:tc>
        <w:tc>
          <w:tcPr/>
          <w:p>
            <w:pPr>
              <w:pStyle w:val="Compact"/>
            </w:pPr>
            <w:r>
              <w:rPr>
                <w:rStyle w:val="VerbatimChar"/>
              </w:rPr>
              <w:t xml:space="preserve">compliance/</w:t>
            </w:r>
            <w:r>
              <w:t xml:space="preserve"> </w:t>
            </w:r>
            <w:r>
              <w:t xml:space="preserve">map;</w:t>
            </w:r>
            <w:r>
              <w:t xml:space="preserve"> </w:t>
            </w:r>
            <w:r>
              <w:rPr>
                <w:rStyle w:val="VerbatimChar"/>
              </w:rPr>
              <w:t xml:space="preserve">04-compliance-and-procurement-pack.md</w:t>
            </w:r>
          </w:p>
        </w:tc>
      </w:tr>
      <w:tr>
        <w:tc>
          <w:tcPr/>
          <w:p>
            <w:pPr>
              <w:pStyle w:val="Compact"/>
            </w:pPr>
            <w:r>
              <w:t xml:space="preserve">SLO-dekkingsgat 23B als kwetsbaarheid; uitbreiding prioriteren</w:t>
            </w:r>
          </w:p>
        </w:tc>
        <w:tc>
          <w:tcPr/>
          <w:p>
            <w:pPr>
              <w:pStyle w:val="Compact"/>
            </w:pPr>
            <w:r>
              <w:rPr>
                <w:rStyle w:val="VerbatimChar"/>
              </w:rPr>
              <w:t xml:space="preserve">slo-gap-analyse.md</w:t>
            </w:r>
          </w:p>
        </w:tc>
      </w:tr>
    </w:tbl>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2026-06-17T08:40:23Z</dcterms:created>
  <dcterms:modified xsi:type="dcterms:W3CDTF">2026-06-17T08:40:23Z</dcterms:modified>
</cp:coreProperties>
</file>

<file path=docProps/custom.xml><?xml version="1.0" encoding="utf-8"?>
<Properties xmlns="http://schemas.openxmlformats.org/officeDocument/2006/custom-properties" xmlns:vt="http://schemas.openxmlformats.org/officeDocument/2006/docPropsVTypes"/>
</file>