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16,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epsanalytics.</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Dominican Republic</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epsanalytics, accessible from </w:t>
      </w:r>
      <w:hyperlink r:id="rId9">
        <w:r>
          <w:rPr>
            <w:rStyle w:val="Hyperlink"/>
          </w:rPr>
          <w:t>http://www.eps-analytics.com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phone number: 18099149779</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www.eps-analytics.com"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