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PONTIFICIA UNIVERSIDAD CATÓLICA DEL PERÚ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1F3864"/>
          <w:sz w:val="24"/>
          <w:szCs w:val="24"/>
        </w:rPr>
        <w:t xml:space="preserve">Facultad de Ciencias e Ingeniería</w:t>
      </w:r>
    </w:p>
    <w:p>
      <w:r>
        <w:t xml:space="preserve"/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Estándar de Programación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Sistema Tasf.B2B — Gestión y Planificación de Traslado de Equipaje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Código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STD-PRG-TASF-B2B-2026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Versión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Curso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1INF54 PDDS - 26-1 - PUCP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Marcelo Jara Falconi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Matias Chavarria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Rodrigo Lujan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Propósito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 documento define las convenciones de programación aplicables al desarrollo del sistema Tasf.B2B. Establece reglas comunes de estilo, estructura, documentación y control de versiones para el backend (Java 21 con Spring Boot) y el frontend (React 18), de modo que todos los miembros del equipo produzcan código uniforme, legible y mantenible.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Este estándar complementa la Lista de Exigencias (LE-TASF-B2B-2026 v1.1) y se alinea con la norma NTP-ISO/IEC 29110-5-1-2 (VSE), proceso de Implementación de Software (SI), actividades SI.3 "Construcción de componentes" y SI.4 "Integración y pruebas".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Alcance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Aplica a todo el código fuente producido por el equipo: backend, frontend, scripts de soporte, configuración de build e infraestructura como código. Incluye convenciones de nomenclatura, formato, documentación, manejo de errores, pruebas y control de versiones. No cubre aspectos específicos de base de datos (ver Estándar 63) ni de interfaz visual (ver Estándar 61).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Lenguaje backend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Java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 LTS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Framework backend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3.2+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Build tool backend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Apache Maven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3.9+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Lenguaje frontend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JavaScript (ES6+) o TypeScript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Decisión pendiente (ver §3.1)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Framework frontend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18+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Build tool frontend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Gestor de dependencias frontend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npm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Plataforma de repositorio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Nota sobre JavaScript vs. TypeScript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elección entre JavaScript y TypeScript para el frontend queda pendiente hasta la 3ra iteración. El estándar se redacta en forma compatible con ambas opciones; las reglas específicas de TypeScript (tipos estrictos, interfaces) se incorporarán cuando se confirme la decisión. Recomendación del equipo técnico: adoptar TypeScript si el costo inicial de curva de aprendizaje lo permite, por la robustez que aporta en un sistema con múltiples entidades y estados.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Convenciones Base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adopta como referencia externa la Google Java Style Guide para Java y reglas equivalentes para JavaScript/React, con los ajustes puntuales que se indican en este documento.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Codificación y Formato 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Codificación de archivos: UTF-8 sin BOM.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Finales de línea: LF (no CRLF). Configurar .gitattributes para normalizar.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Indentación: 2 espacios en frontend (JS/TS/JSX), 4 espacios en Java. Nunca tabs.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Ancho máximo de línea: 100 columnas (Java), 100 columnas (JS/TS).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Todos los archivos terminan en un único salto de línea.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Idioma del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Nombres de variables, clases, métodos y funciones: en inglés.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Comentarios, documentación JavaDoc/JSDoc y mensajes de commit: en español.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Literales visibles al usuario (UI, mensajes de error presentados): en español (ver Estándar 61).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Identificadores del dominio que coinciden con terminología del negocio pueden permanecer en español si facilitan trazabilidad con los requisitos (ej. "lote", "envio"); decisión a registrar por módulo.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Nomenclatura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Elemento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Convención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Paquete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lowercase, puntos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pe.pucp.tasfb2b.planner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Clase / Interfaz / Enum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UpperCamelCase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FlightPlanner, RouteStatus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lowerCamelCase (verbo)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calculateRoute, findFlightsByOrigin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Variable / parámetro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lowerCamelCase (sustantivo)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pendingShipments, originAirport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Constante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UPPER_SNAKE_CASE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MAX_BAGGAGE_PER_FLIGHT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Campo privado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lowerCamelCase (sin prefijo)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cancellationRate (no _cancellationRate)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Tipo genérico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Una letra mayúscula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T, E, K, V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JavaScript / React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Elemento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Convención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Componente React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UpperCamelCase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SimulationPanel, AirportMarker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Hook personalizado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camelCase con prefijo use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useSimulationState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Función / variable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camelCase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formatFlightTime, totalBaggage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Constante módulo-global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UPPER_SNAKE_CASE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API_BASE_URL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Archivo de componente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UpperCamelCase.jsx/.tsx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AirportMarker.jsx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Archivo de utilidades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camelCase.js/.ts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dateFormatter.js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Carpeta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kebab-case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simulation-control, flight-list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Prefijos y Sufijos Recomendados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Interfaces Java: sin prefijo "I" (se usa UserService, no IUserService).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Implementaciones Java: sufijo Impl solo cuando exista una única implementación de una interfaz (UserServiceImpl).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DTOs: sufijo Dto (ShipmentDto).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Entidades JPA: nombre de la entidad sin sufijo (Shipment, Flight).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Tests: mismo nombre de la clase probada + sufijo Test (FlightPlannerTest).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Componentes React de página: sufijo Page opcional (SimulationPage).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Estructura de Proyectos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Backend (Java + Spring Boot)</w:t>
      </w:r>
    </w:p>
    <w:p>
      <w:pPr>
        <w:shd w:fill="F4F4F4" w:color="auto" w:val="clear"/>
        <w:spacing w:after="0" w:before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tasf-b2b-backend/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pom.xml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src/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main/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java/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│   └── pe/pucp/tasfb2b/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│       ├── TasfB2bApplication.java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│       ├── config/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│       ├── controller/          (capa web, REST)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│       ├── service/             (lógica de negocio)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│       ├── domain/              (entidades, enums, value objects)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│       ├── repository/          (Spring Data JPA)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│       ├── planner/             (algoritmos ACO, ALNS)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│       ├── simulation/          (motor de simulación)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│       ├── dto/                 (request/response)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│       ├── mapper/              (entity &lt;-&gt; dto)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│       ├── exception/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│       └── util/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resources/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    ├── application.yml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    └── db/migration/            (scripts Flyway)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test/</w:t>
      </w:r>
    </w:p>
    <w:p>
      <w:pPr>
        <w:shd w:fill="F4F4F4" w:color="auto" w:val="clear"/>
        <w:spacing w:after="10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java/pe/pucp/tasfb2b/...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6.2 Frontend (React + Vite)</w:t>
      </w:r>
    </w:p>
    <w:p>
      <w:pPr>
        <w:shd w:fill="F4F4F4" w:color="auto" w:val="clear"/>
        <w:spacing w:after="0" w:before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tasf-b2b-frontend/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package.json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vite.config.js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index.html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public/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 src/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main.jsx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App.jsx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routes/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pages/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├── SimulationPage.jsx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└── DashboardPage.jsx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components/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├── map/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├── shipments/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├── flights/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└── common/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hooks/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services/           (clientes HTTP hacia el backend)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store/              (estado global si aplica — Zustand o Context)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utils/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theme/              (tema MUI, ver Estándar 61)</w:t>
      </w:r>
    </w:p>
    <w:p>
      <w:pPr>
        <w:shd w:fill="F4F4F4" w:color="auto" w:val="clear"/>
        <w:spacing w:after="10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assets/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Documentación de Código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7.1 JavaDoc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 clase pública y método público tiene JavaDoc.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JavaDoc incluye resumen en una línea + descripción extendida cuando aplique.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Documentar parámetros (@param), retorno (@return), excepciones (@throws).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se documentan getters/setters triviales.</w:t>
      </w:r>
    </w:p>
    <w:p>
      <w:pPr>
        <w:shd w:fill="F4F4F4" w:color="auto" w:val="clear"/>
        <w:spacing w:after="0" w:before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* Calcula la ruta óptima para un lote de maletas aplicando ACO.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*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* @param shipment lote a planificar; no puede ser null.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* @param context contexto de simulación con aeropuertos y vuelos vigentes.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* @return ruta asignada; {@code Optional.empty()} si no hay ruta viable.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* @throws PlanningException si el contexto es inconsistente.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shd w:fill="F4F4F4" w:color="auto" w:val="clear"/>
        <w:spacing w:after="10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Optional&lt;Route&gt; planRoute(Shipment shipment, SimulationContext context);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7.2 JSDoc / Comentarios en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Componentes públicos documentan sus props con JSDoc (o PropTypes si se usa JavaScript sin TypeScript).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Hooks personalizados documentan sus parámetros, retorno y efectos secundarios.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Comentarios explican el "por qué", no el "qué" (evitar parafraseo del código).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Manejo de Errores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8.1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definen excepciones propias en pe.pucp.tasfb2b.exception, heredando de RuntimeException.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excepciones de negocio (p.ej. PlanningException, CapacityExceededException) llevan un código de error estable.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@RestControllerAdvice global convierte excepciones en respuestas HTTP con formato JSON uniforme: { "code", "message", "timestamp", "path"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se captura Exception genérica sin registrarla en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Nunca se usa System.out.println ni printStackTrace; todo logging pasa por SLF4J.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8.2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 llamada HTTP se envuelve en try/catch o usa .catch() en promesas.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errores de red se notifican al usuario mediante Snackbar (ver Estándar 61 §7.6), nunca con alert().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define un ErrorBoundary al nivel de página para capturar errores de renderizado.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Backend: SLF4J + Logback. Nunca java.util.logging ni System.out.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Niveles: ERROR (falla recuperable o no), WARN (situación anómala), INFO (eventos de negocio relevantes: inicio/fin de simulación), DEBUG (flujo interno), TRACE (detalle fino).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Formato de línea: timestamp ISO-8601, nivel, thread, logger, mensaje. Configurado en application.yml.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Nunca registrar información sensible de clientes (nombres de pasajeros, contactos) en nivel INFO o superior.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console.error solo en desarrollo. En producción, errores se envían al backend vía endpoint /logs/client.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Gestión de Dependencias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Backend: declarar todas las dependencias en pom.xml con versiones explícitas (no usar LATEST).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el package-lock.json se commitea; no se modifica manualmente.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Antes de agregar una dependencia nueva se discute en reunión de equipo y se registra la justificación en el commit.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Evitar dependencias con licencias incompatibles (GPL de copyleft fuerte); preferir Apache 2.0, MIT, BSD, EPL.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Control de Versiones (Git)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11.1 Ramas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Rama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Origen / Destino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main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Código estable entregable al docente.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Solo recibe merges de release/* y hotfix/*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develop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Integración continua del equipo.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Recibe feature/*, bugfix/*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feature/&lt;tema&gt;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Nueva funcionalidad.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Sale de develop, vuelve a develop.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bugfix/&lt;tema&gt;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Corrección no urgente.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Sale de develop, vuelve a develop.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hotfix/&lt;tema&gt;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Corrección urgente sobre main.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Sale de main, vuelve a main y develop.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release/&lt;v&gt;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Preparación de entrega/iteración.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Sale de develop, vuelve a main y develop.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11.2 Formato de Commits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adopta el formato de Conventional Commits:</w:t>
      </w:r>
    </w:p>
    <w:p>
      <w:pPr>
        <w:shd w:fill="F4F4F4" w:color="auto" w:val="clear"/>
        <w:spacing w:after="0" w:before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&lt;tipo&gt;(&lt;ámbito&gt;): &lt;descripción corta en imperativo, español&gt;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[cuerpo opcional]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[footer opcional con referencia a LE o issue]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Tipos permitidos: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feat       nueva funcionalidad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fix        corrección de bug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docs       cambios solo en documentación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style      formato, espacios, punto y coma (sin cambio de lógica)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refactor   cambio interno sin alterar comportamiento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test       agregar o corregir pruebas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chore      mantenimiento (build, config, deps)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Ejemplos: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feat(planner): implementa algoritmo ACO para rutas intracontinentales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Implementa la fase de construcción de soluciones con hormigas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según Dorigo &amp; Gambardella (1997).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Refs: LE-015, LE-017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fix(api): corrige cálculo de ocupación de almacén al insertar lote</w:t>
      </w:r>
    </w:p>
    <w:p>
      <w:pPr>
        <w:shd w:fill="F4F4F4" w:color="auto" w:val="clear"/>
        <w:spacing w:after="10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docs(readme): actualiza instrucciones de arranque con Maven 3.9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11.3 Pull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 fusión a develop pasa por Pull Request con al menos una revisión aprobada.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título del PR usa el mismo formato que un commit Conventional.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PR describe: objetivo, cambios principales, cómo probar, trazabilidad con LE o issue.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PR no excede 400 líneas de diff cuando sea posible; si supera, se fragmenta.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11.4 .gitignore Mínimo</w:t>
      </w:r>
    </w:p>
    <w:p>
      <w:pPr>
        <w:shd w:fill="F4F4F4" w:color="auto" w:val="clear"/>
        <w:spacing w:after="0" w:before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# Java / Maven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target/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*.class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*.jar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!mvnw.jar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# IDE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.idea/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.vscode/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*.iml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.project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.classpath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.settings/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# Node / React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node_modules/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dist/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.env.local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.env.*.local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# OS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.DS_Store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Thumbs.db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# Logs</w:t>
      </w:r>
    </w:p>
    <w:p>
      <w:pPr>
        <w:shd w:fill="F4F4F4" w:color="auto" w:val="clear"/>
        <w:spacing w:after="10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*.log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Pruebas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Backend: JUnit 5 + AssertJ + Mockito. Cada clase de servicio con lógica no trivial tiene al menos una clase de 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tests siguen el patrón Arrange-Act-Assert, con nombres descriptivos tipo shouldReturnEmptyRouteWhenNoFlightsAvailable.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Vitest + React Testing Library. Se prueban componentes con lógica (hooks, validaciones) y flujos críticos.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tests no dependen del orden de ejecución ni de datos externos (usar mocks).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Cobertura objetivo: ≥ 70 % de líneas en módulos de dominio y algoritmos (planner/, simulation/). No se fija cobertura global.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Herramientas de 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Ámbito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Configuración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Formato Java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Spotless + google-java-format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Plugin Maven; se ejecuta en pre-commit.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Análisis estático Java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Checkstyle (Google rules)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Plugin Maven; falla build en errores.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Cobertura Java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JaCoCo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Plugin Maven; reporte HTML en target/site/jacoco.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Formato JS/TS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Prettier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 compartida en .prettierrc.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Análisis estático JS/TS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ESLint (config base Airbnb o react/recommended)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.eslintrc en raíz del frontend.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Hooks de pre-commit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Husky + lint-staged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Ejecuta Prettier + ESLint antes de commit.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Reglas Específicas del Dominio Tasf.B2B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entidades del dominio (Airport, Flight, Shipment, Batch) son inmutables en la medida de lo posible (records o clases con campos final).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códigos IATA se representan como String validados con regex ^[A-Z]{3}$ en el constructor o validador.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cantidades de maletas se representan como int (no long ni Integer), con validación explícita &gt;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plazos de entrega se expresan en Duration o ChronoUnit, nunca como minutos crudos sin tipado.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motor de simulación usa java.time.Instant y java.time.Duration; no se usa java.util.Date.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algoritmos metaheurísticos (ACO, ALNS) exponen sus parámetros mediante records de configuración (AcoParams, AlnsParams), no mediante valores hardcodeados.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Registro de Trazabilidad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Autor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 del cambio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Abril 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Equipo Tasf.B2B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Versión inicial del estándar de programación.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A — Base Prompt Reutilizable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Prompt reutilizable para regenerar o iterar este estándar en futuras versiones.</w:t>
      </w:r>
    </w:p>
    <w:p>
      <w:pPr>
        <w:shd w:fill="F4F4F4" w:color="auto" w:val="clear"/>
        <w:spacing w:after="0" w:before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--- BASE PROMPT: Estándar de Programación — Tasf.B2B ---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Contexto: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Proyecto académico PUCP, curso 1INF54 PDDS 26-1.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Sistema Tasf.B2B de gestión de traslado de equipaje.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Backend: Java 21 LTS + Spring Boot + Maven.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Frontend: React 18 (JS o TS, por definir).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Convenciones base: Google Java Style Guide.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Alineado con NTP-ISO/IEC 29110-5-1-2 (VSE), procesos SI.3 y SI.4.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Tarea: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Generar/actualizar el Estándar de Programación (.docx) con las secciones: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1. Propósito y alcance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2. Stack tecnológico (backend y frontend)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3. Convenciones base (codificación, idioma, formato)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4. Nomenclatura (Java, JS/React)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5. Estructura de proyectos (backend Spring Boot, frontend Vite)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6. Documentación de código (JavaDoc, JSDoc)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7. Manejo de errores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8. Logging (SLF4J + Logback)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9. Gestión de dependencias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10. Control de versiones (ramas Git, commits convencionales, PRs)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11. Pruebas (JUnit 5, Vitest)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12. Herramientas de calidad (Spotless, Checkstyle, ESLint, Prettier)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13. Reglas específicas del dominio Tasf.B2B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14. Registro de trazabilidad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Restricciones: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Estilo visual: Arial, encabezados #1F3864, tablas con filas alternadas.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Longitud 10-14 páginas.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Conciso y operativo, no explicativo.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Bloques de código en Courier New con sombreado ligero.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Entregable: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Archivo Word .docx nombrado 62_STD_PRG_TASF_B2B_vX_Y.docx.</w:t>
      </w:r>
    </w:p>
    <w:p>
      <w:pPr>
        <w:shd w:fill="F4F4F4" w:color="auto" w:val="clear"/>
        <w:spacing w:after="10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--- FIN BASE PROMPT ---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B — Entrada Sugerida para Bitácora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Actividad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Elaboración del Estándar de Programación v1.0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Equipo Tasf.B2B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Entregable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62_STD_PRG_TASF_B2B_v1_0.docx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Decisiones clave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Java 21 LTS + Spring Boot + Maven; React 18 con Vite; adopción de Google Java Style Guide; commits convencionales; JS vs TS postergado a 3ra iteración.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Soporta construcción de todos los agrupadores de la Lista de Exigencias (AG-01 a AG-06).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PUCP · 1INF54 PDDS 26-1 · 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de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i/>
        <w:iCs/>
        <w:color w:val="1F3864"/>
        <w:sz w:val="18"/>
        <w:szCs w:val="18"/>
      </w:rPr>
      <w:t xml:space="preserve">Tasf.B2B — Estándar de Programación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Estándar de Programación — Tasf.B2B</dc:title>
  <dc:creator>Equipo Tasf.B2B</dc:creator>
  <cp:lastModifiedBy>Un-named</cp:lastModifiedBy>
  <cp:revision>1</cp:revision>
  <dcterms:created xsi:type="dcterms:W3CDTF">2026-04-22T18:43:26.650Z</dcterms:created>
  <dcterms:modified xsi:type="dcterms:W3CDTF">2026-04-22T18:43:26.651Z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