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53594" w14:textId="4103711E" w:rsidR="008A44F1" w:rsidRDefault="00D33FF0">
      <w:pPr>
        <w:rPr>
          <w:sz w:val="28"/>
          <w:szCs w:val="28"/>
        </w:rPr>
      </w:pPr>
      <w:r>
        <w:rPr>
          <w:sz w:val="28"/>
          <w:szCs w:val="28"/>
        </w:rPr>
        <w:t>ALCL PROTOCOLS</w:t>
      </w:r>
    </w:p>
    <w:tbl>
      <w:tblPr>
        <w:tblStyle w:val="TableGrid"/>
        <w:tblpPr w:leftFromText="180" w:rightFromText="180" w:horzAnchor="margin" w:tblpY="610"/>
        <w:tblW w:w="13953" w:type="dxa"/>
        <w:tblInd w:w="0" w:type="dxa"/>
        <w:tblLayout w:type="fixed"/>
        <w:tblLook w:val="04A0" w:firstRow="1" w:lastRow="0" w:firstColumn="1" w:lastColumn="0" w:noHBand="0" w:noVBand="1"/>
      </w:tblPr>
      <w:tblGrid>
        <w:gridCol w:w="1701"/>
        <w:gridCol w:w="12252"/>
      </w:tblGrid>
      <w:tr w:rsidR="00D33FF0" w:rsidRPr="007F2B28" w14:paraId="3D996CBE"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35CF46AE" w14:textId="77777777" w:rsidR="00D33FF0" w:rsidRPr="007F2B28" w:rsidRDefault="00D33FF0" w:rsidP="00551B7B">
            <w:pPr>
              <w:rPr>
                <w:sz w:val="24"/>
                <w:szCs w:val="24"/>
              </w:rPr>
            </w:pPr>
            <w:r w:rsidRPr="007F2B28">
              <w:rPr>
                <w:sz w:val="24"/>
                <w:szCs w:val="24"/>
              </w:rPr>
              <w:t>Trust</w:t>
            </w:r>
          </w:p>
        </w:tc>
        <w:tc>
          <w:tcPr>
            <w:tcW w:w="12252" w:type="dxa"/>
            <w:tcBorders>
              <w:top w:val="single" w:sz="4" w:space="0" w:color="auto"/>
              <w:left w:val="single" w:sz="4" w:space="0" w:color="auto"/>
              <w:bottom w:val="single" w:sz="4" w:space="0" w:color="auto"/>
              <w:right w:val="single" w:sz="4" w:space="0" w:color="auto"/>
            </w:tcBorders>
          </w:tcPr>
          <w:p w14:paraId="6BD74C5D" w14:textId="77777777" w:rsidR="00D33FF0" w:rsidRPr="007F2B28" w:rsidRDefault="00D33FF0" w:rsidP="00551B7B">
            <w:pPr>
              <w:rPr>
                <w:sz w:val="24"/>
                <w:szCs w:val="24"/>
              </w:rPr>
            </w:pPr>
            <w:r>
              <w:rPr>
                <w:sz w:val="24"/>
                <w:szCs w:val="24"/>
              </w:rPr>
              <w:t>PROTOCOL</w:t>
            </w:r>
          </w:p>
        </w:tc>
      </w:tr>
      <w:tr w:rsidR="00D33FF0" w:rsidRPr="007F2B28" w14:paraId="3A4FCEC5"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41ED90A9" w14:textId="77777777" w:rsidR="00D33FF0" w:rsidRPr="007F2B28" w:rsidRDefault="00D33FF0" w:rsidP="00551B7B">
            <w:pPr>
              <w:rPr>
                <w:sz w:val="24"/>
                <w:szCs w:val="24"/>
              </w:rPr>
            </w:pPr>
            <w:r w:rsidRPr="007F2B28">
              <w:rPr>
                <w:sz w:val="24"/>
                <w:szCs w:val="24"/>
              </w:rPr>
              <w:t>Airedale</w:t>
            </w:r>
          </w:p>
        </w:tc>
        <w:tc>
          <w:tcPr>
            <w:tcW w:w="12252" w:type="dxa"/>
            <w:tcBorders>
              <w:top w:val="single" w:sz="4" w:space="0" w:color="auto"/>
              <w:left w:val="single" w:sz="4" w:space="0" w:color="auto"/>
              <w:bottom w:val="single" w:sz="4" w:space="0" w:color="auto"/>
              <w:right w:val="single" w:sz="4" w:space="0" w:color="auto"/>
            </w:tcBorders>
          </w:tcPr>
          <w:p w14:paraId="51D382DA" w14:textId="77777777" w:rsidR="00D33FF0" w:rsidRPr="007F2B28" w:rsidRDefault="00D33FF0" w:rsidP="00551B7B">
            <w:pPr>
              <w:rPr>
                <w:sz w:val="24"/>
                <w:szCs w:val="24"/>
              </w:rPr>
            </w:pPr>
          </w:p>
        </w:tc>
      </w:tr>
      <w:tr w:rsidR="00D33FF0" w:rsidRPr="007F2B28" w14:paraId="5BFFC95B"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22BC32C9" w14:textId="77777777" w:rsidR="00D33FF0" w:rsidRPr="007F2B28" w:rsidRDefault="00D33FF0" w:rsidP="00551B7B">
            <w:pPr>
              <w:rPr>
                <w:sz w:val="24"/>
                <w:szCs w:val="24"/>
              </w:rPr>
            </w:pPr>
            <w:r w:rsidRPr="007F2B28">
              <w:rPr>
                <w:sz w:val="24"/>
                <w:szCs w:val="24"/>
              </w:rPr>
              <w:t>Bradford</w:t>
            </w:r>
          </w:p>
        </w:tc>
        <w:tc>
          <w:tcPr>
            <w:tcW w:w="12252" w:type="dxa"/>
            <w:tcBorders>
              <w:top w:val="single" w:sz="4" w:space="0" w:color="auto"/>
              <w:left w:val="single" w:sz="4" w:space="0" w:color="auto"/>
              <w:bottom w:val="single" w:sz="4" w:space="0" w:color="auto"/>
              <w:right w:val="single" w:sz="4" w:space="0" w:color="auto"/>
            </w:tcBorders>
            <w:hideMark/>
          </w:tcPr>
          <w:p w14:paraId="28F50CFB" w14:textId="77777777" w:rsidR="00D33FF0" w:rsidRPr="007F2B28" w:rsidRDefault="00D33FF0" w:rsidP="00551B7B">
            <w:pPr>
              <w:rPr>
                <w:sz w:val="24"/>
                <w:szCs w:val="24"/>
              </w:rPr>
            </w:pPr>
            <w:r w:rsidRPr="007F2B28">
              <w:rPr>
                <w:rStyle w:val="normaltextrun"/>
                <w:rFonts w:ascii="Calibri" w:hAnsi="Calibri" w:cs="Calibri"/>
                <w:color w:val="000000"/>
                <w:sz w:val="24"/>
                <w:szCs w:val="24"/>
                <w:shd w:val="clear" w:color="auto" w:fill="FFFFFF"/>
              </w:rPr>
              <w:t>Ultrasound breast and axilla, cytology of aspiration, FNA or (better) core biopsy of enlarged axillary nodes.  CT lymphoma protocol (including neck).</w:t>
            </w:r>
          </w:p>
        </w:tc>
      </w:tr>
      <w:tr w:rsidR="00D33FF0" w:rsidRPr="007F2B28" w14:paraId="0B86A090"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7EDC8F88" w14:textId="77777777" w:rsidR="00D33FF0" w:rsidRPr="007F2B28" w:rsidRDefault="00D33FF0" w:rsidP="00551B7B">
            <w:pPr>
              <w:rPr>
                <w:sz w:val="24"/>
                <w:szCs w:val="24"/>
              </w:rPr>
            </w:pPr>
            <w:r w:rsidRPr="007F2B28">
              <w:rPr>
                <w:sz w:val="24"/>
                <w:szCs w:val="24"/>
              </w:rPr>
              <w:t>Calderdale &amp; Huddersfield</w:t>
            </w:r>
          </w:p>
        </w:tc>
        <w:tc>
          <w:tcPr>
            <w:tcW w:w="12252" w:type="dxa"/>
            <w:tcBorders>
              <w:top w:val="single" w:sz="4" w:space="0" w:color="auto"/>
              <w:left w:val="single" w:sz="4" w:space="0" w:color="auto"/>
              <w:bottom w:val="single" w:sz="4" w:space="0" w:color="auto"/>
              <w:right w:val="single" w:sz="4" w:space="0" w:color="auto"/>
            </w:tcBorders>
            <w:hideMark/>
          </w:tcPr>
          <w:p w14:paraId="6E7B4EB0" w14:textId="77777777" w:rsidR="00D33FF0" w:rsidRPr="007F2B28" w:rsidRDefault="00D33FF0" w:rsidP="00551B7B">
            <w:pPr>
              <w:rPr>
                <w:sz w:val="24"/>
                <w:szCs w:val="24"/>
              </w:rPr>
            </w:pPr>
            <w:r w:rsidRPr="007F2B28">
              <w:rPr>
                <w:rStyle w:val="normaltextrun"/>
                <w:rFonts w:ascii="Calibri" w:hAnsi="Calibri" w:cs="Calibri"/>
                <w:color w:val="000000"/>
                <w:sz w:val="24"/>
                <w:szCs w:val="24"/>
                <w:shd w:val="clear" w:color="auto" w:fill="FFFFFF"/>
              </w:rPr>
              <w:t xml:space="preserve">ALCL on presentation in the department with suspected </w:t>
            </w:r>
            <w:proofErr w:type="gramStart"/>
            <w:r w:rsidRPr="007F2B28">
              <w:rPr>
                <w:rStyle w:val="normaltextrun"/>
                <w:rFonts w:ascii="Calibri" w:hAnsi="Calibri" w:cs="Calibri"/>
                <w:color w:val="000000"/>
                <w:sz w:val="24"/>
                <w:szCs w:val="24"/>
                <w:shd w:val="clear" w:color="auto" w:fill="FFFFFF"/>
              </w:rPr>
              <w:t>ALCL ,</w:t>
            </w:r>
            <w:proofErr w:type="gramEnd"/>
            <w:r w:rsidRPr="007F2B28">
              <w:rPr>
                <w:rStyle w:val="normaltextrun"/>
                <w:rFonts w:ascii="Calibri" w:hAnsi="Calibri" w:cs="Calibri"/>
                <w:color w:val="000000"/>
                <w:sz w:val="24"/>
                <w:szCs w:val="24"/>
                <w:shd w:val="clear" w:color="auto" w:fill="FFFFFF"/>
              </w:rPr>
              <w:t xml:space="preserve"> image with ultrasound and then aspirate some of the free fluid and send off for cytology </w:t>
            </w:r>
            <w:r w:rsidRPr="007F2B28">
              <w:rPr>
                <w:rStyle w:val="eop"/>
                <w:rFonts w:ascii="Calibri" w:hAnsi="Calibri" w:cs="Calibri"/>
                <w:color w:val="000000"/>
                <w:sz w:val="24"/>
                <w:szCs w:val="24"/>
                <w:shd w:val="clear" w:color="auto" w:fill="FFFFFF"/>
              </w:rPr>
              <w:t> </w:t>
            </w:r>
          </w:p>
        </w:tc>
      </w:tr>
      <w:tr w:rsidR="00D33FF0" w:rsidRPr="007F2B28" w14:paraId="563319CC"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46CA7A12" w14:textId="77777777" w:rsidR="00D33FF0" w:rsidRPr="007F2B28" w:rsidRDefault="00D33FF0" w:rsidP="00551B7B">
            <w:pPr>
              <w:rPr>
                <w:sz w:val="24"/>
                <w:szCs w:val="24"/>
              </w:rPr>
            </w:pPr>
            <w:r w:rsidRPr="007F2B28">
              <w:rPr>
                <w:sz w:val="24"/>
                <w:szCs w:val="24"/>
              </w:rPr>
              <w:t>Harrogate</w:t>
            </w:r>
          </w:p>
        </w:tc>
        <w:tc>
          <w:tcPr>
            <w:tcW w:w="12252" w:type="dxa"/>
            <w:tcBorders>
              <w:top w:val="single" w:sz="4" w:space="0" w:color="auto"/>
              <w:left w:val="single" w:sz="4" w:space="0" w:color="auto"/>
              <w:bottom w:val="single" w:sz="4" w:space="0" w:color="auto"/>
              <w:right w:val="single" w:sz="4" w:space="0" w:color="auto"/>
            </w:tcBorders>
          </w:tcPr>
          <w:p w14:paraId="60B9E27F" w14:textId="77777777" w:rsidR="00D33FF0" w:rsidRPr="007F2B28" w:rsidRDefault="00D33FF0" w:rsidP="00551B7B">
            <w:pPr>
              <w:rPr>
                <w:sz w:val="24"/>
                <w:szCs w:val="24"/>
              </w:rPr>
            </w:pPr>
          </w:p>
        </w:tc>
      </w:tr>
      <w:tr w:rsidR="00D33FF0" w:rsidRPr="007F2B28" w14:paraId="61BA282F"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01718406" w14:textId="77777777" w:rsidR="00D33FF0" w:rsidRPr="007F2B28" w:rsidRDefault="00D33FF0" w:rsidP="00551B7B">
            <w:pPr>
              <w:rPr>
                <w:sz w:val="24"/>
                <w:szCs w:val="24"/>
              </w:rPr>
            </w:pPr>
            <w:r w:rsidRPr="007F2B28">
              <w:rPr>
                <w:sz w:val="24"/>
                <w:szCs w:val="24"/>
              </w:rPr>
              <w:t>Hull</w:t>
            </w:r>
          </w:p>
        </w:tc>
        <w:tc>
          <w:tcPr>
            <w:tcW w:w="12252" w:type="dxa"/>
            <w:tcBorders>
              <w:top w:val="single" w:sz="4" w:space="0" w:color="auto"/>
              <w:left w:val="single" w:sz="4" w:space="0" w:color="auto"/>
              <w:bottom w:val="single" w:sz="4" w:space="0" w:color="auto"/>
              <w:right w:val="single" w:sz="4" w:space="0" w:color="auto"/>
            </w:tcBorders>
            <w:hideMark/>
          </w:tcPr>
          <w:p w14:paraId="7AE296A5" w14:textId="77777777" w:rsidR="00D33FF0" w:rsidRPr="007F2B28" w:rsidRDefault="00D33FF0" w:rsidP="00551B7B">
            <w:pPr>
              <w:rPr>
                <w:sz w:val="24"/>
                <w:szCs w:val="24"/>
              </w:rPr>
            </w:pPr>
            <w:r w:rsidRPr="007F2B28">
              <w:rPr>
                <w:rStyle w:val="normaltextrun"/>
                <w:rFonts w:ascii="Calibri" w:hAnsi="Calibri" w:cs="Calibri"/>
                <w:color w:val="000000"/>
                <w:sz w:val="24"/>
                <w:szCs w:val="24"/>
                <w:shd w:val="clear" w:color="auto" w:fill="FFFFFF"/>
              </w:rPr>
              <w:t>Patients who present with a late onset (&gt;one year) persistent peri-implant seroma (particularly if the implant is of the textured type) should be investigated urgently with ultrasound in the first instance. Aspirates and capsule tissue samples should be collected and sent for urgent dedicated cytological and histopathological analysis, specifically querying the diagnosis of BIA-ALCL on the pathology request.  </w:t>
            </w:r>
            <w:r w:rsidRPr="007F2B28">
              <w:rPr>
                <w:rStyle w:val="eop"/>
                <w:rFonts w:ascii="Calibri" w:hAnsi="Calibri" w:cs="Calibri"/>
                <w:color w:val="000000"/>
                <w:sz w:val="24"/>
                <w:szCs w:val="24"/>
                <w:shd w:val="clear" w:color="auto" w:fill="FFFFFF"/>
              </w:rPr>
              <w:t> </w:t>
            </w:r>
          </w:p>
        </w:tc>
      </w:tr>
      <w:tr w:rsidR="00D33FF0" w:rsidRPr="007F2B28" w14:paraId="5509344B"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3DA47C33" w14:textId="77777777" w:rsidR="00D33FF0" w:rsidRPr="007F2B28" w:rsidRDefault="00D33FF0" w:rsidP="00551B7B">
            <w:pPr>
              <w:rPr>
                <w:sz w:val="24"/>
                <w:szCs w:val="24"/>
              </w:rPr>
            </w:pPr>
            <w:r w:rsidRPr="007F2B28">
              <w:rPr>
                <w:sz w:val="24"/>
                <w:szCs w:val="24"/>
              </w:rPr>
              <w:t>Leeds</w:t>
            </w:r>
          </w:p>
        </w:tc>
        <w:tc>
          <w:tcPr>
            <w:tcW w:w="12252" w:type="dxa"/>
            <w:tcBorders>
              <w:top w:val="single" w:sz="4" w:space="0" w:color="auto"/>
              <w:left w:val="single" w:sz="4" w:space="0" w:color="auto"/>
              <w:bottom w:val="single" w:sz="4" w:space="0" w:color="auto"/>
              <w:right w:val="single" w:sz="4" w:space="0" w:color="auto"/>
            </w:tcBorders>
          </w:tcPr>
          <w:p w14:paraId="6A3D844C" w14:textId="77777777" w:rsidR="00D33FF0" w:rsidRPr="007F2B28" w:rsidRDefault="00D33FF0" w:rsidP="00551B7B">
            <w:pPr>
              <w:rPr>
                <w:sz w:val="24"/>
                <w:szCs w:val="24"/>
              </w:rPr>
            </w:pPr>
          </w:p>
        </w:tc>
      </w:tr>
      <w:tr w:rsidR="00D33FF0" w:rsidRPr="007F2B28" w14:paraId="08028FE4"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5D281589" w14:textId="77777777" w:rsidR="00D33FF0" w:rsidRPr="007F2B28" w:rsidRDefault="00D33FF0" w:rsidP="00551B7B">
            <w:pPr>
              <w:rPr>
                <w:sz w:val="24"/>
                <w:szCs w:val="24"/>
              </w:rPr>
            </w:pPr>
            <w:r w:rsidRPr="007F2B28">
              <w:rPr>
                <w:sz w:val="24"/>
                <w:szCs w:val="24"/>
              </w:rPr>
              <w:t>Mid Yorkshire</w:t>
            </w:r>
          </w:p>
        </w:tc>
        <w:tc>
          <w:tcPr>
            <w:tcW w:w="12252" w:type="dxa"/>
            <w:tcBorders>
              <w:top w:val="single" w:sz="4" w:space="0" w:color="auto"/>
              <w:left w:val="single" w:sz="4" w:space="0" w:color="auto"/>
              <w:bottom w:val="single" w:sz="4" w:space="0" w:color="auto"/>
              <w:right w:val="single" w:sz="4" w:space="0" w:color="auto"/>
            </w:tcBorders>
          </w:tcPr>
          <w:tbl>
            <w:tblPr>
              <w:tblW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590"/>
            </w:tblGrid>
            <w:tr w:rsidR="00D33FF0" w:rsidRPr="007F2B28" w14:paraId="5119F28D" w14:textId="77777777" w:rsidTr="00551B7B">
              <w:trPr>
                <w:trHeight w:val="270"/>
              </w:trPr>
              <w:tc>
                <w:tcPr>
                  <w:tcW w:w="16590" w:type="dxa"/>
                  <w:tcBorders>
                    <w:top w:val="nil"/>
                    <w:left w:val="nil"/>
                    <w:bottom w:val="nil"/>
                    <w:right w:val="nil"/>
                  </w:tcBorders>
                  <w:shd w:val="clear" w:color="auto" w:fill="auto"/>
                  <w:vAlign w:val="center"/>
                  <w:hideMark/>
                </w:tcPr>
                <w:p w14:paraId="65CEFF03" w14:textId="77777777" w:rsidR="00D33FF0" w:rsidRPr="007F2B28" w:rsidRDefault="00D33FF0" w:rsidP="00551B7B">
                  <w:pPr>
                    <w:framePr w:hSpace="180" w:wrap="around" w:hAnchor="margin" w:y="610"/>
                    <w:spacing w:after="0" w:line="240" w:lineRule="auto"/>
                    <w:textAlignment w:val="baseline"/>
                    <w:rPr>
                      <w:rFonts w:ascii="Segoe UI" w:eastAsia="Times New Roman" w:hAnsi="Segoe UI" w:cs="Segoe UI"/>
                      <w:sz w:val="24"/>
                      <w:szCs w:val="24"/>
                      <w:lang w:eastAsia="en-GB"/>
                    </w:rPr>
                  </w:pPr>
                  <w:r w:rsidRPr="007F2B28">
                    <w:rPr>
                      <w:rFonts w:ascii="Calibri" w:eastAsia="Times New Roman" w:hAnsi="Calibri" w:cs="Calibri"/>
                      <w:sz w:val="24"/>
                      <w:szCs w:val="24"/>
                      <w:lang w:val="en-US" w:eastAsia="en-GB"/>
                    </w:rPr>
                    <w:t>Aspirate as much fluid as possible from the seroma.  </w:t>
                  </w:r>
                  <w:r w:rsidRPr="007F2B28">
                    <w:rPr>
                      <w:rFonts w:ascii="Calibri" w:eastAsia="Times New Roman" w:hAnsi="Calibri" w:cs="Calibri"/>
                      <w:sz w:val="24"/>
                      <w:szCs w:val="24"/>
                      <w:lang w:eastAsia="en-GB"/>
                    </w:rPr>
                    <w:t> </w:t>
                  </w:r>
                </w:p>
              </w:tc>
            </w:tr>
            <w:tr w:rsidR="00D33FF0" w:rsidRPr="007F2B28" w14:paraId="65871EEA" w14:textId="77777777" w:rsidTr="00551B7B">
              <w:trPr>
                <w:trHeight w:val="270"/>
              </w:trPr>
              <w:tc>
                <w:tcPr>
                  <w:tcW w:w="16590" w:type="dxa"/>
                  <w:tcBorders>
                    <w:top w:val="nil"/>
                    <w:left w:val="nil"/>
                    <w:bottom w:val="nil"/>
                    <w:right w:val="nil"/>
                  </w:tcBorders>
                  <w:shd w:val="clear" w:color="auto" w:fill="auto"/>
                  <w:vAlign w:val="center"/>
                  <w:hideMark/>
                </w:tcPr>
                <w:p w14:paraId="6B7AEA9B" w14:textId="77777777" w:rsidR="00D33FF0" w:rsidRPr="007F2B28" w:rsidRDefault="00D33FF0" w:rsidP="00551B7B">
                  <w:pPr>
                    <w:framePr w:hSpace="180" w:wrap="around" w:hAnchor="margin" w:y="610"/>
                    <w:spacing w:after="0" w:line="240" w:lineRule="auto"/>
                    <w:textAlignment w:val="baseline"/>
                    <w:rPr>
                      <w:rFonts w:ascii="Segoe UI" w:eastAsia="Times New Roman" w:hAnsi="Segoe UI" w:cs="Segoe UI"/>
                      <w:sz w:val="24"/>
                      <w:szCs w:val="24"/>
                      <w:lang w:eastAsia="en-GB"/>
                    </w:rPr>
                  </w:pPr>
                  <w:r w:rsidRPr="007F2B28">
                    <w:rPr>
                      <w:rFonts w:ascii="Calibri" w:eastAsia="Times New Roman" w:hAnsi="Calibri" w:cs="Calibri"/>
                      <w:sz w:val="24"/>
                      <w:szCs w:val="24"/>
                      <w:lang w:eastAsia="en-GB"/>
                    </w:rPr>
                    <w:t> </w:t>
                  </w:r>
                </w:p>
              </w:tc>
            </w:tr>
            <w:tr w:rsidR="00D33FF0" w:rsidRPr="007F2B28" w14:paraId="72C763EA" w14:textId="77777777" w:rsidTr="00551B7B">
              <w:trPr>
                <w:trHeight w:val="270"/>
              </w:trPr>
              <w:tc>
                <w:tcPr>
                  <w:tcW w:w="16590" w:type="dxa"/>
                  <w:tcBorders>
                    <w:top w:val="nil"/>
                    <w:left w:val="nil"/>
                    <w:bottom w:val="nil"/>
                    <w:right w:val="nil"/>
                  </w:tcBorders>
                  <w:shd w:val="clear" w:color="auto" w:fill="auto"/>
                  <w:vAlign w:val="center"/>
                  <w:hideMark/>
                </w:tcPr>
                <w:p w14:paraId="0BB9D259" w14:textId="77777777" w:rsidR="00D33FF0" w:rsidRPr="007F2B28" w:rsidRDefault="00D33FF0" w:rsidP="00551B7B">
                  <w:pPr>
                    <w:framePr w:hSpace="180" w:wrap="around" w:hAnchor="margin" w:y="610"/>
                    <w:spacing w:after="0" w:line="240" w:lineRule="auto"/>
                    <w:textAlignment w:val="baseline"/>
                    <w:rPr>
                      <w:rFonts w:ascii="Segoe UI" w:eastAsia="Times New Roman" w:hAnsi="Segoe UI" w:cs="Segoe UI"/>
                      <w:sz w:val="24"/>
                      <w:szCs w:val="24"/>
                      <w:lang w:eastAsia="en-GB"/>
                    </w:rPr>
                  </w:pPr>
                  <w:r w:rsidRPr="007F2B28">
                    <w:rPr>
                      <w:rFonts w:ascii="Calibri" w:eastAsia="Times New Roman" w:hAnsi="Calibri" w:cs="Calibri"/>
                      <w:sz w:val="24"/>
                      <w:szCs w:val="24"/>
                      <w:lang w:val="en-US" w:eastAsia="en-GB"/>
                    </w:rPr>
                    <w:t>2 EDTA (Full blood count bottles) samples to be sent to HMDS Leeds </w:t>
                  </w:r>
                  <w:r w:rsidRPr="007F2B28">
                    <w:rPr>
                      <w:rFonts w:ascii="Calibri" w:eastAsia="Times New Roman" w:hAnsi="Calibri" w:cs="Calibri"/>
                      <w:sz w:val="24"/>
                      <w:szCs w:val="24"/>
                      <w:lang w:eastAsia="en-GB"/>
                    </w:rPr>
                    <w:t> </w:t>
                  </w:r>
                </w:p>
              </w:tc>
            </w:tr>
            <w:tr w:rsidR="00D33FF0" w:rsidRPr="007F2B28" w14:paraId="585110BA" w14:textId="77777777" w:rsidTr="00551B7B">
              <w:trPr>
                <w:trHeight w:val="270"/>
              </w:trPr>
              <w:tc>
                <w:tcPr>
                  <w:tcW w:w="16590" w:type="dxa"/>
                  <w:tcBorders>
                    <w:top w:val="nil"/>
                    <w:left w:val="nil"/>
                    <w:bottom w:val="nil"/>
                    <w:right w:val="nil"/>
                  </w:tcBorders>
                  <w:shd w:val="clear" w:color="auto" w:fill="auto"/>
                  <w:vAlign w:val="center"/>
                  <w:hideMark/>
                </w:tcPr>
                <w:p w14:paraId="66510210" w14:textId="77777777" w:rsidR="00D33FF0" w:rsidRPr="007F2B28" w:rsidRDefault="00D33FF0" w:rsidP="00551B7B">
                  <w:pPr>
                    <w:framePr w:hSpace="180" w:wrap="around" w:hAnchor="margin" w:y="610"/>
                    <w:spacing w:after="0" w:line="240" w:lineRule="auto"/>
                    <w:textAlignment w:val="baseline"/>
                    <w:rPr>
                      <w:rFonts w:ascii="Segoe UI" w:eastAsia="Times New Roman" w:hAnsi="Segoe UI" w:cs="Segoe UI"/>
                      <w:sz w:val="24"/>
                      <w:szCs w:val="24"/>
                      <w:lang w:eastAsia="en-GB"/>
                    </w:rPr>
                  </w:pPr>
                  <w:r w:rsidRPr="007F2B28">
                    <w:rPr>
                      <w:rFonts w:ascii="Calibri" w:eastAsia="Times New Roman" w:hAnsi="Calibri" w:cs="Calibri"/>
                      <w:sz w:val="24"/>
                      <w:szCs w:val="24"/>
                      <w:lang w:val="en-US" w:eastAsia="en-GB"/>
                    </w:rPr>
                    <w:t>1 sample to be sent to microbiology for cultures </w:t>
                  </w:r>
                  <w:r w:rsidRPr="007F2B28">
                    <w:rPr>
                      <w:rFonts w:ascii="Calibri" w:eastAsia="Times New Roman" w:hAnsi="Calibri" w:cs="Calibri"/>
                      <w:sz w:val="24"/>
                      <w:szCs w:val="24"/>
                      <w:lang w:eastAsia="en-GB"/>
                    </w:rPr>
                    <w:t> </w:t>
                  </w:r>
                </w:p>
                <w:p w14:paraId="4CC91BF8" w14:textId="77777777" w:rsidR="00D33FF0" w:rsidRPr="007F2B28" w:rsidRDefault="00D33FF0" w:rsidP="00551B7B">
                  <w:pPr>
                    <w:framePr w:hSpace="180" w:wrap="around" w:hAnchor="margin" w:y="610"/>
                    <w:spacing w:after="0" w:line="240" w:lineRule="auto"/>
                    <w:textAlignment w:val="baseline"/>
                    <w:rPr>
                      <w:rFonts w:ascii="Segoe UI" w:eastAsia="Times New Roman" w:hAnsi="Segoe UI" w:cs="Segoe UI"/>
                      <w:sz w:val="24"/>
                      <w:szCs w:val="24"/>
                      <w:lang w:eastAsia="en-GB"/>
                    </w:rPr>
                  </w:pPr>
                  <w:r w:rsidRPr="007F2B28">
                    <w:rPr>
                      <w:rFonts w:ascii="Calibri" w:eastAsia="Times New Roman" w:hAnsi="Calibri" w:cs="Calibri"/>
                      <w:sz w:val="24"/>
                      <w:szCs w:val="24"/>
                      <w:lang w:eastAsia="en-GB"/>
                    </w:rPr>
                    <w:t> </w:t>
                  </w:r>
                </w:p>
                <w:p w14:paraId="5A42D21B" w14:textId="77777777" w:rsidR="00D33FF0" w:rsidRPr="007F2B28" w:rsidRDefault="00D33FF0" w:rsidP="00551B7B">
                  <w:pPr>
                    <w:framePr w:hSpace="180" w:wrap="around" w:hAnchor="margin" w:y="610"/>
                    <w:spacing w:after="0" w:line="240" w:lineRule="auto"/>
                    <w:textAlignment w:val="baseline"/>
                    <w:rPr>
                      <w:rFonts w:ascii="Segoe UI" w:eastAsia="Times New Roman" w:hAnsi="Segoe UI" w:cs="Segoe UI"/>
                      <w:sz w:val="24"/>
                      <w:szCs w:val="24"/>
                      <w:lang w:eastAsia="en-GB"/>
                    </w:rPr>
                  </w:pPr>
                  <w:r w:rsidRPr="007F2B28">
                    <w:rPr>
                      <w:rFonts w:ascii="Calibri" w:eastAsia="Times New Roman" w:hAnsi="Calibri" w:cs="Calibri"/>
                      <w:sz w:val="24"/>
                      <w:szCs w:val="24"/>
                      <w:lang w:val="en-US" w:eastAsia="en-GB"/>
                    </w:rPr>
                    <w:t>Rest of sample to cytology at Mid Yorkshire trust. If morphologically suspicious or diagnostic of ALCL, then we will send the</w:t>
                  </w:r>
                  <w:r w:rsidRPr="007F2B28">
                    <w:rPr>
                      <w:rFonts w:ascii="Calibri" w:eastAsia="Times New Roman" w:hAnsi="Calibri" w:cs="Calibri"/>
                      <w:sz w:val="24"/>
                      <w:szCs w:val="24"/>
                      <w:lang w:eastAsia="en-GB"/>
                    </w:rPr>
                    <w:t> </w:t>
                  </w:r>
                </w:p>
                <w:p w14:paraId="50834DEB" w14:textId="77777777" w:rsidR="00D33FF0" w:rsidRPr="007F2B28" w:rsidRDefault="00D33FF0" w:rsidP="00551B7B">
                  <w:pPr>
                    <w:framePr w:hSpace="180" w:wrap="around" w:hAnchor="margin" w:y="610"/>
                    <w:spacing w:after="0" w:line="240" w:lineRule="auto"/>
                    <w:textAlignment w:val="baseline"/>
                    <w:rPr>
                      <w:rFonts w:ascii="Segoe UI" w:eastAsia="Times New Roman" w:hAnsi="Segoe UI" w:cs="Segoe UI"/>
                      <w:sz w:val="24"/>
                      <w:szCs w:val="24"/>
                      <w:lang w:eastAsia="en-GB"/>
                    </w:rPr>
                  </w:pPr>
                  <w:r w:rsidRPr="007F2B28">
                    <w:rPr>
                      <w:rFonts w:ascii="Calibri" w:eastAsia="Times New Roman" w:hAnsi="Calibri" w:cs="Calibri"/>
                      <w:sz w:val="24"/>
                      <w:szCs w:val="24"/>
                      <w:lang w:val="en-US" w:eastAsia="en-GB"/>
                    </w:rPr>
                    <w:t xml:space="preserve"> cytology sample </w:t>
                  </w:r>
                  <w:proofErr w:type="gramStart"/>
                  <w:r w:rsidRPr="007F2B28">
                    <w:rPr>
                      <w:rFonts w:ascii="Calibri" w:eastAsia="Times New Roman" w:hAnsi="Calibri" w:cs="Calibri"/>
                      <w:sz w:val="24"/>
                      <w:szCs w:val="24"/>
                      <w:lang w:val="en-US" w:eastAsia="en-GB"/>
                    </w:rPr>
                    <w:t>cell-block</w:t>
                  </w:r>
                  <w:proofErr w:type="gramEnd"/>
                  <w:r w:rsidRPr="007F2B28">
                    <w:rPr>
                      <w:rFonts w:ascii="Calibri" w:eastAsia="Times New Roman" w:hAnsi="Calibri" w:cs="Calibri"/>
                      <w:sz w:val="24"/>
                      <w:szCs w:val="24"/>
                      <w:lang w:val="en-US" w:eastAsia="en-GB"/>
                    </w:rPr>
                    <w:t xml:space="preserve"> on to HMDS for analysis as well</w:t>
                  </w:r>
                  <w:r w:rsidRPr="007F2B28">
                    <w:rPr>
                      <w:rFonts w:ascii="Calibri" w:eastAsia="Times New Roman" w:hAnsi="Calibri" w:cs="Calibri"/>
                      <w:sz w:val="24"/>
                      <w:szCs w:val="24"/>
                      <w:lang w:eastAsia="en-GB"/>
                    </w:rPr>
                    <w:t> </w:t>
                  </w:r>
                </w:p>
              </w:tc>
            </w:tr>
          </w:tbl>
          <w:p w14:paraId="38FBA00A" w14:textId="77777777" w:rsidR="00D33FF0" w:rsidRPr="007F2B28" w:rsidRDefault="00D33FF0" w:rsidP="00551B7B">
            <w:pPr>
              <w:pStyle w:val="paragraph"/>
              <w:spacing w:before="0" w:beforeAutospacing="0" w:after="0" w:afterAutospacing="0"/>
              <w:jc w:val="both"/>
              <w:textAlignment w:val="baseline"/>
              <w:rPr>
                <w:rFonts w:ascii="Segoe UI" w:hAnsi="Segoe UI" w:cs="Segoe UI"/>
                <w:lang w:eastAsia="en-US"/>
              </w:rPr>
            </w:pPr>
          </w:p>
          <w:p w14:paraId="28376BC3" w14:textId="77777777" w:rsidR="00D33FF0" w:rsidRPr="007F2B28" w:rsidRDefault="00D33FF0" w:rsidP="00551B7B">
            <w:pPr>
              <w:pStyle w:val="paragraph"/>
              <w:spacing w:before="0" w:beforeAutospacing="0" w:after="0" w:afterAutospacing="0"/>
              <w:jc w:val="both"/>
              <w:textAlignment w:val="baseline"/>
              <w:rPr>
                <w:rFonts w:ascii="Segoe UI" w:hAnsi="Segoe UI" w:cs="Segoe UI"/>
                <w:lang w:eastAsia="en-US"/>
              </w:rPr>
            </w:pPr>
            <w:r w:rsidRPr="007F2B28">
              <w:rPr>
                <w:rStyle w:val="normaltextrun"/>
                <w:rFonts w:ascii="Calibri" w:hAnsi="Calibri" w:cs="Calibri"/>
                <w:lang w:eastAsia="en-US"/>
              </w:rPr>
              <w:t> </w:t>
            </w:r>
            <w:r w:rsidRPr="007F2B28">
              <w:rPr>
                <w:rStyle w:val="eop"/>
                <w:rFonts w:ascii="Calibri" w:hAnsi="Calibri" w:cs="Calibri"/>
                <w:lang w:eastAsia="en-US"/>
              </w:rPr>
              <w:t> </w:t>
            </w:r>
          </w:p>
          <w:p w14:paraId="712DE04B" w14:textId="77777777" w:rsidR="00D33FF0" w:rsidRPr="007F2B28" w:rsidRDefault="00D33FF0" w:rsidP="00551B7B">
            <w:pPr>
              <w:pStyle w:val="paragraph"/>
              <w:spacing w:before="0" w:beforeAutospacing="0" w:after="0" w:afterAutospacing="0"/>
              <w:jc w:val="both"/>
              <w:textAlignment w:val="baseline"/>
              <w:rPr>
                <w:lang w:eastAsia="en-US"/>
              </w:rPr>
            </w:pPr>
          </w:p>
        </w:tc>
      </w:tr>
      <w:tr w:rsidR="00D33FF0" w:rsidRPr="007F2B28" w14:paraId="3A9D45ED"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6556CE01" w14:textId="77777777" w:rsidR="00D33FF0" w:rsidRPr="007F2B28" w:rsidRDefault="00D33FF0" w:rsidP="00551B7B">
            <w:pPr>
              <w:rPr>
                <w:sz w:val="24"/>
                <w:szCs w:val="24"/>
              </w:rPr>
            </w:pPr>
            <w:r w:rsidRPr="007F2B28">
              <w:rPr>
                <w:sz w:val="24"/>
                <w:szCs w:val="24"/>
              </w:rPr>
              <w:t>NLAG</w:t>
            </w:r>
          </w:p>
        </w:tc>
        <w:tc>
          <w:tcPr>
            <w:tcW w:w="12252" w:type="dxa"/>
            <w:tcBorders>
              <w:top w:val="single" w:sz="4" w:space="0" w:color="auto"/>
              <w:left w:val="single" w:sz="4" w:space="0" w:color="auto"/>
              <w:bottom w:val="single" w:sz="4" w:space="0" w:color="auto"/>
              <w:right w:val="single" w:sz="4" w:space="0" w:color="auto"/>
            </w:tcBorders>
          </w:tcPr>
          <w:p w14:paraId="4E29F4B3" w14:textId="77777777" w:rsidR="00D33FF0" w:rsidRPr="007F2B28" w:rsidRDefault="00D33FF0" w:rsidP="00551B7B">
            <w:pPr>
              <w:rPr>
                <w:sz w:val="24"/>
                <w:szCs w:val="24"/>
              </w:rPr>
            </w:pPr>
            <w:r w:rsidRPr="007F2B28">
              <w:rPr>
                <w:rStyle w:val="normaltextrun"/>
                <w:rFonts w:ascii="Calibri" w:hAnsi="Calibri" w:cs="Calibri"/>
                <w:color w:val="000000"/>
                <w:sz w:val="24"/>
                <w:szCs w:val="24"/>
                <w:shd w:val="clear" w:color="auto" w:fill="FFFFFF"/>
              </w:rPr>
              <w:t>ALCL on presentation in the department with suspected ALCL we image with ultrasound and then aspirate some of the free fluid and send off for cytology </w:t>
            </w:r>
            <w:r w:rsidRPr="007F2B28">
              <w:rPr>
                <w:rStyle w:val="eop"/>
                <w:rFonts w:ascii="Calibri" w:hAnsi="Calibri" w:cs="Calibri"/>
                <w:color w:val="000000"/>
                <w:sz w:val="24"/>
                <w:szCs w:val="24"/>
                <w:shd w:val="clear" w:color="auto" w:fill="FFFFFF"/>
              </w:rPr>
              <w:t> </w:t>
            </w:r>
          </w:p>
        </w:tc>
      </w:tr>
      <w:tr w:rsidR="00D33FF0" w:rsidRPr="007F2B28" w14:paraId="0FE18256" w14:textId="77777777" w:rsidTr="00551B7B">
        <w:tc>
          <w:tcPr>
            <w:tcW w:w="1701" w:type="dxa"/>
            <w:tcBorders>
              <w:top w:val="single" w:sz="4" w:space="0" w:color="auto"/>
              <w:left w:val="single" w:sz="4" w:space="0" w:color="auto"/>
              <w:bottom w:val="single" w:sz="4" w:space="0" w:color="auto"/>
              <w:right w:val="single" w:sz="4" w:space="0" w:color="auto"/>
            </w:tcBorders>
            <w:hideMark/>
          </w:tcPr>
          <w:p w14:paraId="3E907934" w14:textId="77777777" w:rsidR="00D33FF0" w:rsidRPr="007F2B28" w:rsidRDefault="00D33FF0" w:rsidP="00551B7B">
            <w:pPr>
              <w:rPr>
                <w:sz w:val="24"/>
                <w:szCs w:val="24"/>
              </w:rPr>
            </w:pPr>
            <w:r w:rsidRPr="007F2B28">
              <w:rPr>
                <w:sz w:val="24"/>
                <w:szCs w:val="24"/>
              </w:rPr>
              <w:t>York</w:t>
            </w:r>
          </w:p>
        </w:tc>
        <w:tc>
          <w:tcPr>
            <w:tcW w:w="12252" w:type="dxa"/>
            <w:tcBorders>
              <w:top w:val="single" w:sz="4" w:space="0" w:color="auto"/>
              <w:left w:val="single" w:sz="4" w:space="0" w:color="auto"/>
              <w:bottom w:val="single" w:sz="4" w:space="0" w:color="auto"/>
              <w:right w:val="single" w:sz="4" w:space="0" w:color="auto"/>
            </w:tcBorders>
          </w:tcPr>
          <w:p w14:paraId="47868D24" w14:textId="77777777" w:rsidR="00D33FF0" w:rsidRPr="007F2B28" w:rsidRDefault="00D33FF0" w:rsidP="00551B7B">
            <w:pPr>
              <w:pStyle w:val="paragraph"/>
              <w:spacing w:before="0" w:beforeAutospacing="0" w:after="0" w:afterAutospacing="0"/>
              <w:jc w:val="both"/>
              <w:textAlignment w:val="baseline"/>
              <w:rPr>
                <w:lang w:eastAsia="en-US"/>
              </w:rPr>
            </w:pPr>
          </w:p>
        </w:tc>
      </w:tr>
    </w:tbl>
    <w:p w14:paraId="5951D211" w14:textId="37D544B1" w:rsidR="00D33FF0" w:rsidRDefault="00D33FF0" w:rsidP="00D33FF0">
      <w:pPr>
        <w:rPr>
          <w:sz w:val="24"/>
          <w:szCs w:val="24"/>
        </w:rPr>
      </w:pPr>
    </w:p>
    <w:p w14:paraId="32F4B230" w14:textId="77777777" w:rsidR="00D33FF0" w:rsidRPr="007F2B28" w:rsidRDefault="00D33FF0" w:rsidP="00D33FF0">
      <w:pPr>
        <w:rPr>
          <w:sz w:val="24"/>
          <w:szCs w:val="24"/>
        </w:rPr>
      </w:pPr>
    </w:p>
    <w:p w14:paraId="7064B75F" w14:textId="77777777" w:rsidR="00D33FF0" w:rsidRPr="007F2B28" w:rsidRDefault="00D33FF0" w:rsidP="00D33FF0">
      <w:pPr>
        <w:rPr>
          <w:sz w:val="24"/>
          <w:szCs w:val="24"/>
        </w:rPr>
      </w:pPr>
    </w:p>
    <w:p w14:paraId="3C1751E2" w14:textId="77777777" w:rsidR="00D33FF0" w:rsidRPr="00D33FF0" w:rsidRDefault="00D33FF0">
      <w:pPr>
        <w:rPr>
          <w:sz w:val="28"/>
          <w:szCs w:val="28"/>
        </w:rPr>
      </w:pPr>
    </w:p>
    <w:sectPr w:rsidR="00D33FF0" w:rsidRPr="00D33FF0" w:rsidSect="00D33FF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F0"/>
    <w:rsid w:val="008A44F1"/>
    <w:rsid w:val="00D33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30F0"/>
  <w15:chartTrackingRefBased/>
  <w15:docId w15:val="{A2F272FF-348D-42EB-8D85-FBED5B07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3F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33FF0"/>
  </w:style>
  <w:style w:type="character" w:customStyle="1" w:styleId="eop">
    <w:name w:val="eop"/>
    <w:basedOn w:val="DefaultParagraphFont"/>
    <w:rsid w:val="00D33FF0"/>
  </w:style>
  <w:style w:type="table" w:styleId="TableGrid">
    <w:name w:val="Table Grid"/>
    <w:basedOn w:val="TableNormal"/>
    <w:uiPriority w:val="39"/>
    <w:rsid w:val="00D33F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1177</Characters>
  <Application>Microsoft Office Word</Application>
  <DocSecurity>0</DocSecurity>
  <Lines>9</Lines>
  <Paragraphs>2</Paragraphs>
  <ScaleCrop>false</ScaleCrop>
  <Company>The Leeds Teaching Hospitals NHS Trust</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PUNSHON, Debra (LEEDS TEACHING HOSPITALS NHS TRUST)</dc:creator>
  <cp:keywords/>
  <dc:description/>
  <cp:lastModifiedBy>PUNSHON, Debra (LEEDS TEACHING HOSPITALS NHS TRUST)</cp:lastModifiedBy>
  <cp:revision>1</cp:revision>
  <dcterms:created xsi:type="dcterms:W3CDTF">2022-05-23T18:34:00Z</dcterms:created>
  <dcterms:modified xsi:type="dcterms:W3CDTF">2022-05-23T18:35:00Z</dcterms:modified>
</cp:coreProperties>
</file>