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27ADDB">
      <w:pPr>
        <w:snapToGrid/>
        <w:spacing w:before="480" w:beforeAutospacing="0" w:after="360" w:afterAutospacing="0" w:line="240" w:lineRule="auto"/>
        <w:ind w:left="0" w:leftChars="0" w:right="0" w:rightChars="0" w:firstLine="0" w:firstLineChars="0"/>
        <w:jc w:val="center"/>
        <w:rPr>
          <w:rFonts w:ascii="Times New Roman" w:hAnsi="Georgia" w:eastAsia="黑体" w:cs="Georgia"/>
          <w:b/>
          <w:sz w:val="32"/>
        </w:rPr>
      </w:pPr>
      <w:bookmarkStart w:id="0" w:name="中国十省水污染时空分布规律探析_不规则采样下的机器学习方法与可解释ai应用"/>
      <w:r>
        <w:rPr>
          <w:rFonts w:ascii="Times New Roman" w:hAnsi="Georgia" w:eastAsia="黑体" w:cs="Georgia"/>
          <w:b/>
          <w:sz w:val="32"/>
        </w:rPr>
        <w:t>中国十省水污染时空分布规律探析</w:t>
      </w:r>
    </w:p>
    <w:p w14:paraId="5F272D85">
      <w:pPr>
        <w:snapToGrid/>
        <w:spacing w:before="480" w:beforeAutospacing="0" w:after="360" w:afterAutospacing="0" w:line="240" w:lineRule="auto"/>
        <w:ind w:left="0" w:leftChars="0" w:right="0" w:rightChars="0" w:firstLine="0" w:firstLineChars="0"/>
        <w:jc w:val="center"/>
        <w:rPr>
          <w:rFonts w:ascii="Times New Roman" w:eastAsia="黑体"/>
          <w:b/>
          <w:sz w:val="32"/>
        </w:rPr>
      </w:pPr>
      <w:r>
        <w:rPr>
          <w:rFonts w:hint="eastAsia" w:ascii="Times New Roman" w:hAnsi="Georgia" w:eastAsia="黑体" w:cs="Georgia"/>
          <w:b/>
          <w:sz w:val="32"/>
          <w:lang w:eastAsia="zh-CN"/>
        </w:rPr>
        <w:t>——</w:t>
      </w:r>
      <w:r>
        <w:rPr>
          <w:rFonts w:ascii="Times New Roman" w:hAnsi="Georgia" w:eastAsia="黑体" w:cs="Georgia"/>
          <w:b/>
          <w:sz w:val="32"/>
        </w:rPr>
        <w:t>不规则采样下的机器学习方法与可解释AI应用</w:t>
      </w:r>
      <w:bookmarkEnd w:id="0"/>
    </w:p>
    <w:p w14:paraId="66AF50B3">
      <w:bookmarkStart w:id="131" w:name="_GoBack"/>
      <w:bookmarkEnd w:id="131"/>
    </w:p>
    <w:p w14:paraId="6A7308C5">
      <w:pPr>
        <w:snapToGrid/>
        <w:spacing w:before="480" w:beforeAutospacing="0" w:after="360" w:afterAutospacing="0" w:line="240" w:lineRule="auto"/>
        <w:ind w:left="0" w:leftChars="0" w:right="0" w:rightChars="0" w:firstLine="0" w:firstLineChars="0"/>
        <w:jc w:val="center"/>
        <w:rPr>
          <w:rFonts w:ascii="Times New Roman" w:eastAsia="黑体"/>
          <w:b/>
          <w:i w:val="0"/>
          <w:sz w:val="32"/>
        </w:rPr>
      </w:pPr>
      <w:bookmarkStart w:id="1" w:name="摘要"/>
      <w:r>
        <w:rPr>
          <w:rFonts w:ascii="Times New Roman" w:hAnsi="Georgia" w:eastAsia="黑体" w:cs="Georgia"/>
          <w:b/>
          <w:i w:val="0"/>
          <w:sz w:val="32"/>
        </w:rPr>
        <w:t>摘要</w:t>
      </w:r>
      <w:bookmarkEnd w:id="1"/>
    </w:p>
    <w:p w14:paraId="2064682C">
      <w:pPr>
        <w:snapToGrid/>
        <w:spacing w:beforeAutospacing="0" w:after="0" w:afterAutospacing="0" w:line="400" w:lineRule="exact"/>
        <w:ind w:left="0" w:leftChars="0" w:right="0" w:rightChars="0" w:firstLine="480" w:firstLineChars="200"/>
        <w:jc w:val="both"/>
        <w:rPr>
          <w:rFonts w:ascii="宋体" w:eastAsia="宋体"/>
          <w:sz w:val="24"/>
        </w:rPr>
      </w:pPr>
      <w:r>
        <w:rPr>
          <w:rFonts w:ascii="宋体" w:hAnsi="Georgia" w:eastAsia="宋体" w:cs="Georgia"/>
          <w:b w:val="0"/>
          <w:i w:val="0"/>
          <w:sz w:val="24"/>
        </w:rPr>
        <w:t>水质监测网络产生大量数据，但不规则的采样间隔（1-253天，变异系数</w:t>
      </w:r>
      <m:oMath>
        <m:r>
          <m:rPr>
            <m:nor/>
            <m:sty m:val="p"/>
          </m:rPr>
          <w:rPr>
            <w:rFonts w:ascii="DejaVu Math TeX Gyre" w:hAnsi="DejaVu Math TeX Gyre" w:eastAsia="宋体"/>
            <w:b w:val="0"/>
            <w:i w:val="0"/>
            <w:sz w:val="24"/>
          </w:rPr>
          <m:t>CV</m:t>
        </m:r>
        <m:r>
          <m:rPr>
            <m:sty m:val="p"/>
          </m:rPr>
          <w:rPr>
            <w:rFonts w:ascii="DejaVu Math TeX Gyre" w:hAnsi="DejaVu Math TeX Gyre" w:eastAsia="宋体"/>
            <w:sz w:val="24"/>
          </w:rPr>
          <m:t>=1.99</m:t>
        </m:r>
      </m:oMath>
      <w:r>
        <w:rPr>
          <w:rFonts w:ascii="宋体" w:hAnsi="Georgia" w:eastAsia="宋体" w:cs="Georgia"/>
          <w:b w:val="0"/>
          <w:i w:val="0"/>
          <w:sz w:val="24"/>
        </w:rPr>
        <w:t>）对假设等间隔观测的时间序列方法构成挑战。本研究分析了中国10个省份180个监测站的15，524条记录，对比了时间序列方法（ARIMA、SARIMA、LSTM）与横截面方法（XGBoost、RandomForest、LightGBM）的预测性能。结果表明，在不对不规则采样进行插值或时间重构的前提下，传统等间隔时间序列方法表现显著劣于简单基线（</w:t>
      </w:r>
      <m:oMath>
        <m:sSup>
          <m:sSupPr>
            <m:ctrlPr>
              <w:rPr>
                <w:rFonts w:ascii="DejaVu Math TeX Gyre" w:hAnsi="DejaVu Math TeX Gyre" w:eastAsia="宋体"/>
                <w:b w:val="0"/>
                <w:i w:val="0"/>
                <w:sz w:val="24"/>
              </w:rPr>
            </m:ctrlPr>
          </m:sSupPr>
          <m:e>
            <m:r>
              <m:rPr>
                <m:sty m:val="p"/>
              </m:rPr>
              <w:rPr>
                <w:rFonts w:hint="default" w:ascii="DejaVu Math TeX Gyre" w:hAnsi="DejaVu Math TeX Gyre" w:eastAsia="宋体"/>
                <w:sz w:val="24"/>
              </w:rPr>
              <m:t>R</m:t>
            </m:r>
            <m:ctrlPr>
              <w:rPr>
                <w:rFonts w:ascii="DejaVu Math TeX Gyre" w:hAnsi="DejaVu Math TeX Gyre" w:eastAsia="宋体"/>
                <w:b w:val="0"/>
                <w:i w:val="0"/>
                <w:sz w:val="24"/>
              </w:rPr>
            </m:ctrlPr>
          </m:e>
          <m:sup>
            <m:r>
              <m:rPr>
                <m:sty m:val="p"/>
              </m:rPr>
              <w:rPr>
                <w:rFonts w:ascii="DejaVu Math TeX Gyre" w:hAnsi="DejaVu Math TeX Gyre" w:eastAsia="宋体"/>
                <w:sz w:val="24"/>
              </w:rPr>
              <m:t>2</m:t>
            </m:r>
            <m:ctrlPr>
              <w:rPr>
                <w:rFonts w:ascii="DejaVu Math TeX Gyre" w:hAnsi="DejaVu Math TeX Gyre" w:eastAsia="宋体"/>
                <w:b w:val="0"/>
                <w:i w:val="0"/>
                <w:sz w:val="24"/>
              </w:rPr>
            </m:ctrlPr>
          </m:sup>
        </m:sSup>
        <m:r>
          <m:rPr>
            <m:sty m:val="p"/>
          </m:rPr>
          <w:rPr>
            <w:rFonts w:ascii="DejaVu Math TeX Gyre" w:hAnsi="DejaVu Math TeX Gyre" w:eastAsia="宋体"/>
            <w:sz w:val="24"/>
          </w:rPr>
          <m:t>=−0.1</m:t>
        </m:r>
      </m:oMath>
      <w:r>
        <w:rPr>
          <w:rFonts w:ascii="宋体" w:hAnsi="Georgia" w:eastAsia="宋体" w:cs="Georgia"/>
          <w:b w:val="0"/>
          <w:i w:val="0"/>
          <w:sz w:val="24"/>
        </w:rPr>
        <w:t>，劣于均值预测基线）。</w:t>
      </w:r>
    </w:p>
    <w:p w14:paraId="6A578FE1">
      <w:pPr>
        <w:snapToGrid/>
        <w:spacing w:beforeAutospacing="0" w:after="0" w:afterAutospacing="0" w:line="400" w:lineRule="exact"/>
        <w:ind w:left="0" w:leftChars="0" w:right="0" w:rightChars="0" w:firstLine="440" w:firstLineChars="200"/>
        <w:jc w:val="both"/>
        <w:rPr>
          <w:rFonts w:ascii="宋体" w:eastAsia="宋体"/>
          <w:b w:val="0"/>
          <w:i w:val="0"/>
          <w:sz w:val="24"/>
        </w:rPr>
      </w:pPr>
      <w:r>
        <w:rPr>
          <w:rFonts w:ascii="Georgia" w:hAnsi="Georgia" w:eastAsia="Georgia" w:cs="Georgia"/>
        </w:rPr>
        <w:t>分</w:t>
      </w:r>
      <w:r>
        <w:rPr>
          <w:rFonts w:ascii="宋体" w:hAnsi="Georgia" w:eastAsia="宋体" w:cs="Georgia"/>
          <w:b w:val="0"/>
          <w:i w:val="0"/>
          <w:sz w:val="24"/>
        </w:rPr>
        <w:t>类任务探索了横截面方法的预测边界。使用全部水质指标（20个特征）的XGBoost模型达到99.58%准确率，但这本质上是逆向工程GB 3838-2002国标规则表。更严格的评估来自空间泛化测试，采用按站点分割策略评估模型对未见监测站的预测能力时，准确率降至73.77%，揭示了模型对站点特异性特征的依赖。低成本传感器实验进一步暴露了预测局限，仅使用6个物理指标（浊度、pH、电导率、温度、经纬度）推断由化学指标定义的污染等级时，准确率仅为38.62%，特征筛选和降维方法改进幅度不超过0.5%。相关性分析揭示所有物理指标与污染等级的Pearson系数均&lt;0.1（极弱相关），表明物理指标与化学定义的污染等级之间存在固有的"信息鸿沟"。这一负面结果明确了低成本传感器的应用边界，为监测系统设计提供了实证参考。</w:t>
      </w:r>
    </w:p>
    <w:p w14:paraId="52DF646A">
      <w:pPr>
        <w:snapToGrid/>
        <w:spacing w:beforeAutospacing="0" w:after="0" w:afterAutospacing="0" w:line="400" w:lineRule="exact"/>
        <w:ind w:left="0" w:leftChars="0" w:right="0" w:rightChars="0" w:firstLine="480" w:firstLineChars="200"/>
        <w:jc w:val="both"/>
        <w:rPr>
          <w:rFonts w:ascii="宋体" w:eastAsia="宋体"/>
          <w:b w:val="0"/>
          <w:i w:val="0"/>
          <w:sz w:val="24"/>
        </w:rPr>
      </w:pPr>
      <w:r>
        <w:rPr>
          <w:rFonts w:ascii="宋体" w:hAnsi="Georgia" w:eastAsia="宋体" w:cs="Georgia"/>
          <w:sz w:val="24"/>
        </w:rPr>
        <w:t>回</w:t>
      </w:r>
      <w:r>
        <w:rPr>
          <w:rFonts w:ascii="宋体" w:hAnsi="Georgia" w:eastAsia="宋体" w:cs="Georgia"/>
          <w:b w:val="0"/>
          <w:i w:val="0"/>
          <w:sz w:val="24"/>
        </w:rPr>
        <w:t>归任务探索了传感器故障场景下的软测量（Soft Sensing）能力。在严格的特征独立性约束下（预测COD时排除BOD），COD达到</w:t>
      </w:r>
      <m:oMath>
        <m:sSup>
          <m:sSupPr>
            <m:ctrlPr>
              <w:rPr>
                <w:rFonts w:ascii="DejaVu Math TeX Gyre" w:hAnsi="DejaVu Math TeX Gyre" w:eastAsia="宋体"/>
                <w:b w:val="0"/>
                <w:i w:val="0"/>
                <w:sz w:val="24"/>
              </w:rPr>
            </m:ctrlPr>
          </m:sSupPr>
          <m:e>
            <m:r>
              <m:rPr>
                <m:sty m:val="p"/>
              </m:rPr>
              <w:rPr>
                <w:rFonts w:hint="default" w:ascii="DejaVu Math TeX Gyre" w:hAnsi="DejaVu Math TeX Gyre" w:eastAsia="宋体"/>
                <w:sz w:val="24"/>
              </w:rPr>
              <m:t>R</m:t>
            </m:r>
            <m:ctrlPr>
              <w:rPr>
                <w:rFonts w:ascii="DejaVu Math TeX Gyre" w:hAnsi="DejaVu Math TeX Gyre" w:eastAsia="宋体"/>
                <w:b w:val="0"/>
                <w:i w:val="0"/>
                <w:sz w:val="24"/>
              </w:rPr>
            </m:ctrlPr>
          </m:e>
          <m:sup>
            <m:r>
              <m:rPr>
                <m:sty m:val="p"/>
              </m:rPr>
              <w:rPr>
                <w:rFonts w:ascii="DejaVu Math TeX Gyre" w:hAnsi="DejaVu Math TeX Gyre" w:eastAsia="宋体"/>
                <w:sz w:val="24"/>
              </w:rPr>
              <m:t>2</m:t>
            </m:r>
            <m:ctrlPr>
              <w:rPr>
                <w:rFonts w:ascii="DejaVu Math TeX Gyre" w:hAnsi="DejaVu Math TeX Gyre" w:eastAsia="宋体"/>
                <w:b w:val="0"/>
                <w:i w:val="0"/>
                <w:sz w:val="24"/>
              </w:rPr>
            </m:ctrlPr>
          </m:sup>
        </m:sSup>
        <m:r>
          <m:rPr>
            <m:sty m:val="p"/>
          </m:rPr>
          <w:rPr>
            <w:rFonts w:ascii="DejaVu Math TeX Gyre" w:hAnsi="DejaVu Math TeX Gyre" w:eastAsia="宋体"/>
            <w:sz w:val="24"/>
          </w:rPr>
          <m:t>=0.50</m:t>
        </m:r>
      </m:oMath>
      <w:r>
        <w:rPr>
          <w:rFonts w:ascii="宋体" w:hAnsi="Georgia" w:eastAsia="宋体" w:cs="Georgia"/>
          <w:b w:val="0"/>
          <w:i w:val="0"/>
          <w:sz w:val="24"/>
        </w:rPr>
        <w:t>，可在±20%误差内提供粗略估算，满足应急监测需求。BOD、氨氮、pH等指标</w:t>
      </w:r>
      <m:oMath>
        <m:sSup>
          <m:sSupPr>
            <m:ctrlPr>
              <w:rPr>
                <w:rFonts w:ascii="DejaVu Math TeX Gyre" w:hAnsi="DejaVu Math TeX Gyre" w:eastAsia="宋体"/>
                <w:b w:val="0"/>
                <w:i w:val="0"/>
                <w:sz w:val="24"/>
              </w:rPr>
            </m:ctrlPr>
          </m:sSupPr>
          <m:e>
            <m:r>
              <m:rPr>
                <m:sty m:val="p"/>
              </m:rPr>
              <w:rPr>
                <w:rFonts w:hint="default" w:ascii="DejaVu Math TeX Gyre" w:hAnsi="DejaVu Math TeX Gyre" w:eastAsia="宋体"/>
                <w:sz w:val="24"/>
              </w:rPr>
              <m:t>R</m:t>
            </m:r>
            <m:ctrlPr>
              <w:rPr>
                <w:rFonts w:ascii="DejaVu Math TeX Gyre" w:hAnsi="DejaVu Math TeX Gyre" w:eastAsia="宋体"/>
                <w:b w:val="0"/>
                <w:i w:val="0"/>
                <w:sz w:val="24"/>
              </w:rPr>
            </m:ctrlPr>
          </m:e>
          <m:sup>
            <m:r>
              <m:rPr>
                <m:sty m:val="p"/>
              </m:rPr>
              <w:rPr>
                <w:rFonts w:ascii="DejaVu Math TeX Gyre" w:hAnsi="DejaVu Math TeX Gyre" w:eastAsia="宋体"/>
                <w:sz w:val="24"/>
              </w:rPr>
              <m:t>2</m:t>
            </m:r>
            <m:ctrlPr>
              <w:rPr>
                <w:rFonts w:ascii="DejaVu Math TeX Gyre" w:hAnsi="DejaVu Math TeX Gyre" w:eastAsia="宋体"/>
                <w:b w:val="0"/>
                <w:i w:val="0"/>
                <w:sz w:val="24"/>
              </w:rPr>
            </m:ctrlPr>
          </m:sup>
        </m:sSup>
        <m:r>
          <m:rPr>
            <m:sty m:val="p"/>
          </m:rPr>
          <w:rPr>
            <w:rFonts w:ascii="DejaVu Math TeX Gyre" w:hAnsi="DejaVu Math TeX Gyre" w:eastAsia="宋体"/>
            <w:sz w:val="24"/>
          </w:rPr>
          <m:t>&lt;0.1</m:t>
        </m:r>
      </m:oMath>
      <w:r>
        <w:rPr>
          <w:rFonts w:ascii="宋体" w:hAnsi="Georgia" w:eastAsia="宋体" w:cs="Georgia"/>
          <w:b w:val="0"/>
          <w:i w:val="0"/>
          <w:sz w:val="24"/>
        </w:rPr>
        <w:t>，横截面方法难以胜任，需依赖直接测量。应用SHAP（SHapley Additive exPlanations）分析识别出COD、浊度和地理坐标是污染等级分类的主要影响因素。研究结果表明采样规律性和特征独立性对方法选择有显著影响，可为环境监测的传感器部署、成本优化和预警阈值设定提供参考。</w:t>
      </w:r>
    </w:p>
    <w:p w14:paraId="50D18383">
      <w:pPr>
        <w:snapToGrid/>
        <w:spacing w:beforeAutospacing="0" w:after="0" w:afterAutospacing="0" w:line="400" w:lineRule="exact"/>
        <w:ind w:left="0" w:leftChars="0" w:right="0" w:rightChars="0" w:firstLine="480" w:firstLineChars="200"/>
        <w:jc w:val="both"/>
        <w:rPr>
          <w:rFonts w:ascii="Times New Roman" w:eastAsia="宋体"/>
          <w:b/>
          <w:i w:val="0"/>
          <w:sz w:val="24"/>
        </w:rPr>
      </w:pPr>
      <w:r>
        <w:rPr>
          <w:rFonts w:ascii="宋体" w:eastAsia="宋体"/>
          <w:b/>
          <w:sz w:val="24"/>
        </w:rPr>
        <w:t>关</w:t>
      </w:r>
      <w:r>
        <w:rPr>
          <w:b/>
        </w:rPr>
        <w:t>键词</w:t>
      </w:r>
      <w:r>
        <w:rPr>
          <w:rFonts w:ascii="Times New Roman" w:hAnsi="Georgia" w:eastAsia="宋体" w:cs="Georgia"/>
          <w:b/>
          <w:i w:val="0"/>
          <w:sz w:val="24"/>
        </w:rPr>
        <w:t>，水质预测，不规则采样，低成本传感器，软测量，SHAP，可解释AI，横截面建模</w:t>
      </w:r>
    </w:p>
    <w:p w14:paraId="7D1B0DBF">
      <w:pPr>
        <w:snapToGrid/>
        <w:spacing w:beforeAutospacing="0" w:after="0" w:afterAutospacing="0" w:line="400" w:lineRule="exact"/>
        <w:ind w:left="0" w:leftChars="0" w:right="0" w:rightChars="0" w:firstLine="480" w:firstLineChars="200"/>
        <w:jc w:val="both"/>
        <w:rPr>
          <w:rFonts w:ascii="Times New Roman" w:eastAsia="宋体"/>
          <w:b/>
          <w:i w:val="0"/>
          <w:sz w:val="24"/>
        </w:rPr>
      </w:pPr>
    </w:p>
    <w:p w14:paraId="5FBFA7A0">
      <w:pPr>
        <w:snapToGrid/>
        <w:spacing w:beforeAutospacing="0" w:after="0" w:afterAutospacing="0" w:line="400" w:lineRule="exact"/>
        <w:ind w:left="0" w:leftChars="0" w:right="0" w:rightChars="0" w:firstLine="840" w:firstLineChars="200"/>
        <w:jc w:val="both"/>
      </w:pPr>
      <w:bookmarkStart w:id="2" w:name="目录"/>
      <w:r>
        <w:rPr>
          <w:rFonts w:ascii="Georgia" w:hAnsi="Georgia" w:eastAsia="Georgia" w:cs="Georgia"/>
          <w:b/>
          <w:sz w:val="42"/>
        </w:rPr>
        <w:t>目录</w:t>
      </w:r>
      <w:bookmarkEnd w:id="2"/>
    </w:p>
    <w:p w14:paraId="34D48EE9">
      <w:pPr>
        <w:pStyle w:val="3"/>
        <w:tabs>
          <w:tab w:val="right" w:leader="dot" w:pos="8640"/>
        </w:tabs>
      </w:pPr>
      <w:r>
        <w:fldChar w:fldCharType="begin"/>
      </w:r>
      <w:r>
        <w:instrText xml:space="preserve">TOC \o "1-3" \h \u </w:instrText>
      </w:r>
      <w:r>
        <w:fldChar w:fldCharType="separate"/>
      </w:r>
      <w:r>
        <w:fldChar w:fldCharType="begin"/>
      </w:r>
      <w:r>
        <w:instrText xml:space="preserve"> HYPERLINK \l _Toc1133892559 </w:instrText>
      </w:r>
      <w:r>
        <w:fldChar w:fldCharType="separate"/>
      </w:r>
      <w:r>
        <w:rPr>
          <w:rFonts w:ascii="黑体" w:hAnsi="Georgia" w:eastAsia="黑体" w:cs="Georgia"/>
        </w:rPr>
        <w:t>第 1 章 引言</w:t>
      </w:r>
      <w:r>
        <w:tab/>
      </w:r>
      <w:r>
        <w:fldChar w:fldCharType="begin"/>
      </w:r>
      <w:r>
        <w:instrText xml:space="preserve"> PAGEREF _Toc1133892559 \h </w:instrText>
      </w:r>
      <w:r>
        <w:fldChar w:fldCharType="separate"/>
      </w:r>
      <w:r>
        <w:t>4</w:t>
      </w:r>
      <w:r>
        <w:fldChar w:fldCharType="end"/>
      </w:r>
      <w:r>
        <w:fldChar w:fldCharType="end"/>
      </w:r>
    </w:p>
    <w:p w14:paraId="5A15C19C">
      <w:pPr>
        <w:pStyle w:val="4"/>
        <w:tabs>
          <w:tab w:val="right" w:leader="dot" w:pos="8640"/>
        </w:tabs>
      </w:pPr>
      <w:r>
        <w:fldChar w:fldCharType="begin"/>
      </w:r>
      <w:r>
        <w:instrText xml:space="preserve"> HYPERLINK \l _Toc562355635 </w:instrText>
      </w:r>
      <w:r>
        <w:fldChar w:fldCharType="separate"/>
      </w:r>
      <w:r>
        <w:rPr>
          <w:rFonts w:ascii="黑体" w:hAnsi="Georgia" w:eastAsia="黑体" w:cs="Georgia"/>
        </w:rPr>
        <w:t>1.1 研究背景</w:t>
      </w:r>
      <w:r>
        <w:tab/>
      </w:r>
      <w:r>
        <w:fldChar w:fldCharType="begin"/>
      </w:r>
      <w:r>
        <w:instrText xml:space="preserve"> PAGEREF _Toc562355635 \h </w:instrText>
      </w:r>
      <w:r>
        <w:fldChar w:fldCharType="separate"/>
      </w:r>
      <w:r>
        <w:t>4</w:t>
      </w:r>
      <w:r>
        <w:fldChar w:fldCharType="end"/>
      </w:r>
      <w:r>
        <w:fldChar w:fldCharType="end"/>
      </w:r>
    </w:p>
    <w:p w14:paraId="6D79AC38">
      <w:pPr>
        <w:pStyle w:val="4"/>
        <w:tabs>
          <w:tab w:val="right" w:leader="dot" w:pos="8640"/>
        </w:tabs>
      </w:pPr>
      <w:r>
        <w:fldChar w:fldCharType="begin"/>
      </w:r>
      <w:r>
        <w:instrText xml:space="preserve"> HYPERLINK \l _Toc435626998 </w:instrText>
      </w:r>
      <w:r>
        <w:fldChar w:fldCharType="separate"/>
      </w:r>
      <w:r>
        <w:rPr>
          <w:rFonts w:ascii="黑体" w:hAnsi="Georgia" w:eastAsia="黑体" w:cs="Georgia"/>
        </w:rPr>
        <w:t>1.2 水质监测与预测的研究现状</w:t>
      </w:r>
      <w:r>
        <w:tab/>
      </w:r>
      <w:r>
        <w:fldChar w:fldCharType="begin"/>
      </w:r>
      <w:r>
        <w:instrText xml:space="preserve"> PAGEREF _Toc435626998 \h </w:instrText>
      </w:r>
      <w:r>
        <w:fldChar w:fldCharType="separate"/>
      </w:r>
      <w:r>
        <w:t>4</w:t>
      </w:r>
      <w:r>
        <w:fldChar w:fldCharType="end"/>
      </w:r>
      <w:r>
        <w:fldChar w:fldCharType="end"/>
      </w:r>
    </w:p>
    <w:p w14:paraId="64624DB5">
      <w:pPr>
        <w:pStyle w:val="4"/>
        <w:tabs>
          <w:tab w:val="right" w:leader="dot" w:pos="8640"/>
        </w:tabs>
      </w:pPr>
      <w:r>
        <w:fldChar w:fldCharType="begin"/>
      </w:r>
      <w:r>
        <w:instrText xml:space="preserve"> HYPERLINK \l _Toc811202763 </w:instrText>
      </w:r>
      <w:r>
        <w:fldChar w:fldCharType="separate"/>
      </w:r>
      <w:r>
        <w:rPr>
          <w:rFonts w:ascii="黑体" w:hAnsi="Georgia" w:eastAsia="黑体" w:cs="Georgia"/>
        </w:rPr>
        <w:t>1.3 研究缺口与挑战</w:t>
      </w:r>
      <w:r>
        <w:tab/>
      </w:r>
      <w:r>
        <w:fldChar w:fldCharType="begin"/>
      </w:r>
      <w:r>
        <w:instrText xml:space="preserve"> PAGEREF _Toc811202763 \h </w:instrText>
      </w:r>
      <w:r>
        <w:fldChar w:fldCharType="separate"/>
      </w:r>
      <w:r>
        <w:t>5</w:t>
      </w:r>
      <w:r>
        <w:fldChar w:fldCharType="end"/>
      </w:r>
      <w:r>
        <w:fldChar w:fldCharType="end"/>
      </w:r>
    </w:p>
    <w:p w14:paraId="7BF0479B">
      <w:pPr>
        <w:pStyle w:val="4"/>
        <w:tabs>
          <w:tab w:val="right" w:leader="dot" w:pos="8640"/>
        </w:tabs>
      </w:pPr>
      <w:r>
        <w:fldChar w:fldCharType="begin"/>
      </w:r>
      <w:r>
        <w:instrText xml:space="preserve"> HYPERLINK \l _Toc1658646585 </w:instrText>
      </w:r>
      <w:r>
        <w:fldChar w:fldCharType="separate"/>
      </w:r>
      <w:r>
        <w:rPr>
          <w:rFonts w:ascii="黑体" w:hAnsi="Georgia" w:eastAsia="黑体" w:cs="Georgia"/>
        </w:rPr>
        <w:t>1.4 研究目标与贡献</w:t>
      </w:r>
      <w:r>
        <w:tab/>
      </w:r>
      <w:r>
        <w:fldChar w:fldCharType="begin"/>
      </w:r>
      <w:r>
        <w:instrText xml:space="preserve"> PAGEREF _Toc1658646585 \h </w:instrText>
      </w:r>
      <w:r>
        <w:fldChar w:fldCharType="separate"/>
      </w:r>
      <w:r>
        <w:t>6</w:t>
      </w:r>
      <w:r>
        <w:fldChar w:fldCharType="end"/>
      </w:r>
      <w:r>
        <w:fldChar w:fldCharType="end"/>
      </w:r>
    </w:p>
    <w:p w14:paraId="7FFC1BF3">
      <w:pPr>
        <w:pStyle w:val="3"/>
        <w:tabs>
          <w:tab w:val="right" w:leader="dot" w:pos="8640"/>
        </w:tabs>
      </w:pPr>
      <w:r>
        <w:fldChar w:fldCharType="begin"/>
      </w:r>
      <w:r>
        <w:instrText xml:space="preserve"> HYPERLINK \l _Toc387932388 </w:instrText>
      </w:r>
      <w:r>
        <w:fldChar w:fldCharType="separate"/>
      </w:r>
      <w:r>
        <w:rPr>
          <w:rFonts w:ascii="黑体" w:hAnsi="Georgia" w:eastAsia="黑体" w:cs="Georgia"/>
        </w:rPr>
        <w:t>第 2 章 相关工作与理论基础</w:t>
      </w:r>
      <w:r>
        <w:tab/>
      </w:r>
      <w:r>
        <w:fldChar w:fldCharType="begin"/>
      </w:r>
      <w:r>
        <w:instrText xml:space="preserve"> PAGEREF _Toc387932388 \h </w:instrText>
      </w:r>
      <w:r>
        <w:fldChar w:fldCharType="separate"/>
      </w:r>
      <w:r>
        <w:t>7</w:t>
      </w:r>
      <w:r>
        <w:fldChar w:fldCharType="end"/>
      </w:r>
      <w:r>
        <w:fldChar w:fldCharType="end"/>
      </w:r>
    </w:p>
    <w:p w14:paraId="27C7D1F8">
      <w:pPr>
        <w:pStyle w:val="4"/>
        <w:tabs>
          <w:tab w:val="right" w:leader="dot" w:pos="8640"/>
        </w:tabs>
      </w:pPr>
      <w:r>
        <w:fldChar w:fldCharType="begin"/>
      </w:r>
      <w:r>
        <w:instrText xml:space="preserve"> HYPERLINK \l _Toc219292824 </w:instrText>
      </w:r>
      <w:r>
        <w:fldChar w:fldCharType="separate"/>
      </w:r>
      <w:r>
        <w:rPr>
          <w:rFonts w:ascii="黑体" w:hAnsi="Georgia" w:eastAsia="黑体" w:cs="Georgia"/>
        </w:rPr>
        <w:t>2.1 水质预测方法</w:t>
      </w:r>
      <w:r>
        <w:tab/>
      </w:r>
      <w:r>
        <w:fldChar w:fldCharType="begin"/>
      </w:r>
      <w:r>
        <w:instrText xml:space="preserve"> PAGEREF _Toc219292824 \h </w:instrText>
      </w:r>
      <w:r>
        <w:fldChar w:fldCharType="separate"/>
      </w:r>
      <w:r>
        <w:t>7</w:t>
      </w:r>
      <w:r>
        <w:fldChar w:fldCharType="end"/>
      </w:r>
      <w:r>
        <w:fldChar w:fldCharType="end"/>
      </w:r>
    </w:p>
    <w:p w14:paraId="0D0C88C8">
      <w:pPr>
        <w:pStyle w:val="2"/>
        <w:tabs>
          <w:tab w:val="right" w:leader="dot" w:pos="8640"/>
        </w:tabs>
      </w:pPr>
      <w:r>
        <w:fldChar w:fldCharType="begin"/>
      </w:r>
      <w:r>
        <w:instrText xml:space="preserve"> HYPERLINK \l _Toc572554716 </w:instrText>
      </w:r>
      <w:r>
        <w:fldChar w:fldCharType="separate"/>
      </w:r>
      <w:r>
        <w:rPr>
          <w:rFonts w:ascii="黑体" w:hAnsi="Georgia" w:eastAsia="黑体" w:cs="Georgia"/>
        </w:rPr>
        <w:t>2.1.1 统计时间序列方法</w:t>
      </w:r>
      <w:r>
        <w:tab/>
      </w:r>
      <w:r>
        <w:fldChar w:fldCharType="begin"/>
      </w:r>
      <w:r>
        <w:instrText xml:space="preserve"> PAGEREF _Toc572554716 \h </w:instrText>
      </w:r>
      <w:r>
        <w:fldChar w:fldCharType="separate"/>
      </w:r>
      <w:r>
        <w:t>7</w:t>
      </w:r>
      <w:r>
        <w:fldChar w:fldCharType="end"/>
      </w:r>
      <w:r>
        <w:fldChar w:fldCharType="end"/>
      </w:r>
    </w:p>
    <w:p w14:paraId="7C6EBFA7">
      <w:pPr>
        <w:pStyle w:val="2"/>
        <w:tabs>
          <w:tab w:val="right" w:leader="dot" w:pos="8640"/>
        </w:tabs>
      </w:pPr>
      <w:r>
        <w:fldChar w:fldCharType="begin"/>
      </w:r>
      <w:r>
        <w:instrText xml:space="preserve"> HYPERLINK \l _Toc52889605 </w:instrText>
      </w:r>
      <w:r>
        <w:fldChar w:fldCharType="separate"/>
      </w:r>
      <w:r>
        <w:rPr>
          <w:rFonts w:ascii="黑体" w:hAnsi="Georgia" w:eastAsia="黑体" w:cs="Georgia"/>
        </w:rPr>
        <w:t>2.1.2 机器学习方法</w:t>
      </w:r>
      <w:r>
        <w:tab/>
      </w:r>
      <w:r>
        <w:fldChar w:fldCharType="begin"/>
      </w:r>
      <w:r>
        <w:instrText xml:space="preserve"> PAGEREF _Toc52889605 \h </w:instrText>
      </w:r>
      <w:r>
        <w:fldChar w:fldCharType="separate"/>
      </w:r>
      <w:r>
        <w:t>7</w:t>
      </w:r>
      <w:r>
        <w:fldChar w:fldCharType="end"/>
      </w:r>
      <w:r>
        <w:fldChar w:fldCharType="end"/>
      </w:r>
    </w:p>
    <w:p w14:paraId="6EB098A5">
      <w:pPr>
        <w:pStyle w:val="2"/>
        <w:tabs>
          <w:tab w:val="right" w:leader="dot" w:pos="8640"/>
        </w:tabs>
      </w:pPr>
      <w:r>
        <w:fldChar w:fldCharType="begin"/>
      </w:r>
      <w:r>
        <w:instrText xml:space="preserve"> HYPERLINK \l _Toc2004845024 </w:instrText>
      </w:r>
      <w:r>
        <w:fldChar w:fldCharType="separate"/>
      </w:r>
      <w:r>
        <w:rPr>
          <w:rFonts w:ascii="黑体" w:hAnsi="Georgia" w:eastAsia="黑体" w:cs="Georgia"/>
        </w:rPr>
        <w:t>2.1.3 集成方法</w:t>
      </w:r>
      <w:r>
        <w:tab/>
      </w:r>
      <w:r>
        <w:fldChar w:fldCharType="begin"/>
      </w:r>
      <w:r>
        <w:instrText xml:space="preserve"> PAGEREF _Toc2004845024 \h </w:instrText>
      </w:r>
      <w:r>
        <w:fldChar w:fldCharType="separate"/>
      </w:r>
      <w:r>
        <w:t>7</w:t>
      </w:r>
      <w:r>
        <w:fldChar w:fldCharType="end"/>
      </w:r>
      <w:r>
        <w:fldChar w:fldCharType="end"/>
      </w:r>
    </w:p>
    <w:p w14:paraId="79E054C7">
      <w:pPr>
        <w:pStyle w:val="4"/>
        <w:tabs>
          <w:tab w:val="right" w:leader="dot" w:pos="8640"/>
        </w:tabs>
      </w:pPr>
      <w:r>
        <w:fldChar w:fldCharType="begin"/>
      </w:r>
      <w:r>
        <w:instrText xml:space="preserve"> HYPERLINK \l _Toc1411896938 </w:instrText>
      </w:r>
      <w:r>
        <w:fldChar w:fldCharType="separate"/>
      </w:r>
      <w:r>
        <w:rPr>
          <w:rFonts w:ascii="黑体" w:hAnsi="Georgia" w:eastAsia="黑体" w:cs="Georgia"/>
        </w:rPr>
        <w:t>2.2 可解释机器学习</w:t>
      </w:r>
      <w:r>
        <w:tab/>
      </w:r>
      <w:r>
        <w:fldChar w:fldCharType="begin"/>
      </w:r>
      <w:r>
        <w:instrText xml:space="preserve"> PAGEREF _Toc1411896938 \h </w:instrText>
      </w:r>
      <w:r>
        <w:fldChar w:fldCharType="separate"/>
      </w:r>
      <w:r>
        <w:t>8</w:t>
      </w:r>
      <w:r>
        <w:fldChar w:fldCharType="end"/>
      </w:r>
      <w:r>
        <w:fldChar w:fldCharType="end"/>
      </w:r>
    </w:p>
    <w:p w14:paraId="0F426B9C">
      <w:pPr>
        <w:pStyle w:val="2"/>
        <w:tabs>
          <w:tab w:val="right" w:leader="dot" w:pos="8640"/>
        </w:tabs>
      </w:pPr>
      <w:r>
        <w:fldChar w:fldCharType="begin"/>
      </w:r>
      <w:r>
        <w:instrText xml:space="preserve"> HYPERLINK \l _Toc57537616 </w:instrText>
      </w:r>
      <w:r>
        <w:fldChar w:fldCharType="separate"/>
      </w:r>
      <w:r>
        <w:rPr>
          <w:rFonts w:ascii="黑体" w:hAnsi="Georgia" w:eastAsia="黑体" w:cs="Georgia"/>
        </w:rPr>
        <w:t>2.2.1 SHAP框架</w:t>
      </w:r>
      <w:r>
        <w:tab/>
      </w:r>
      <w:r>
        <w:fldChar w:fldCharType="begin"/>
      </w:r>
      <w:r>
        <w:instrText xml:space="preserve"> PAGEREF _Toc57537616 \h </w:instrText>
      </w:r>
      <w:r>
        <w:fldChar w:fldCharType="separate"/>
      </w:r>
      <w:r>
        <w:t>8</w:t>
      </w:r>
      <w:r>
        <w:fldChar w:fldCharType="end"/>
      </w:r>
      <w:r>
        <w:fldChar w:fldCharType="end"/>
      </w:r>
    </w:p>
    <w:p w14:paraId="100B6236">
      <w:pPr>
        <w:pStyle w:val="2"/>
        <w:tabs>
          <w:tab w:val="right" w:leader="dot" w:pos="8640"/>
        </w:tabs>
      </w:pPr>
      <w:r>
        <w:fldChar w:fldCharType="begin"/>
      </w:r>
      <w:r>
        <w:instrText xml:space="preserve"> HYPERLINK \l _Toc667070962 </w:instrText>
      </w:r>
      <w:r>
        <w:fldChar w:fldCharType="separate"/>
      </w:r>
      <w:r>
        <w:rPr>
          <w:rFonts w:ascii="黑体" w:hAnsi="Georgia" w:eastAsia="黑体" w:cs="Georgia"/>
        </w:rPr>
        <w:t>2.2.2 在环境科学中的应用</w:t>
      </w:r>
      <w:r>
        <w:tab/>
      </w:r>
      <w:r>
        <w:fldChar w:fldCharType="begin"/>
      </w:r>
      <w:r>
        <w:instrText xml:space="preserve"> PAGEREF _Toc667070962 \h </w:instrText>
      </w:r>
      <w:r>
        <w:fldChar w:fldCharType="separate"/>
      </w:r>
      <w:r>
        <w:t>8</w:t>
      </w:r>
      <w:r>
        <w:fldChar w:fldCharType="end"/>
      </w:r>
      <w:r>
        <w:fldChar w:fldCharType="end"/>
      </w:r>
    </w:p>
    <w:p w14:paraId="40736ECB">
      <w:pPr>
        <w:pStyle w:val="2"/>
        <w:tabs>
          <w:tab w:val="right" w:leader="dot" w:pos="8640"/>
        </w:tabs>
      </w:pPr>
      <w:r>
        <w:fldChar w:fldCharType="begin"/>
      </w:r>
      <w:r>
        <w:instrText xml:space="preserve"> HYPERLINK \l _Toc1597020994 </w:instrText>
      </w:r>
      <w:r>
        <w:fldChar w:fldCharType="separate"/>
      </w:r>
      <w:r>
        <w:rPr>
          <w:rFonts w:ascii="黑体" w:hAnsi="Georgia" w:eastAsia="黑体" w:cs="Georgia"/>
        </w:rPr>
        <w:t>2.2.3 其他可解释性方法</w:t>
      </w:r>
      <w:r>
        <w:tab/>
      </w:r>
      <w:r>
        <w:fldChar w:fldCharType="begin"/>
      </w:r>
      <w:r>
        <w:instrText xml:space="preserve"> PAGEREF _Toc1597020994 \h </w:instrText>
      </w:r>
      <w:r>
        <w:fldChar w:fldCharType="separate"/>
      </w:r>
      <w:r>
        <w:t>8</w:t>
      </w:r>
      <w:r>
        <w:fldChar w:fldCharType="end"/>
      </w:r>
      <w:r>
        <w:fldChar w:fldCharType="end"/>
      </w:r>
    </w:p>
    <w:p w14:paraId="7B9FCB8E">
      <w:pPr>
        <w:pStyle w:val="4"/>
        <w:tabs>
          <w:tab w:val="right" w:leader="dot" w:pos="8640"/>
        </w:tabs>
      </w:pPr>
      <w:r>
        <w:fldChar w:fldCharType="begin"/>
      </w:r>
      <w:r>
        <w:instrText xml:space="preserve"> HYPERLINK \l _Toc1881225952 </w:instrText>
      </w:r>
      <w:r>
        <w:fldChar w:fldCharType="separate"/>
      </w:r>
      <w:r>
        <w:rPr>
          <w:rFonts w:ascii="黑体" w:hAnsi="Georgia" w:eastAsia="黑体" w:cs="Georgia"/>
        </w:rPr>
        <w:t>2.3 水质评价标准与指标体系</w:t>
      </w:r>
      <w:r>
        <w:tab/>
      </w:r>
      <w:r>
        <w:fldChar w:fldCharType="begin"/>
      </w:r>
      <w:r>
        <w:instrText xml:space="preserve"> PAGEREF _Toc1881225952 \h </w:instrText>
      </w:r>
      <w:r>
        <w:fldChar w:fldCharType="separate"/>
      </w:r>
      <w:r>
        <w:t>9</w:t>
      </w:r>
      <w:r>
        <w:fldChar w:fldCharType="end"/>
      </w:r>
      <w:r>
        <w:fldChar w:fldCharType="end"/>
      </w:r>
    </w:p>
    <w:p w14:paraId="1E650CCD">
      <w:pPr>
        <w:pStyle w:val="2"/>
        <w:tabs>
          <w:tab w:val="right" w:leader="dot" w:pos="8640"/>
        </w:tabs>
      </w:pPr>
      <w:r>
        <w:fldChar w:fldCharType="begin"/>
      </w:r>
      <w:r>
        <w:instrText xml:space="preserve"> HYPERLINK \l _Toc362840483 </w:instrText>
      </w:r>
      <w:r>
        <w:fldChar w:fldCharType="separate"/>
      </w:r>
      <w:r>
        <w:rPr>
          <w:rFonts w:ascii="黑体" w:hAnsi="Georgia" w:eastAsia="黑体" w:cs="Georgia"/>
        </w:rPr>
        <w:t>2.3.1 地表水环境质量标准</w:t>
      </w:r>
      <w:r>
        <w:tab/>
      </w:r>
      <w:r>
        <w:fldChar w:fldCharType="begin"/>
      </w:r>
      <w:r>
        <w:instrText xml:space="preserve"> PAGEREF _Toc362840483 \h </w:instrText>
      </w:r>
      <w:r>
        <w:fldChar w:fldCharType="separate"/>
      </w:r>
      <w:r>
        <w:t>9</w:t>
      </w:r>
      <w:r>
        <w:fldChar w:fldCharType="end"/>
      </w:r>
      <w:r>
        <w:fldChar w:fldCharType="end"/>
      </w:r>
    </w:p>
    <w:p w14:paraId="07C9275F">
      <w:pPr>
        <w:pStyle w:val="2"/>
        <w:tabs>
          <w:tab w:val="right" w:leader="dot" w:pos="8640"/>
        </w:tabs>
      </w:pPr>
      <w:r>
        <w:fldChar w:fldCharType="begin"/>
      </w:r>
      <w:r>
        <w:instrText xml:space="preserve"> HYPERLINK \l _Toc1553923948 </w:instrText>
      </w:r>
      <w:r>
        <w:fldChar w:fldCharType="separate"/>
      </w:r>
      <w:r>
        <w:rPr>
          <w:rFonts w:ascii="黑体" w:hAnsi="Georgia" w:eastAsia="黑体" w:cs="Georgia"/>
        </w:rPr>
        <w:t>2.3.2 指标间的相互作用机制</w:t>
      </w:r>
      <w:r>
        <w:tab/>
      </w:r>
      <w:r>
        <w:fldChar w:fldCharType="begin"/>
      </w:r>
      <w:r>
        <w:instrText xml:space="preserve"> PAGEREF _Toc1553923948 \h </w:instrText>
      </w:r>
      <w:r>
        <w:fldChar w:fldCharType="separate"/>
      </w:r>
      <w:r>
        <w:t>9</w:t>
      </w:r>
      <w:r>
        <w:fldChar w:fldCharType="end"/>
      </w:r>
      <w:r>
        <w:fldChar w:fldCharType="end"/>
      </w:r>
    </w:p>
    <w:p w14:paraId="666CD65E">
      <w:pPr>
        <w:pStyle w:val="3"/>
        <w:tabs>
          <w:tab w:val="right" w:leader="dot" w:pos="8640"/>
        </w:tabs>
      </w:pPr>
      <w:r>
        <w:fldChar w:fldCharType="begin"/>
      </w:r>
      <w:r>
        <w:instrText xml:space="preserve"> HYPERLINK \l _Toc1251162869 </w:instrText>
      </w:r>
      <w:r>
        <w:fldChar w:fldCharType="separate"/>
      </w:r>
      <w:r>
        <w:rPr>
          <w:rFonts w:ascii="黑体" w:hAnsi="Georgia" w:eastAsia="黑体" w:cs="Georgia"/>
        </w:rPr>
        <w:t>第 3 章 数据与探索性分析</w:t>
      </w:r>
      <w:r>
        <w:tab/>
      </w:r>
      <w:r>
        <w:fldChar w:fldCharType="begin"/>
      </w:r>
      <w:r>
        <w:instrText xml:space="preserve"> PAGEREF _Toc1251162869 \h </w:instrText>
      </w:r>
      <w:r>
        <w:fldChar w:fldCharType="separate"/>
      </w:r>
      <w:r>
        <w:t>9</w:t>
      </w:r>
      <w:r>
        <w:fldChar w:fldCharType="end"/>
      </w:r>
      <w:r>
        <w:fldChar w:fldCharType="end"/>
      </w:r>
    </w:p>
    <w:p w14:paraId="4BDF8346">
      <w:pPr>
        <w:pStyle w:val="4"/>
        <w:tabs>
          <w:tab w:val="right" w:leader="dot" w:pos="8640"/>
        </w:tabs>
      </w:pPr>
      <w:r>
        <w:fldChar w:fldCharType="begin"/>
      </w:r>
      <w:r>
        <w:instrText xml:space="preserve"> HYPERLINK \l _Toc134467859 </w:instrText>
      </w:r>
      <w:r>
        <w:fldChar w:fldCharType="separate"/>
      </w:r>
      <w:r>
        <w:rPr>
          <w:rFonts w:ascii="黑体" w:hAnsi="Georgia" w:eastAsia="黑体" w:cs="Georgia"/>
        </w:rPr>
        <w:t>3.1 数据来源与变量说明</w:t>
      </w:r>
      <w:r>
        <w:tab/>
      </w:r>
      <w:r>
        <w:fldChar w:fldCharType="begin"/>
      </w:r>
      <w:r>
        <w:instrText xml:space="preserve"> PAGEREF _Toc134467859 \h </w:instrText>
      </w:r>
      <w:r>
        <w:fldChar w:fldCharType="separate"/>
      </w:r>
      <w:r>
        <w:t>9</w:t>
      </w:r>
      <w:r>
        <w:fldChar w:fldCharType="end"/>
      </w:r>
      <w:r>
        <w:fldChar w:fldCharType="end"/>
      </w:r>
    </w:p>
    <w:p w14:paraId="76872459">
      <w:pPr>
        <w:pStyle w:val="4"/>
        <w:tabs>
          <w:tab w:val="right" w:leader="dot" w:pos="8640"/>
        </w:tabs>
      </w:pPr>
      <w:r>
        <w:fldChar w:fldCharType="begin"/>
      </w:r>
      <w:r>
        <w:instrText xml:space="preserve"> HYPERLINK \l _Toc848509569 </w:instrText>
      </w:r>
      <w:r>
        <w:fldChar w:fldCharType="separate"/>
      </w:r>
      <w:r>
        <w:rPr>
          <w:rFonts w:ascii="黑体" w:hAnsi="Georgia" w:eastAsia="黑体" w:cs="Georgia"/>
        </w:rPr>
        <w:t>3.2 数据预处理与质量控制</w:t>
      </w:r>
      <w:r>
        <w:tab/>
      </w:r>
      <w:r>
        <w:fldChar w:fldCharType="begin"/>
      </w:r>
      <w:r>
        <w:instrText xml:space="preserve"> PAGEREF _Toc848509569 \h </w:instrText>
      </w:r>
      <w:r>
        <w:fldChar w:fldCharType="separate"/>
      </w:r>
      <w:r>
        <w:t>11</w:t>
      </w:r>
      <w:r>
        <w:fldChar w:fldCharType="end"/>
      </w:r>
      <w:r>
        <w:fldChar w:fldCharType="end"/>
      </w:r>
    </w:p>
    <w:p w14:paraId="50791FFA">
      <w:pPr>
        <w:pStyle w:val="4"/>
        <w:tabs>
          <w:tab w:val="right" w:leader="dot" w:pos="8640"/>
        </w:tabs>
      </w:pPr>
      <w:r>
        <w:fldChar w:fldCharType="begin"/>
      </w:r>
      <w:r>
        <w:instrText xml:space="preserve"> HYPERLINK \l _Toc1608910103 </w:instrText>
      </w:r>
      <w:r>
        <w:fldChar w:fldCharType="separate"/>
      </w:r>
      <w:r>
        <w:rPr>
          <w:rFonts w:ascii="黑体" w:hAnsi="Georgia" w:eastAsia="黑体" w:cs="Georgia"/>
        </w:rPr>
        <w:t>3.3 采样模式与时间特征分析</w:t>
      </w:r>
      <w:r>
        <w:tab/>
      </w:r>
      <w:r>
        <w:fldChar w:fldCharType="begin"/>
      </w:r>
      <w:r>
        <w:instrText xml:space="preserve"> PAGEREF _Toc1608910103 \h </w:instrText>
      </w:r>
      <w:r>
        <w:fldChar w:fldCharType="separate"/>
      </w:r>
      <w:r>
        <w:t>13</w:t>
      </w:r>
      <w:r>
        <w:fldChar w:fldCharType="end"/>
      </w:r>
      <w:r>
        <w:fldChar w:fldCharType="end"/>
      </w:r>
    </w:p>
    <w:p w14:paraId="033EED9D">
      <w:pPr>
        <w:pStyle w:val="4"/>
        <w:tabs>
          <w:tab w:val="right" w:leader="dot" w:pos="8640"/>
        </w:tabs>
      </w:pPr>
      <w:r>
        <w:fldChar w:fldCharType="begin"/>
      </w:r>
      <w:r>
        <w:instrText xml:space="preserve"> HYPERLINK \l _Toc1985501744 </w:instrText>
      </w:r>
      <w:r>
        <w:fldChar w:fldCharType="separate"/>
      </w:r>
      <w:r>
        <w:rPr>
          <w:rFonts w:ascii="黑体" w:hAnsi="Georgia" w:eastAsia="黑体" w:cs="Georgia"/>
        </w:rPr>
        <w:t>3.4 水质等级与空间分布</w:t>
      </w:r>
      <w:r>
        <w:tab/>
      </w:r>
      <w:r>
        <w:fldChar w:fldCharType="begin"/>
      </w:r>
      <w:r>
        <w:instrText xml:space="preserve"> PAGEREF _Toc1985501744 \h </w:instrText>
      </w:r>
      <w:r>
        <w:fldChar w:fldCharType="separate"/>
      </w:r>
      <w:r>
        <w:t>15</w:t>
      </w:r>
      <w:r>
        <w:fldChar w:fldCharType="end"/>
      </w:r>
      <w:r>
        <w:fldChar w:fldCharType="end"/>
      </w:r>
    </w:p>
    <w:p w14:paraId="3943D823">
      <w:pPr>
        <w:pStyle w:val="4"/>
        <w:tabs>
          <w:tab w:val="right" w:leader="dot" w:pos="8640"/>
        </w:tabs>
      </w:pPr>
      <w:r>
        <w:fldChar w:fldCharType="begin"/>
      </w:r>
      <w:r>
        <w:instrText xml:space="preserve"> HYPERLINK \l _Toc579420675 </w:instrText>
      </w:r>
      <w:r>
        <w:fldChar w:fldCharType="separate"/>
      </w:r>
      <w:r>
        <w:rPr>
          <w:rFonts w:ascii="黑体" w:hAnsi="Georgia" w:eastAsia="黑体" w:cs="Georgia"/>
        </w:rPr>
        <w:t>3.5 主要指标的统计特征与相关性</w:t>
      </w:r>
      <w:r>
        <w:tab/>
      </w:r>
      <w:r>
        <w:fldChar w:fldCharType="begin"/>
      </w:r>
      <w:r>
        <w:instrText xml:space="preserve"> PAGEREF _Toc579420675 \h </w:instrText>
      </w:r>
      <w:r>
        <w:fldChar w:fldCharType="separate"/>
      </w:r>
      <w:r>
        <w:t>17</w:t>
      </w:r>
      <w:r>
        <w:fldChar w:fldCharType="end"/>
      </w:r>
      <w:r>
        <w:fldChar w:fldCharType="end"/>
      </w:r>
    </w:p>
    <w:p w14:paraId="1D6C1D70">
      <w:pPr>
        <w:pStyle w:val="4"/>
        <w:tabs>
          <w:tab w:val="right" w:leader="dot" w:pos="8640"/>
        </w:tabs>
      </w:pPr>
      <w:r>
        <w:fldChar w:fldCharType="begin"/>
      </w:r>
      <w:r>
        <w:instrText xml:space="preserve"> HYPERLINK \l _Toc1632429227 </w:instrText>
      </w:r>
      <w:r>
        <w:fldChar w:fldCharType="separate"/>
      </w:r>
      <w:r>
        <w:rPr>
          <w:rFonts w:ascii="黑体" w:hAnsi="Georgia" w:eastAsia="黑体" w:cs="Georgia"/>
        </w:rPr>
        <w:t>3.6 特征工程</w:t>
      </w:r>
      <w:r>
        <w:tab/>
      </w:r>
      <w:r>
        <w:fldChar w:fldCharType="begin"/>
      </w:r>
      <w:r>
        <w:instrText xml:space="preserve"> PAGEREF _Toc1632429227 \h </w:instrText>
      </w:r>
      <w:r>
        <w:fldChar w:fldCharType="separate"/>
      </w:r>
      <w:r>
        <w:t>19</w:t>
      </w:r>
      <w:r>
        <w:fldChar w:fldCharType="end"/>
      </w:r>
      <w:r>
        <w:fldChar w:fldCharType="end"/>
      </w:r>
    </w:p>
    <w:p w14:paraId="50F149F1">
      <w:pPr>
        <w:pStyle w:val="3"/>
        <w:tabs>
          <w:tab w:val="right" w:leader="dot" w:pos="8640"/>
        </w:tabs>
      </w:pPr>
      <w:r>
        <w:fldChar w:fldCharType="begin"/>
      </w:r>
      <w:r>
        <w:instrText xml:space="preserve"> HYPERLINK \l _Toc2134427764 </w:instrText>
      </w:r>
      <w:r>
        <w:fldChar w:fldCharType="separate"/>
      </w:r>
      <w:r>
        <w:rPr>
          <w:rFonts w:ascii="黑体" w:hAnsi="Georgia" w:eastAsia="黑体" w:cs="Georgia"/>
        </w:rPr>
        <w:t>第 4 章 方法与实验设计</w:t>
      </w:r>
      <w:r>
        <w:tab/>
      </w:r>
      <w:r>
        <w:fldChar w:fldCharType="begin"/>
      </w:r>
      <w:r>
        <w:instrText xml:space="preserve"> PAGEREF _Toc2134427764 \h </w:instrText>
      </w:r>
      <w:r>
        <w:fldChar w:fldCharType="separate"/>
      </w:r>
      <w:r>
        <w:t>22</w:t>
      </w:r>
      <w:r>
        <w:fldChar w:fldCharType="end"/>
      </w:r>
      <w:r>
        <w:fldChar w:fldCharType="end"/>
      </w:r>
    </w:p>
    <w:p w14:paraId="7206C351">
      <w:pPr>
        <w:pStyle w:val="4"/>
        <w:tabs>
          <w:tab w:val="right" w:leader="dot" w:pos="8640"/>
        </w:tabs>
      </w:pPr>
      <w:r>
        <w:fldChar w:fldCharType="begin"/>
      </w:r>
      <w:r>
        <w:instrText xml:space="preserve"> HYPERLINK \l _Toc1760590060 </w:instrText>
      </w:r>
      <w:r>
        <w:fldChar w:fldCharType="separate"/>
      </w:r>
      <w:r>
        <w:rPr>
          <w:rFonts w:ascii="黑体" w:hAnsi="Georgia" w:eastAsia="黑体" w:cs="Georgia"/>
        </w:rPr>
        <w:t>4.1 任务定义</w:t>
      </w:r>
      <w:r>
        <w:tab/>
      </w:r>
      <w:r>
        <w:fldChar w:fldCharType="begin"/>
      </w:r>
      <w:r>
        <w:instrText xml:space="preserve"> PAGEREF _Toc1760590060 \h </w:instrText>
      </w:r>
      <w:r>
        <w:fldChar w:fldCharType="separate"/>
      </w:r>
      <w:r>
        <w:t>22</w:t>
      </w:r>
      <w:r>
        <w:fldChar w:fldCharType="end"/>
      </w:r>
      <w:r>
        <w:fldChar w:fldCharType="end"/>
      </w:r>
    </w:p>
    <w:p w14:paraId="42CE82E2">
      <w:pPr>
        <w:pStyle w:val="4"/>
        <w:tabs>
          <w:tab w:val="right" w:leader="dot" w:pos="8640"/>
        </w:tabs>
      </w:pPr>
      <w:r>
        <w:fldChar w:fldCharType="begin"/>
      </w:r>
      <w:r>
        <w:instrText xml:space="preserve"> HYPERLINK \l _Toc59966407 </w:instrText>
      </w:r>
      <w:r>
        <w:fldChar w:fldCharType="separate"/>
      </w:r>
      <w:r>
        <w:rPr>
          <w:rFonts w:ascii="黑体" w:hAnsi="Georgia" w:eastAsia="黑体" w:cs="Georgia"/>
        </w:rPr>
        <w:t>4.2 横截面方法</w:t>
      </w:r>
      <w:r>
        <w:tab/>
      </w:r>
      <w:r>
        <w:fldChar w:fldCharType="begin"/>
      </w:r>
      <w:r>
        <w:instrText xml:space="preserve"> PAGEREF _Toc59966407 \h </w:instrText>
      </w:r>
      <w:r>
        <w:fldChar w:fldCharType="separate"/>
      </w:r>
      <w:r>
        <w:t>22</w:t>
      </w:r>
      <w:r>
        <w:fldChar w:fldCharType="end"/>
      </w:r>
      <w:r>
        <w:fldChar w:fldCharType="end"/>
      </w:r>
    </w:p>
    <w:p w14:paraId="0C7D50F4">
      <w:pPr>
        <w:pStyle w:val="4"/>
        <w:tabs>
          <w:tab w:val="right" w:leader="dot" w:pos="8640"/>
        </w:tabs>
      </w:pPr>
      <w:r>
        <w:fldChar w:fldCharType="begin"/>
      </w:r>
      <w:r>
        <w:instrText xml:space="preserve"> HYPERLINK \l _Toc685572006 </w:instrText>
      </w:r>
      <w:r>
        <w:fldChar w:fldCharType="separate"/>
      </w:r>
      <w:r>
        <w:rPr>
          <w:rFonts w:ascii="黑体" w:hAnsi="Georgia" w:eastAsia="黑体" w:cs="Georgia"/>
        </w:rPr>
        <w:t>4.3 时间序列方法</w:t>
      </w:r>
      <w:r>
        <w:tab/>
      </w:r>
      <w:r>
        <w:fldChar w:fldCharType="begin"/>
      </w:r>
      <w:r>
        <w:instrText xml:space="preserve"> PAGEREF _Toc685572006 \h </w:instrText>
      </w:r>
      <w:r>
        <w:fldChar w:fldCharType="separate"/>
      </w:r>
      <w:r>
        <w:t>24</w:t>
      </w:r>
      <w:r>
        <w:fldChar w:fldCharType="end"/>
      </w:r>
      <w:r>
        <w:fldChar w:fldCharType="end"/>
      </w:r>
    </w:p>
    <w:p w14:paraId="6DA3DF44">
      <w:pPr>
        <w:pStyle w:val="4"/>
        <w:tabs>
          <w:tab w:val="right" w:leader="dot" w:pos="8640"/>
        </w:tabs>
      </w:pPr>
      <w:r>
        <w:fldChar w:fldCharType="begin"/>
      </w:r>
      <w:r>
        <w:instrText xml:space="preserve"> HYPERLINK \l _Toc1158938687 </w:instrText>
      </w:r>
      <w:r>
        <w:fldChar w:fldCharType="separate"/>
      </w:r>
      <w:r>
        <w:rPr>
          <w:rFonts w:ascii="黑体" w:hAnsi="Georgia" w:eastAsia="黑体" w:cs="Georgia"/>
        </w:rPr>
        <w:t>4.4 可解释与因果分析方法</w:t>
      </w:r>
      <w:r>
        <w:tab/>
      </w:r>
      <w:r>
        <w:fldChar w:fldCharType="begin"/>
      </w:r>
      <w:r>
        <w:instrText xml:space="preserve"> PAGEREF _Toc1158938687 \h </w:instrText>
      </w:r>
      <w:r>
        <w:fldChar w:fldCharType="separate"/>
      </w:r>
      <w:r>
        <w:t>25</w:t>
      </w:r>
      <w:r>
        <w:fldChar w:fldCharType="end"/>
      </w:r>
      <w:r>
        <w:fldChar w:fldCharType="end"/>
      </w:r>
    </w:p>
    <w:p w14:paraId="043D5232">
      <w:pPr>
        <w:pStyle w:val="2"/>
        <w:tabs>
          <w:tab w:val="right" w:leader="dot" w:pos="8640"/>
        </w:tabs>
      </w:pPr>
      <w:r>
        <w:fldChar w:fldCharType="begin"/>
      </w:r>
      <w:r>
        <w:instrText xml:space="preserve"> HYPERLINK \l _Toc605834119 </w:instrText>
      </w:r>
      <w:r>
        <w:fldChar w:fldCharType="separate"/>
      </w:r>
      <w:r>
        <w:rPr>
          <w:rFonts w:ascii="黑体" w:hAnsi="Georgia" w:eastAsia="黑体" w:cs="Georgia"/>
        </w:rPr>
        <w:t>4.4.1 SHAP可解释性框架</w:t>
      </w:r>
      <w:r>
        <w:tab/>
      </w:r>
      <w:r>
        <w:fldChar w:fldCharType="begin"/>
      </w:r>
      <w:r>
        <w:instrText xml:space="preserve"> PAGEREF _Toc605834119 \h </w:instrText>
      </w:r>
      <w:r>
        <w:fldChar w:fldCharType="separate"/>
      </w:r>
      <w:r>
        <w:t>25</w:t>
      </w:r>
      <w:r>
        <w:fldChar w:fldCharType="end"/>
      </w:r>
      <w:r>
        <w:fldChar w:fldCharType="end"/>
      </w:r>
    </w:p>
    <w:p w14:paraId="540DC312">
      <w:pPr>
        <w:pStyle w:val="2"/>
        <w:tabs>
          <w:tab w:val="right" w:leader="dot" w:pos="8640"/>
        </w:tabs>
      </w:pPr>
      <w:r>
        <w:fldChar w:fldCharType="begin"/>
      </w:r>
      <w:r>
        <w:instrText xml:space="preserve"> HYPERLINK \l _Toc1034067606 </w:instrText>
      </w:r>
      <w:r>
        <w:fldChar w:fldCharType="separate"/>
      </w:r>
      <w:r>
        <w:rPr>
          <w:rFonts w:ascii="黑体" w:hAnsi="Georgia" w:eastAsia="黑体" w:cs="Georgia"/>
        </w:rPr>
        <w:t>4.4.2 贝叶斯网络关联分析</w:t>
      </w:r>
      <w:r>
        <w:tab/>
      </w:r>
      <w:r>
        <w:fldChar w:fldCharType="begin"/>
      </w:r>
      <w:r>
        <w:instrText xml:space="preserve"> PAGEREF _Toc1034067606 \h </w:instrText>
      </w:r>
      <w:r>
        <w:fldChar w:fldCharType="separate"/>
      </w:r>
      <w:r>
        <w:t>28</w:t>
      </w:r>
      <w:r>
        <w:fldChar w:fldCharType="end"/>
      </w:r>
      <w:r>
        <w:fldChar w:fldCharType="end"/>
      </w:r>
    </w:p>
    <w:p w14:paraId="17CA116E">
      <w:pPr>
        <w:pStyle w:val="4"/>
        <w:tabs>
          <w:tab w:val="right" w:leader="dot" w:pos="8640"/>
        </w:tabs>
      </w:pPr>
      <w:r>
        <w:fldChar w:fldCharType="begin"/>
      </w:r>
      <w:r>
        <w:instrText xml:space="preserve"> HYPERLINK \l _Toc2136582518 </w:instrText>
      </w:r>
      <w:r>
        <w:fldChar w:fldCharType="separate"/>
      </w:r>
      <w:r>
        <w:rPr>
          <w:rFonts w:ascii="黑体" w:hAnsi="Georgia" w:eastAsia="黑体" w:cs="Georgia"/>
        </w:rPr>
        <w:t>4.5 实验设置</w:t>
      </w:r>
      <w:r>
        <w:tab/>
      </w:r>
      <w:r>
        <w:fldChar w:fldCharType="begin"/>
      </w:r>
      <w:r>
        <w:instrText xml:space="preserve"> PAGEREF _Toc2136582518 \h </w:instrText>
      </w:r>
      <w:r>
        <w:fldChar w:fldCharType="separate"/>
      </w:r>
      <w:r>
        <w:t>30</w:t>
      </w:r>
      <w:r>
        <w:fldChar w:fldCharType="end"/>
      </w:r>
      <w:r>
        <w:fldChar w:fldCharType="end"/>
      </w:r>
    </w:p>
    <w:p w14:paraId="323AD73B">
      <w:pPr>
        <w:pStyle w:val="2"/>
        <w:tabs>
          <w:tab w:val="right" w:leader="dot" w:pos="8640"/>
        </w:tabs>
      </w:pPr>
      <w:r>
        <w:fldChar w:fldCharType="begin"/>
      </w:r>
      <w:r>
        <w:instrText xml:space="preserve"> HYPERLINK \l _Toc1468318539 </w:instrText>
      </w:r>
      <w:r>
        <w:fldChar w:fldCharType="separate"/>
      </w:r>
      <w:r>
        <w:rPr>
          <w:rFonts w:ascii="黑体" w:hAnsi="Georgia" w:eastAsia="黑体" w:cs="Georgia"/>
        </w:rPr>
        <w:t>4.5.1 数据分割策略</w:t>
      </w:r>
      <w:r>
        <w:tab/>
      </w:r>
      <w:r>
        <w:fldChar w:fldCharType="begin"/>
      </w:r>
      <w:r>
        <w:instrText xml:space="preserve"> PAGEREF _Toc1468318539 \h </w:instrText>
      </w:r>
      <w:r>
        <w:fldChar w:fldCharType="separate"/>
      </w:r>
      <w:r>
        <w:t>30</w:t>
      </w:r>
      <w:r>
        <w:fldChar w:fldCharType="end"/>
      </w:r>
      <w:r>
        <w:fldChar w:fldCharType="end"/>
      </w:r>
    </w:p>
    <w:p w14:paraId="13C3ED9B">
      <w:pPr>
        <w:pStyle w:val="2"/>
        <w:tabs>
          <w:tab w:val="right" w:leader="dot" w:pos="8640"/>
        </w:tabs>
      </w:pPr>
      <w:r>
        <w:fldChar w:fldCharType="begin"/>
      </w:r>
      <w:r>
        <w:instrText xml:space="preserve"> HYPERLINK \l _Toc1295097296 </w:instrText>
      </w:r>
      <w:r>
        <w:fldChar w:fldCharType="separate"/>
      </w:r>
      <w:r>
        <w:rPr>
          <w:rFonts w:ascii="黑体" w:hAnsi="Georgia" w:eastAsia="黑体" w:cs="Georgia"/>
        </w:rPr>
        <w:t>4.5.2 评估指标体系</w:t>
      </w:r>
      <w:r>
        <w:tab/>
      </w:r>
      <w:r>
        <w:fldChar w:fldCharType="begin"/>
      </w:r>
      <w:r>
        <w:instrText xml:space="preserve"> PAGEREF _Toc1295097296 \h </w:instrText>
      </w:r>
      <w:r>
        <w:fldChar w:fldCharType="separate"/>
      </w:r>
      <w:r>
        <w:t>33</w:t>
      </w:r>
      <w:r>
        <w:fldChar w:fldCharType="end"/>
      </w:r>
      <w:r>
        <w:fldChar w:fldCharType="end"/>
      </w:r>
    </w:p>
    <w:p w14:paraId="44572578">
      <w:pPr>
        <w:pStyle w:val="2"/>
        <w:tabs>
          <w:tab w:val="right" w:leader="dot" w:pos="8640"/>
        </w:tabs>
      </w:pPr>
      <w:r>
        <w:fldChar w:fldCharType="begin"/>
      </w:r>
      <w:r>
        <w:instrText xml:space="preserve"> HYPERLINK \l _Toc1953491527 </w:instrText>
      </w:r>
      <w:r>
        <w:fldChar w:fldCharType="separate"/>
      </w:r>
      <w:r>
        <w:rPr>
          <w:rFonts w:ascii="黑体" w:hAnsi="Georgia" w:eastAsia="黑体" w:cs="Georgia"/>
        </w:rPr>
        <w:t>4.5.3 超参数配置</w:t>
      </w:r>
      <w:r>
        <w:tab/>
      </w:r>
      <w:r>
        <w:fldChar w:fldCharType="begin"/>
      </w:r>
      <w:r>
        <w:instrText xml:space="preserve"> PAGEREF _Toc1953491527 \h </w:instrText>
      </w:r>
      <w:r>
        <w:fldChar w:fldCharType="separate"/>
      </w:r>
      <w:r>
        <w:t>36</w:t>
      </w:r>
      <w:r>
        <w:fldChar w:fldCharType="end"/>
      </w:r>
      <w:r>
        <w:fldChar w:fldCharType="end"/>
      </w:r>
    </w:p>
    <w:p w14:paraId="41B37685">
      <w:pPr>
        <w:pStyle w:val="3"/>
        <w:tabs>
          <w:tab w:val="right" w:leader="dot" w:pos="8640"/>
        </w:tabs>
      </w:pPr>
      <w:r>
        <w:fldChar w:fldCharType="begin"/>
      </w:r>
      <w:r>
        <w:instrText xml:space="preserve"> HYPERLINK \l _Toc1602098953 </w:instrText>
      </w:r>
      <w:r>
        <w:fldChar w:fldCharType="separate"/>
      </w:r>
      <w:r>
        <w:rPr>
          <w:rFonts w:ascii="黑体" w:hAnsi="Georgia" w:eastAsia="黑体" w:cs="Georgia"/>
        </w:rPr>
        <w:t>第 5 章 实验结果</w:t>
      </w:r>
      <w:r>
        <w:tab/>
      </w:r>
      <w:r>
        <w:fldChar w:fldCharType="begin"/>
      </w:r>
      <w:r>
        <w:instrText xml:space="preserve"> PAGEREF _Toc1602098953 \h </w:instrText>
      </w:r>
      <w:r>
        <w:fldChar w:fldCharType="separate"/>
      </w:r>
      <w:r>
        <w:t>39</w:t>
      </w:r>
      <w:r>
        <w:fldChar w:fldCharType="end"/>
      </w:r>
      <w:r>
        <w:fldChar w:fldCharType="end"/>
      </w:r>
    </w:p>
    <w:p w14:paraId="02D11055">
      <w:pPr>
        <w:pStyle w:val="4"/>
        <w:tabs>
          <w:tab w:val="right" w:leader="dot" w:pos="8640"/>
        </w:tabs>
      </w:pPr>
      <w:r>
        <w:fldChar w:fldCharType="begin"/>
      </w:r>
      <w:r>
        <w:instrText xml:space="preserve"> HYPERLINK \l _Toc1327136985 </w:instrText>
      </w:r>
      <w:r>
        <w:fldChar w:fldCharType="separate"/>
      </w:r>
      <w:r>
        <w:rPr>
          <w:rFonts w:ascii="黑体" w:hAnsi="Georgia" w:eastAsia="黑体" w:cs="Georgia"/>
        </w:rPr>
        <w:t>5.1 方法性能对比总览</w:t>
      </w:r>
      <w:r>
        <w:tab/>
      </w:r>
      <w:r>
        <w:fldChar w:fldCharType="begin"/>
      </w:r>
      <w:r>
        <w:instrText xml:space="preserve"> PAGEREF _Toc1327136985 \h </w:instrText>
      </w:r>
      <w:r>
        <w:fldChar w:fldCharType="separate"/>
      </w:r>
      <w:r>
        <w:t>40</w:t>
      </w:r>
      <w:r>
        <w:fldChar w:fldCharType="end"/>
      </w:r>
      <w:r>
        <w:fldChar w:fldCharType="end"/>
      </w:r>
    </w:p>
    <w:p w14:paraId="683C0889">
      <w:pPr>
        <w:pStyle w:val="4"/>
        <w:tabs>
          <w:tab w:val="right" w:leader="dot" w:pos="8640"/>
        </w:tabs>
      </w:pPr>
      <w:r>
        <w:fldChar w:fldCharType="begin"/>
      </w:r>
      <w:r>
        <w:instrText xml:space="preserve"> HYPERLINK \l _Toc1426149153 </w:instrText>
      </w:r>
      <w:r>
        <w:fldChar w:fldCharType="separate"/>
      </w:r>
      <w:r>
        <w:rPr>
          <w:rFonts w:ascii="黑体" w:hAnsi="Georgia" w:eastAsia="黑体" w:cs="Georgia"/>
        </w:rPr>
        <w:t>5.2 横截面方法表现与分析</w:t>
      </w:r>
      <w:r>
        <w:tab/>
      </w:r>
      <w:r>
        <w:fldChar w:fldCharType="begin"/>
      </w:r>
      <w:r>
        <w:instrText xml:space="preserve"> PAGEREF _Toc1426149153 \h </w:instrText>
      </w:r>
      <w:r>
        <w:fldChar w:fldCharType="separate"/>
      </w:r>
      <w:r>
        <w:t>42</w:t>
      </w:r>
      <w:r>
        <w:fldChar w:fldCharType="end"/>
      </w:r>
      <w:r>
        <w:fldChar w:fldCharType="end"/>
      </w:r>
    </w:p>
    <w:p w14:paraId="19E2B327">
      <w:pPr>
        <w:pStyle w:val="2"/>
        <w:tabs>
          <w:tab w:val="right" w:leader="dot" w:pos="8640"/>
        </w:tabs>
      </w:pPr>
      <w:r>
        <w:fldChar w:fldCharType="begin"/>
      </w:r>
      <w:r>
        <w:instrText xml:space="preserve"> HYPERLINK \l _Toc1223830304 </w:instrText>
      </w:r>
      <w:r>
        <w:fldChar w:fldCharType="separate"/>
      </w:r>
      <w:r>
        <w:rPr>
          <w:rFonts w:ascii="黑体" w:hAnsi="Georgia" w:eastAsia="黑体" w:cs="Georgia"/>
        </w:rPr>
        <w:t>5.2.1 污染等级分类任务</w:t>
      </w:r>
      <w:r>
        <w:tab/>
      </w:r>
      <w:r>
        <w:fldChar w:fldCharType="begin"/>
      </w:r>
      <w:r>
        <w:instrText xml:space="preserve"> PAGEREF _Toc1223830304 \h </w:instrText>
      </w:r>
      <w:r>
        <w:fldChar w:fldCharType="separate"/>
      </w:r>
      <w:r>
        <w:t>42</w:t>
      </w:r>
      <w:r>
        <w:fldChar w:fldCharType="end"/>
      </w:r>
      <w:r>
        <w:fldChar w:fldCharType="end"/>
      </w:r>
    </w:p>
    <w:p w14:paraId="39FA204B">
      <w:pPr>
        <w:pStyle w:val="2"/>
        <w:tabs>
          <w:tab w:val="right" w:leader="dot" w:pos="8640"/>
        </w:tabs>
      </w:pPr>
      <w:r>
        <w:fldChar w:fldCharType="begin"/>
      </w:r>
      <w:r>
        <w:instrText xml:space="preserve"> HYPERLINK \l _Toc317548362 </w:instrText>
      </w:r>
      <w:r>
        <w:fldChar w:fldCharType="separate"/>
      </w:r>
      <w:r>
        <w:rPr>
          <w:rFonts w:ascii="黑体" w:hAnsi="Georgia" w:eastAsia="黑体" w:cs="Georgia"/>
        </w:rPr>
        <w:t>5.2.2 水质指标回归任务</w:t>
      </w:r>
      <w:r>
        <w:tab/>
      </w:r>
      <w:r>
        <w:fldChar w:fldCharType="begin"/>
      </w:r>
      <w:r>
        <w:instrText xml:space="preserve"> PAGEREF _Toc317548362 \h </w:instrText>
      </w:r>
      <w:r>
        <w:fldChar w:fldCharType="separate"/>
      </w:r>
      <w:r>
        <w:t>49</w:t>
      </w:r>
      <w:r>
        <w:fldChar w:fldCharType="end"/>
      </w:r>
      <w:r>
        <w:fldChar w:fldCharType="end"/>
      </w:r>
    </w:p>
    <w:p w14:paraId="5E55493A">
      <w:pPr>
        <w:pStyle w:val="4"/>
        <w:tabs>
          <w:tab w:val="right" w:leader="dot" w:pos="8640"/>
        </w:tabs>
      </w:pPr>
      <w:r>
        <w:fldChar w:fldCharType="begin"/>
      </w:r>
      <w:r>
        <w:instrText xml:space="preserve"> HYPERLINK \l _Toc538457339 </w:instrText>
      </w:r>
      <w:r>
        <w:fldChar w:fldCharType="separate"/>
      </w:r>
      <w:r>
        <w:rPr>
          <w:rFonts w:ascii="黑体" w:hAnsi="Georgia" w:eastAsia="黑体" w:cs="Georgia"/>
        </w:rPr>
        <w:t>5.3 时间序列方法性能分析</w:t>
      </w:r>
      <w:r>
        <w:tab/>
      </w:r>
      <w:r>
        <w:fldChar w:fldCharType="begin"/>
      </w:r>
      <w:r>
        <w:instrText xml:space="preserve"> PAGEREF _Toc538457339 \h </w:instrText>
      </w:r>
      <w:r>
        <w:fldChar w:fldCharType="separate"/>
      </w:r>
      <w:r>
        <w:t>50</w:t>
      </w:r>
      <w:r>
        <w:fldChar w:fldCharType="end"/>
      </w:r>
      <w:r>
        <w:fldChar w:fldCharType="end"/>
      </w:r>
    </w:p>
    <w:p w14:paraId="092AC403">
      <w:pPr>
        <w:pStyle w:val="4"/>
        <w:tabs>
          <w:tab w:val="right" w:leader="dot" w:pos="8640"/>
        </w:tabs>
      </w:pPr>
      <w:r>
        <w:fldChar w:fldCharType="begin"/>
      </w:r>
      <w:r>
        <w:instrText xml:space="preserve"> HYPERLINK \l _Toc356408115 </w:instrText>
      </w:r>
      <w:r>
        <w:fldChar w:fldCharType="separate"/>
      </w:r>
      <w:r>
        <w:rPr>
          <w:rFonts w:ascii="黑体" w:hAnsi="Georgia" w:eastAsia="黑体" w:cs="Georgia"/>
        </w:rPr>
        <w:t>5.4 SHAP可解释性分析</w:t>
      </w:r>
      <w:r>
        <w:tab/>
      </w:r>
      <w:r>
        <w:fldChar w:fldCharType="begin"/>
      </w:r>
      <w:r>
        <w:instrText xml:space="preserve"> PAGEREF _Toc356408115 \h </w:instrText>
      </w:r>
      <w:r>
        <w:fldChar w:fldCharType="separate"/>
      </w:r>
      <w:r>
        <w:t>52</w:t>
      </w:r>
      <w:r>
        <w:fldChar w:fldCharType="end"/>
      </w:r>
      <w:r>
        <w:fldChar w:fldCharType="end"/>
      </w:r>
    </w:p>
    <w:p w14:paraId="50A65155">
      <w:pPr>
        <w:pStyle w:val="4"/>
        <w:tabs>
          <w:tab w:val="right" w:leader="dot" w:pos="8640"/>
        </w:tabs>
      </w:pPr>
      <w:r>
        <w:fldChar w:fldCharType="begin"/>
      </w:r>
      <w:r>
        <w:instrText xml:space="preserve"> HYPERLINK \l _Toc819297322 </w:instrText>
      </w:r>
      <w:r>
        <w:fldChar w:fldCharType="separate"/>
      </w:r>
      <w:r>
        <w:rPr>
          <w:rFonts w:ascii="黑体" w:hAnsi="Georgia" w:eastAsia="黑体" w:cs="Georgia"/>
        </w:rPr>
        <w:t>5.5 复合污染模式关联分析</w:t>
      </w:r>
      <w:r>
        <w:tab/>
      </w:r>
      <w:r>
        <w:fldChar w:fldCharType="begin"/>
      </w:r>
      <w:r>
        <w:instrText xml:space="preserve"> PAGEREF _Toc819297322 \h </w:instrText>
      </w:r>
      <w:r>
        <w:fldChar w:fldCharType="separate"/>
      </w:r>
      <w:r>
        <w:t>58</w:t>
      </w:r>
      <w:r>
        <w:fldChar w:fldCharType="end"/>
      </w:r>
      <w:r>
        <w:fldChar w:fldCharType="end"/>
      </w:r>
    </w:p>
    <w:p w14:paraId="7D34E2B0">
      <w:pPr>
        <w:pStyle w:val="3"/>
        <w:tabs>
          <w:tab w:val="right" w:leader="dot" w:pos="8640"/>
        </w:tabs>
      </w:pPr>
      <w:r>
        <w:fldChar w:fldCharType="begin"/>
      </w:r>
      <w:r>
        <w:instrText xml:space="preserve"> HYPERLINK \l _Toc264946290 </w:instrText>
      </w:r>
      <w:r>
        <w:fldChar w:fldCharType="separate"/>
      </w:r>
      <w:r>
        <w:rPr>
          <w:rFonts w:ascii="黑体" w:hAnsi="Georgia" w:eastAsia="黑体" w:cs="Georgia"/>
        </w:rPr>
        <w:t>第 6 章 讨论</w:t>
      </w:r>
      <w:r>
        <w:tab/>
      </w:r>
      <w:r>
        <w:fldChar w:fldCharType="begin"/>
      </w:r>
      <w:r>
        <w:instrText xml:space="preserve"> PAGEREF _Toc264946290 \h </w:instrText>
      </w:r>
      <w:r>
        <w:fldChar w:fldCharType="separate"/>
      </w:r>
      <w:r>
        <w:t>60</w:t>
      </w:r>
      <w:r>
        <w:fldChar w:fldCharType="end"/>
      </w:r>
      <w:r>
        <w:fldChar w:fldCharType="end"/>
      </w:r>
    </w:p>
    <w:p w14:paraId="62DEC3C7">
      <w:pPr>
        <w:pStyle w:val="4"/>
        <w:tabs>
          <w:tab w:val="right" w:leader="dot" w:pos="8640"/>
        </w:tabs>
      </w:pPr>
      <w:r>
        <w:fldChar w:fldCharType="begin"/>
      </w:r>
      <w:r>
        <w:instrText xml:space="preserve"> HYPERLINK \l _Toc1218695799 </w:instrText>
      </w:r>
      <w:r>
        <w:fldChar w:fldCharType="separate"/>
      </w:r>
      <w:r>
        <w:rPr>
          <w:rFonts w:ascii="黑体" w:hAnsi="Georgia" w:eastAsia="黑体" w:cs="Georgia"/>
        </w:rPr>
        <w:t>6.1 不规则采样对不同方法的影响</w:t>
      </w:r>
      <w:r>
        <w:tab/>
      </w:r>
      <w:r>
        <w:fldChar w:fldCharType="begin"/>
      </w:r>
      <w:r>
        <w:instrText xml:space="preserve"> PAGEREF _Toc1218695799 \h </w:instrText>
      </w:r>
      <w:r>
        <w:fldChar w:fldCharType="separate"/>
      </w:r>
      <w:r>
        <w:t>60</w:t>
      </w:r>
      <w:r>
        <w:fldChar w:fldCharType="end"/>
      </w:r>
      <w:r>
        <w:fldChar w:fldCharType="end"/>
      </w:r>
    </w:p>
    <w:p w14:paraId="54950A28">
      <w:pPr>
        <w:pStyle w:val="4"/>
        <w:tabs>
          <w:tab w:val="right" w:leader="dot" w:pos="8640"/>
        </w:tabs>
      </w:pPr>
      <w:r>
        <w:fldChar w:fldCharType="begin"/>
      </w:r>
      <w:r>
        <w:instrText xml:space="preserve"> HYPERLINK \l _Toc2068752354 </w:instrText>
      </w:r>
      <w:r>
        <w:fldChar w:fldCharType="separate"/>
      </w:r>
      <w:r>
        <w:rPr>
          <w:rFonts w:ascii="黑体" w:hAnsi="Georgia" w:eastAsia="黑体" w:cs="Georgia"/>
        </w:rPr>
        <w:t>6.2 横截面建模的优势与边界</w:t>
      </w:r>
      <w:r>
        <w:tab/>
      </w:r>
      <w:r>
        <w:fldChar w:fldCharType="begin"/>
      </w:r>
      <w:r>
        <w:instrText xml:space="preserve"> PAGEREF _Toc2068752354 \h </w:instrText>
      </w:r>
      <w:r>
        <w:fldChar w:fldCharType="separate"/>
      </w:r>
      <w:r>
        <w:t>61</w:t>
      </w:r>
      <w:r>
        <w:fldChar w:fldCharType="end"/>
      </w:r>
      <w:r>
        <w:fldChar w:fldCharType="end"/>
      </w:r>
    </w:p>
    <w:p w14:paraId="08D211F6">
      <w:pPr>
        <w:pStyle w:val="4"/>
        <w:tabs>
          <w:tab w:val="right" w:leader="dot" w:pos="8640"/>
        </w:tabs>
      </w:pPr>
      <w:r>
        <w:fldChar w:fldCharType="begin"/>
      </w:r>
      <w:r>
        <w:instrText xml:space="preserve"> HYPERLINK \l _Toc1760568748 </w:instrText>
      </w:r>
      <w:r>
        <w:fldChar w:fldCharType="separate"/>
      </w:r>
      <w:r>
        <w:rPr>
          <w:rFonts w:ascii="黑体" w:hAnsi="Georgia" w:eastAsia="黑体" w:cs="Georgia"/>
        </w:rPr>
        <w:t>6.3 可解释性结果与监测/预警的联系</w:t>
      </w:r>
      <w:r>
        <w:tab/>
      </w:r>
      <w:r>
        <w:fldChar w:fldCharType="begin"/>
      </w:r>
      <w:r>
        <w:instrText xml:space="preserve"> PAGEREF _Toc1760568748 \h </w:instrText>
      </w:r>
      <w:r>
        <w:fldChar w:fldCharType="separate"/>
      </w:r>
      <w:r>
        <w:t>63</w:t>
      </w:r>
      <w:r>
        <w:fldChar w:fldCharType="end"/>
      </w:r>
      <w:r>
        <w:fldChar w:fldCharType="end"/>
      </w:r>
    </w:p>
    <w:p w14:paraId="34A2E0A2">
      <w:pPr>
        <w:pStyle w:val="4"/>
        <w:tabs>
          <w:tab w:val="right" w:leader="dot" w:pos="8640"/>
        </w:tabs>
      </w:pPr>
      <w:r>
        <w:fldChar w:fldCharType="begin"/>
      </w:r>
      <w:r>
        <w:instrText xml:space="preserve"> HYPERLINK \l _Toc1849259270 </w:instrText>
      </w:r>
      <w:r>
        <w:fldChar w:fldCharType="separate"/>
      </w:r>
      <w:r>
        <w:rPr>
          <w:rFonts w:ascii="黑体" w:hAnsi="Georgia" w:eastAsia="黑体" w:cs="Georgia"/>
        </w:rPr>
        <w:t>6.4 贝叶斯网络与因果推断的局限</w:t>
      </w:r>
      <w:r>
        <w:tab/>
      </w:r>
      <w:r>
        <w:fldChar w:fldCharType="begin"/>
      </w:r>
      <w:r>
        <w:instrText xml:space="preserve"> PAGEREF _Toc1849259270 \h </w:instrText>
      </w:r>
      <w:r>
        <w:fldChar w:fldCharType="separate"/>
      </w:r>
      <w:r>
        <w:t>64</w:t>
      </w:r>
      <w:r>
        <w:fldChar w:fldCharType="end"/>
      </w:r>
      <w:r>
        <w:fldChar w:fldCharType="end"/>
      </w:r>
    </w:p>
    <w:p w14:paraId="229F1C74">
      <w:pPr>
        <w:pStyle w:val="4"/>
        <w:tabs>
          <w:tab w:val="right" w:leader="dot" w:pos="8640"/>
        </w:tabs>
      </w:pPr>
      <w:r>
        <w:fldChar w:fldCharType="begin"/>
      </w:r>
      <w:r>
        <w:instrText xml:space="preserve"> HYPERLINK \l _Toc2117211506 </w:instrText>
      </w:r>
      <w:r>
        <w:fldChar w:fldCharType="separate"/>
      </w:r>
      <w:r>
        <w:rPr>
          <w:rFonts w:ascii="黑体" w:hAnsi="Georgia" w:eastAsia="黑体" w:cs="Georgia"/>
        </w:rPr>
        <w:t>6.5 研究局限性</w:t>
      </w:r>
      <w:r>
        <w:tab/>
      </w:r>
      <w:r>
        <w:fldChar w:fldCharType="begin"/>
      </w:r>
      <w:r>
        <w:instrText xml:space="preserve"> PAGEREF _Toc2117211506 \h </w:instrText>
      </w:r>
      <w:r>
        <w:fldChar w:fldCharType="separate"/>
      </w:r>
      <w:r>
        <w:t>65</w:t>
      </w:r>
      <w:r>
        <w:fldChar w:fldCharType="end"/>
      </w:r>
      <w:r>
        <w:fldChar w:fldCharType="end"/>
      </w:r>
    </w:p>
    <w:p w14:paraId="44B72981">
      <w:pPr>
        <w:pStyle w:val="3"/>
        <w:tabs>
          <w:tab w:val="right" w:leader="dot" w:pos="8640"/>
        </w:tabs>
      </w:pPr>
      <w:r>
        <w:fldChar w:fldCharType="begin"/>
      </w:r>
      <w:r>
        <w:instrText xml:space="preserve"> HYPERLINK \l _Toc169750552 </w:instrText>
      </w:r>
      <w:r>
        <w:fldChar w:fldCharType="separate"/>
      </w:r>
      <w:r>
        <w:rPr>
          <w:rFonts w:ascii="黑体" w:hAnsi="Georgia" w:eastAsia="黑体" w:cs="Georgia"/>
        </w:rPr>
        <w:t>第 7 章 系统原型与可视化平台</w:t>
      </w:r>
      <w:r>
        <w:tab/>
      </w:r>
      <w:r>
        <w:fldChar w:fldCharType="begin"/>
      </w:r>
      <w:r>
        <w:instrText xml:space="preserve"> PAGEREF _Toc169750552 \h </w:instrText>
      </w:r>
      <w:r>
        <w:fldChar w:fldCharType="separate"/>
      </w:r>
      <w:r>
        <w:t>66</w:t>
      </w:r>
      <w:r>
        <w:fldChar w:fldCharType="end"/>
      </w:r>
      <w:r>
        <w:fldChar w:fldCharType="end"/>
      </w:r>
    </w:p>
    <w:p w14:paraId="7219090A">
      <w:pPr>
        <w:pStyle w:val="4"/>
        <w:tabs>
          <w:tab w:val="right" w:leader="dot" w:pos="8640"/>
        </w:tabs>
      </w:pPr>
      <w:r>
        <w:fldChar w:fldCharType="begin"/>
      </w:r>
      <w:r>
        <w:instrText xml:space="preserve"> HYPERLINK \l _Toc1139244248 </w:instrText>
      </w:r>
      <w:r>
        <w:fldChar w:fldCharType="separate"/>
      </w:r>
      <w:r>
        <w:rPr>
          <w:rFonts w:ascii="黑体" w:hAnsi="Georgia" w:eastAsia="黑体" w:cs="Georgia"/>
        </w:rPr>
        <w:t>7.1 系统设计目标与架构</w:t>
      </w:r>
      <w:r>
        <w:tab/>
      </w:r>
      <w:r>
        <w:fldChar w:fldCharType="begin"/>
      </w:r>
      <w:r>
        <w:instrText xml:space="preserve"> PAGEREF _Toc1139244248 \h </w:instrText>
      </w:r>
      <w:r>
        <w:fldChar w:fldCharType="separate"/>
      </w:r>
      <w:r>
        <w:t>66</w:t>
      </w:r>
      <w:r>
        <w:fldChar w:fldCharType="end"/>
      </w:r>
      <w:r>
        <w:fldChar w:fldCharType="end"/>
      </w:r>
    </w:p>
    <w:p w14:paraId="1C388F5B">
      <w:pPr>
        <w:pStyle w:val="4"/>
        <w:tabs>
          <w:tab w:val="right" w:leader="dot" w:pos="8640"/>
        </w:tabs>
      </w:pPr>
      <w:r>
        <w:fldChar w:fldCharType="begin"/>
      </w:r>
      <w:r>
        <w:instrText xml:space="preserve"> HYPERLINK \l _Toc313879484 </w:instrText>
      </w:r>
      <w:r>
        <w:fldChar w:fldCharType="separate"/>
      </w:r>
      <w:r>
        <w:rPr>
          <w:rFonts w:ascii="黑体" w:hAnsi="Georgia" w:eastAsia="黑体" w:cs="Georgia"/>
        </w:rPr>
        <w:t>7.2 核心功能模块</w:t>
      </w:r>
      <w:r>
        <w:tab/>
      </w:r>
      <w:r>
        <w:fldChar w:fldCharType="begin"/>
      </w:r>
      <w:r>
        <w:instrText xml:space="preserve"> PAGEREF _Toc313879484 \h </w:instrText>
      </w:r>
      <w:r>
        <w:fldChar w:fldCharType="separate"/>
      </w:r>
      <w:r>
        <w:t>68</w:t>
      </w:r>
      <w:r>
        <w:fldChar w:fldCharType="end"/>
      </w:r>
      <w:r>
        <w:fldChar w:fldCharType="end"/>
      </w:r>
    </w:p>
    <w:p w14:paraId="2E9F993C">
      <w:pPr>
        <w:pStyle w:val="2"/>
        <w:tabs>
          <w:tab w:val="right" w:leader="dot" w:pos="8640"/>
        </w:tabs>
      </w:pPr>
      <w:r>
        <w:fldChar w:fldCharType="begin"/>
      </w:r>
      <w:r>
        <w:instrText xml:space="preserve"> HYPERLINK \l _Toc1152650556 </w:instrText>
      </w:r>
      <w:r>
        <w:fldChar w:fldCharType="separate"/>
      </w:r>
      <w:r>
        <w:rPr>
          <w:rFonts w:ascii="黑体" w:hAnsi="Georgia" w:eastAsia="黑体" w:cs="Georgia"/>
        </w:rPr>
        <w:t>7.2.1 交互式时空可视化</w:t>
      </w:r>
      <w:r>
        <w:tab/>
      </w:r>
      <w:r>
        <w:fldChar w:fldCharType="begin"/>
      </w:r>
      <w:r>
        <w:instrText xml:space="preserve"> PAGEREF _Toc1152650556 \h </w:instrText>
      </w:r>
      <w:r>
        <w:fldChar w:fldCharType="separate"/>
      </w:r>
      <w:r>
        <w:t>68</w:t>
      </w:r>
      <w:r>
        <w:fldChar w:fldCharType="end"/>
      </w:r>
      <w:r>
        <w:fldChar w:fldCharType="end"/>
      </w:r>
    </w:p>
    <w:p w14:paraId="650FE458">
      <w:pPr>
        <w:pStyle w:val="2"/>
        <w:tabs>
          <w:tab w:val="right" w:leader="dot" w:pos="8640"/>
        </w:tabs>
      </w:pPr>
      <w:r>
        <w:fldChar w:fldCharType="begin"/>
      </w:r>
      <w:r>
        <w:instrText xml:space="preserve"> HYPERLINK \l _Toc147915105 </w:instrText>
      </w:r>
      <w:r>
        <w:fldChar w:fldCharType="separate"/>
      </w:r>
      <w:r>
        <w:rPr>
          <w:rFonts w:ascii="黑体" w:hAnsi="Georgia" w:eastAsia="黑体" w:cs="Georgia"/>
        </w:rPr>
        <w:t>7.2.2 机器学习预测服务</w:t>
      </w:r>
      <w:r>
        <w:tab/>
      </w:r>
      <w:r>
        <w:fldChar w:fldCharType="begin"/>
      </w:r>
      <w:r>
        <w:instrText xml:space="preserve"> PAGEREF _Toc147915105 \h </w:instrText>
      </w:r>
      <w:r>
        <w:fldChar w:fldCharType="separate"/>
      </w:r>
      <w:r>
        <w:t>68</w:t>
      </w:r>
      <w:r>
        <w:fldChar w:fldCharType="end"/>
      </w:r>
      <w:r>
        <w:fldChar w:fldCharType="end"/>
      </w:r>
    </w:p>
    <w:p w14:paraId="71EEDFE8">
      <w:pPr>
        <w:pStyle w:val="2"/>
        <w:tabs>
          <w:tab w:val="right" w:leader="dot" w:pos="8640"/>
        </w:tabs>
      </w:pPr>
      <w:r>
        <w:fldChar w:fldCharType="begin"/>
      </w:r>
      <w:r>
        <w:instrText xml:space="preserve"> HYPERLINK \l _Toc1370590156 </w:instrText>
      </w:r>
      <w:r>
        <w:fldChar w:fldCharType="separate"/>
      </w:r>
      <w:r>
        <w:rPr>
          <w:rFonts w:ascii="黑体" w:hAnsi="Georgia" w:eastAsia="黑体" w:cs="Georgia"/>
        </w:rPr>
        <w:t>7.2.3 可解释性分析工具</w:t>
      </w:r>
      <w:r>
        <w:tab/>
      </w:r>
      <w:r>
        <w:fldChar w:fldCharType="begin"/>
      </w:r>
      <w:r>
        <w:instrText xml:space="preserve"> PAGEREF _Toc1370590156 \h </w:instrText>
      </w:r>
      <w:r>
        <w:fldChar w:fldCharType="separate"/>
      </w:r>
      <w:r>
        <w:t>69</w:t>
      </w:r>
      <w:r>
        <w:fldChar w:fldCharType="end"/>
      </w:r>
      <w:r>
        <w:fldChar w:fldCharType="end"/>
      </w:r>
    </w:p>
    <w:p w14:paraId="7F28AC49">
      <w:pPr>
        <w:pStyle w:val="4"/>
        <w:tabs>
          <w:tab w:val="right" w:leader="dot" w:pos="8640"/>
        </w:tabs>
      </w:pPr>
      <w:r>
        <w:fldChar w:fldCharType="begin"/>
      </w:r>
      <w:r>
        <w:instrText xml:space="preserve"> HYPERLINK \l _Toc1599154170 </w:instrText>
      </w:r>
      <w:r>
        <w:fldChar w:fldCharType="separate"/>
      </w:r>
      <w:r>
        <w:rPr>
          <w:rFonts w:ascii="黑体" w:hAnsi="Georgia" w:eastAsia="黑体" w:cs="Georgia"/>
        </w:rPr>
        <w:t>7.3 应用场景与价值验证</w:t>
      </w:r>
      <w:r>
        <w:tab/>
      </w:r>
      <w:r>
        <w:fldChar w:fldCharType="begin"/>
      </w:r>
      <w:r>
        <w:instrText xml:space="preserve"> PAGEREF _Toc1599154170 \h </w:instrText>
      </w:r>
      <w:r>
        <w:fldChar w:fldCharType="separate"/>
      </w:r>
      <w:r>
        <w:t>70</w:t>
      </w:r>
      <w:r>
        <w:fldChar w:fldCharType="end"/>
      </w:r>
      <w:r>
        <w:fldChar w:fldCharType="end"/>
      </w:r>
    </w:p>
    <w:p w14:paraId="158BE76A">
      <w:pPr>
        <w:pStyle w:val="4"/>
        <w:tabs>
          <w:tab w:val="right" w:leader="dot" w:pos="8640"/>
        </w:tabs>
      </w:pPr>
      <w:r>
        <w:fldChar w:fldCharType="begin"/>
      </w:r>
      <w:r>
        <w:instrText xml:space="preserve"> HYPERLINK \l _Toc1226292985 </w:instrText>
      </w:r>
      <w:r>
        <w:fldChar w:fldCharType="separate"/>
      </w:r>
      <w:r>
        <w:rPr>
          <w:rFonts w:ascii="黑体" w:hAnsi="Georgia" w:eastAsia="黑体" w:cs="Georgia"/>
        </w:rPr>
        <w:t>7.4 性能评估与技术挑战</w:t>
      </w:r>
      <w:r>
        <w:tab/>
      </w:r>
      <w:r>
        <w:fldChar w:fldCharType="begin"/>
      </w:r>
      <w:r>
        <w:instrText xml:space="preserve"> PAGEREF _Toc1226292985 \h </w:instrText>
      </w:r>
      <w:r>
        <w:fldChar w:fldCharType="separate"/>
      </w:r>
      <w:r>
        <w:t>71</w:t>
      </w:r>
      <w:r>
        <w:fldChar w:fldCharType="end"/>
      </w:r>
      <w:r>
        <w:fldChar w:fldCharType="end"/>
      </w:r>
    </w:p>
    <w:p w14:paraId="23233C84">
      <w:pPr>
        <w:pStyle w:val="4"/>
        <w:tabs>
          <w:tab w:val="right" w:leader="dot" w:pos="8640"/>
        </w:tabs>
      </w:pPr>
      <w:r>
        <w:fldChar w:fldCharType="begin"/>
      </w:r>
      <w:r>
        <w:instrText xml:space="preserve"> HYPERLINK \l _Toc905638636 </w:instrText>
      </w:r>
      <w:r>
        <w:fldChar w:fldCharType="separate"/>
      </w:r>
      <w:r>
        <w:rPr>
          <w:rFonts w:ascii="黑体" w:hAnsi="Georgia" w:eastAsia="黑体" w:cs="Georgia"/>
        </w:rPr>
        <w:t>7.5 小结</w:t>
      </w:r>
      <w:r>
        <w:tab/>
      </w:r>
      <w:r>
        <w:fldChar w:fldCharType="begin"/>
      </w:r>
      <w:r>
        <w:instrText xml:space="preserve"> PAGEREF _Toc905638636 \h </w:instrText>
      </w:r>
      <w:r>
        <w:fldChar w:fldCharType="separate"/>
      </w:r>
      <w:r>
        <w:t>71</w:t>
      </w:r>
      <w:r>
        <w:fldChar w:fldCharType="end"/>
      </w:r>
      <w:r>
        <w:fldChar w:fldCharType="end"/>
      </w:r>
    </w:p>
    <w:p w14:paraId="2C35D767">
      <w:pPr>
        <w:pStyle w:val="3"/>
        <w:tabs>
          <w:tab w:val="right" w:leader="dot" w:pos="8640"/>
        </w:tabs>
      </w:pPr>
      <w:r>
        <w:fldChar w:fldCharType="begin"/>
      </w:r>
      <w:r>
        <w:instrText xml:space="preserve"> HYPERLINK \l _Toc1851948963 </w:instrText>
      </w:r>
      <w:r>
        <w:fldChar w:fldCharType="separate"/>
      </w:r>
      <w:r>
        <w:rPr>
          <w:rFonts w:ascii="黑体" w:hAnsi="Georgia" w:eastAsia="黑体" w:cs="Georgia"/>
        </w:rPr>
        <w:t>第 8 章 结论与展望</w:t>
      </w:r>
      <w:r>
        <w:tab/>
      </w:r>
      <w:r>
        <w:fldChar w:fldCharType="begin"/>
      </w:r>
      <w:r>
        <w:instrText xml:space="preserve"> PAGEREF _Toc1851948963 \h </w:instrText>
      </w:r>
      <w:r>
        <w:fldChar w:fldCharType="separate"/>
      </w:r>
      <w:r>
        <w:t>72</w:t>
      </w:r>
      <w:r>
        <w:fldChar w:fldCharType="end"/>
      </w:r>
      <w:r>
        <w:fldChar w:fldCharType="end"/>
      </w:r>
    </w:p>
    <w:p w14:paraId="0ADC91E7">
      <w:pPr>
        <w:pStyle w:val="4"/>
        <w:tabs>
          <w:tab w:val="right" w:leader="dot" w:pos="8640"/>
        </w:tabs>
      </w:pPr>
      <w:r>
        <w:fldChar w:fldCharType="begin"/>
      </w:r>
      <w:r>
        <w:instrText xml:space="preserve"> HYPERLINK \l _Toc78241523 </w:instrText>
      </w:r>
      <w:r>
        <w:fldChar w:fldCharType="separate"/>
      </w:r>
      <w:r>
        <w:rPr>
          <w:rFonts w:ascii="黑体" w:hAnsi="Georgia" w:eastAsia="黑体" w:cs="Georgia"/>
        </w:rPr>
        <w:t>8.1 主要研究结论</w:t>
      </w:r>
      <w:r>
        <w:tab/>
      </w:r>
      <w:r>
        <w:fldChar w:fldCharType="begin"/>
      </w:r>
      <w:r>
        <w:instrText xml:space="preserve"> PAGEREF _Toc78241523 \h </w:instrText>
      </w:r>
      <w:r>
        <w:fldChar w:fldCharType="separate"/>
      </w:r>
      <w:r>
        <w:t>72</w:t>
      </w:r>
      <w:r>
        <w:fldChar w:fldCharType="end"/>
      </w:r>
      <w:r>
        <w:fldChar w:fldCharType="end"/>
      </w:r>
    </w:p>
    <w:p w14:paraId="5AE8B021">
      <w:pPr>
        <w:pStyle w:val="4"/>
        <w:tabs>
          <w:tab w:val="right" w:leader="dot" w:pos="8640"/>
        </w:tabs>
      </w:pPr>
      <w:r>
        <w:fldChar w:fldCharType="begin"/>
      </w:r>
      <w:r>
        <w:instrText xml:space="preserve"> HYPERLINK \l _Toc745285097 </w:instrText>
      </w:r>
      <w:r>
        <w:fldChar w:fldCharType="separate"/>
      </w:r>
      <w:r>
        <w:rPr>
          <w:rFonts w:ascii="黑体" w:hAnsi="Georgia" w:eastAsia="黑体" w:cs="Georgia"/>
        </w:rPr>
        <w:t>8.2 理论与实践贡献</w:t>
      </w:r>
      <w:r>
        <w:tab/>
      </w:r>
      <w:r>
        <w:fldChar w:fldCharType="begin"/>
      </w:r>
      <w:r>
        <w:instrText xml:space="preserve"> PAGEREF _Toc745285097 \h </w:instrText>
      </w:r>
      <w:r>
        <w:fldChar w:fldCharType="separate"/>
      </w:r>
      <w:r>
        <w:t>74</w:t>
      </w:r>
      <w:r>
        <w:fldChar w:fldCharType="end"/>
      </w:r>
      <w:r>
        <w:fldChar w:fldCharType="end"/>
      </w:r>
    </w:p>
    <w:p w14:paraId="32433EEA">
      <w:pPr>
        <w:pStyle w:val="4"/>
        <w:tabs>
          <w:tab w:val="right" w:leader="dot" w:pos="8640"/>
        </w:tabs>
      </w:pPr>
      <w:r>
        <w:fldChar w:fldCharType="begin"/>
      </w:r>
      <w:r>
        <w:instrText xml:space="preserve"> HYPERLINK \l _Toc1881995975 </w:instrText>
      </w:r>
      <w:r>
        <w:fldChar w:fldCharType="separate"/>
      </w:r>
      <w:r>
        <w:rPr>
          <w:rFonts w:ascii="黑体" w:hAnsi="Georgia" w:eastAsia="黑体" w:cs="Georgia"/>
        </w:rPr>
        <w:t>8.3 研究局限性</w:t>
      </w:r>
      <w:r>
        <w:tab/>
      </w:r>
      <w:r>
        <w:fldChar w:fldCharType="begin"/>
      </w:r>
      <w:r>
        <w:instrText xml:space="preserve"> PAGEREF _Toc1881995975 \h </w:instrText>
      </w:r>
      <w:r>
        <w:fldChar w:fldCharType="separate"/>
      </w:r>
      <w:r>
        <w:t>76</w:t>
      </w:r>
      <w:r>
        <w:fldChar w:fldCharType="end"/>
      </w:r>
      <w:r>
        <w:fldChar w:fldCharType="end"/>
      </w:r>
    </w:p>
    <w:p w14:paraId="51888C8A">
      <w:pPr>
        <w:pStyle w:val="4"/>
        <w:tabs>
          <w:tab w:val="right" w:leader="dot" w:pos="8640"/>
        </w:tabs>
      </w:pPr>
      <w:r>
        <w:fldChar w:fldCharType="begin"/>
      </w:r>
      <w:r>
        <w:instrText xml:space="preserve"> HYPERLINK \l _Toc419715162 </w:instrText>
      </w:r>
      <w:r>
        <w:fldChar w:fldCharType="separate"/>
      </w:r>
      <w:r>
        <w:rPr>
          <w:rFonts w:ascii="黑体" w:hAnsi="Georgia" w:eastAsia="黑体" w:cs="Georgia"/>
        </w:rPr>
        <w:t>8.4 未来工作方向</w:t>
      </w:r>
      <w:r>
        <w:tab/>
      </w:r>
      <w:r>
        <w:fldChar w:fldCharType="begin"/>
      </w:r>
      <w:r>
        <w:instrText xml:space="preserve"> PAGEREF _Toc419715162 \h </w:instrText>
      </w:r>
      <w:r>
        <w:fldChar w:fldCharType="separate"/>
      </w:r>
      <w:r>
        <w:t>79</w:t>
      </w:r>
      <w:r>
        <w:fldChar w:fldCharType="end"/>
      </w:r>
      <w:r>
        <w:fldChar w:fldCharType="end"/>
      </w:r>
    </w:p>
    <w:p w14:paraId="34E7068D">
      <w:r>
        <w:fldChar w:fldCharType="end"/>
      </w:r>
    </w:p>
    <w:p w14:paraId="577CC7BA">
      <w:pPr>
        <w:snapToGrid/>
        <w:spacing w:before="480" w:beforeAutospacing="0" w:after="360" w:afterAutospacing="0" w:line="240" w:lineRule="auto"/>
        <w:ind w:left="0" w:leftChars="0" w:right="0" w:rightChars="0" w:firstLine="0" w:firstLineChars="0"/>
        <w:jc w:val="center"/>
        <w:outlineLvl w:val="0"/>
        <w:rPr>
          <w:rFonts w:ascii="黑体" w:eastAsia="黑体"/>
          <w:b/>
          <w:sz w:val="32"/>
        </w:rPr>
      </w:pPr>
      <w:bookmarkStart w:id="3" w:name="第_1_章_引言"/>
      <w:bookmarkStart w:id="4" w:name="_Toc1133892559"/>
      <w:r>
        <w:rPr>
          <w:rFonts w:ascii="黑体" w:hAnsi="Georgia" w:eastAsia="黑体" w:cs="Georgia"/>
          <w:b/>
          <w:sz w:val="32"/>
        </w:rPr>
        <w:t>第 1 章 引言</w:t>
      </w:r>
      <w:bookmarkEnd w:id="3"/>
      <w:bookmarkEnd w:id="4"/>
    </w:p>
    <w:p w14:paraId="2347D3FB">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5" w:name="bm_1_1_研究背景"/>
      <w:bookmarkStart w:id="6" w:name="_Toc562355635"/>
      <w:r>
        <w:rPr>
          <w:rFonts w:ascii="黑体" w:hAnsi="Georgia" w:eastAsia="黑体" w:cs="Georgia"/>
          <w:b w:val="0"/>
          <w:sz w:val="28"/>
        </w:rPr>
        <w:t>1.1 研究背景</w:t>
      </w:r>
      <w:bookmarkEnd w:id="5"/>
      <w:bookmarkEnd w:id="6"/>
    </w:p>
    <w:p w14:paraId="6F7C9719">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中国水资源面临多重压力。根据生态环境部发布的《2023年中国生态环境状况公报》，全国地表水监测的3，641个断面中，I-III类水质断面占比为87.1%，但仍有12.9%的断面未达到III类标准，部分流域和区域的水污染形势依然严峻。长江、黄河、珠江等重要流域虽然整体水质有所改善，但支流和湖库的富营养化问题突出，城市黑臭水体治理任务艰巨。2025年7月发生的余杭自来水污染事件再次警示我们，水质监测体系的完善程度直接决定着公众的饮用水安全。</w:t>
      </w:r>
    </w:p>
    <w:p w14:paraId="65E8AD9C">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中国水质监测网络在过去十年中大幅扩展，覆盖了《水污染防治行动计划》（国务院，2015）下的主要流域、湖泊和水库。该网络包括数千个监测站点，持续产生环境数据。然而，由于设备维护计划、预算限制和站点可达性等运营约束，各站点和时间段的采样间隔存在显著差异。</w:t>
      </w:r>
    </w:p>
    <w:p w14:paraId="244206BA">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水质检测的重要性在公共健康、生态环保和经济发展三个维度上均有显著体现。饮用水源地的水质状况直接影响亿万民众的生命健康安全，任何污染物超标都可能引发大规模健康风险。水体污染会破坏水生生物栖息环境，降低生物多样性，进而破坏整个生态系统的动态平衡。此外，水污染治理需要投入巨额资金，污染造成的直接和间接经济损失难以估量，其中包括渔业损失、旅游业影响、医疗成本增加等多重负面效应。</w:t>
      </w:r>
    </w:p>
    <w:p w14:paraId="1B9607A0">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本研究分析了分布在10个省份的180个监测站的数据，包含2023-2024年两年期间收集的15,524条观测记录。对采样模式的检查揭示了严重的不规则性，连续测量之间的间隔变化极大，变异系数远超规则采样的标准阈值。这一特点对传统时间序列方法构成根本性挑战，需要采用更灵活的建模方法。</w:t>
      </w:r>
    </w:p>
    <w:p w14:paraId="15D50553">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7" w:name="bm_1_2_水质监测与预测的研究现状"/>
      <w:bookmarkStart w:id="8" w:name="_Toc435626998"/>
      <w:r>
        <w:rPr>
          <w:rFonts w:ascii="黑体" w:hAnsi="Georgia" w:eastAsia="黑体" w:cs="Georgia"/>
          <w:b w:val="0"/>
          <w:sz w:val="28"/>
        </w:rPr>
        <w:t>1.2 水质监测与预测的研究现状</w:t>
      </w:r>
      <w:bookmarkEnd w:id="7"/>
      <w:bookmarkEnd w:id="8"/>
    </w:p>
    <w:p w14:paraId="0652AFA9">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传统统计方法在水质预测领域应用广泛。自回归积分滑动平均（ARIMA）及其季节性变体SARIMA自1990年代起被用于预测水库温度、河流水质等指标，但这些方法严格要求等间隔采样和平稳性假设，在实际监测网络中难以满足（Modaresi et al., 2018; Faruk, 2010）。随着机器学习技术的发展，支持向量机（SVM）、随机森林等方法逐渐应用于水质分类和回归任务，但早期研究较少关注模型可解释性（Gazzaz et al., 2012）。</w:t>
      </w:r>
    </w:p>
    <w:p w14:paraId="2446EE7A">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深度学习方法，特别是长短期记忆（LSTM）网络，在处理序列环境数据方面表现出色。Zhang等（2020）使用LSTM预测溶解氧达到R²=0.85，Liu等（2021）应用双向LSTM预测叶绿素a达到R²=0.78。然而，这些研究均假设规则的采样间隔（每小时或每天），未考虑采样不规则性的影响。梯度提升方法如XGBoost、LightGBM在环境应用中展现强劲性能。Chen等（2019）在不规则采样条件下使用XGBoost评估地下水质量（R²=0.68），Li等（2020）将随机森林应用于每周水质数据（R²=0.72）。这些横截面方法不依赖时间顺序，可能更适合不规则采样数据。</w:t>
      </w:r>
    </w:p>
    <w:p w14:paraId="5D864DE5">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可解释人工智能在环境科学中的应用尚处于起步阶段。SHAP（SHapley Additive exPlanations）作为基于博弈论的模型解释方法，已在空气质量预测和城市径流建模中显示出潜力（Hu et al., 2017; Xiang et al., 2020），但在水质监测领域的系统性应用仍较为有限。环保部门迫切需要既准确又可解释的模型来支持科学决策和监管行动。</w:t>
      </w:r>
    </w:p>
    <w:p w14:paraId="2B61A487">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9" w:name="bm_1_3_研究缺口与挑战"/>
      <w:bookmarkStart w:id="10" w:name="_Toc811202763"/>
      <w:r>
        <w:rPr>
          <w:rFonts w:ascii="黑体" w:hAnsi="Georgia" w:eastAsia="黑体" w:cs="Georgia"/>
          <w:b w:val="0"/>
          <w:sz w:val="28"/>
        </w:rPr>
        <w:t>1.3 研究缺口与挑战</w:t>
      </w:r>
      <w:bookmarkEnd w:id="9"/>
      <w:bookmarkEnd w:id="10"/>
    </w:p>
    <w:p w14:paraId="6C45DFC7">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该数据集面临的核心问题源于采样规律性与数据质量的不匹配。最直接的挑战来自采样间隔的极度不规则性，采样间隔的标准差接近甚至超过平均间隔，这违反了ARIMA、SARIMA和大多数深度学习架构（包括LSTM）所依赖的等间隔采样假设。传统时间序列方法在这样的数据上本质上是不适用的。</w:t>
      </w:r>
    </w:p>
    <w:p w14:paraId="7D38DD07">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进一步加剧这一问题的是时间自相关的严重缺失。初步分析显示滞后1期的自相关系数接近零，远低于时间序列建模所需的有效阈值。这意味着先前观测对后续值几乎没有预测能力，与时间序列建模的核心前提——过去可以预示未来——相矛盾。当自相关接近零时，任何基于时间依赖的模型都失去了其基础假设。</w:t>
      </w:r>
    </w:p>
    <w:p w14:paraId="624DC76E">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同时，数据的分布漂移进一步削弱了时间序列方法的适用性。2024年的采样密度显著低于2023年，导致显著的分布差异。在2023年数据上训练的模型实际上是在学习一个密集采样的分布，而被要求在稀疏采样的分布上进行预测，这本质上是两个不同的问题。</w:t>
      </w:r>
    </w:p>
    <w:p w14:paraId="413FF2FE">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尽管已有研究探索了不同的水质预测方法，但三个关键缺口仍然存在。第一，现有研究几乎普遍假设规则采样。从使用LSTM预测河流溶解氧、使用ARIMA建模水库叶绿素、到使用Prophet估计地下水硝酸盐的研究，均依赖于固定频率（每小时、每天或每周）收集的数据。真正明确处理不规则采样的研究寥寥无几，对"不规则采样条件下不同方法性能差异"的系统实证研究尤为缺乏。第二，方法选择缺乏数据驱动的指导原则。当面对不规则采样数据时，研究者往往依赖经验或惯例选择模型，而非基于数据特征（如采样变异系数、时间相关性）的系统性评估。第三，环保领域应用的机器学习模型往往缺乏可解释性，使得需要基于证据进行监管决策的水资源管理者很难采用这些"黑箱"方法。</w:t>
      </w:r>
    </w:p>
    <w:p w14:paraId="495888C4">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11" w:name="bm_1_4_研究目标与贡献"/>
      <w:bookmarkStart w:id="12" w:name="_Toc1658646585"/>
      <w:r>
        <w:rPr>
          <w:rFonts w:ascii="黑体" w:hAnsi="Georgia" w:eastAsia="黑体" w:cs="Georgia"/>
          <w:b w:val="0"/>
          <w:sz w:val="28"/>
        </w:rPr>
        <w:t>1.4 研究目标与贡献</w:t>
      </w:r>
      <w:bookmarkEnd w:id="11"/>
      <w:bookmarkEnd w:id="12"/>
    </w:p>
    <w:p w14:paraId="4D0AE55D">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本研究旨在系统评估不同预测方法在不规则采样水质数据上的适用性，并通过可解释性分析为实际监测决策提供科学依据。研究首先聚焦于量化采样不规则性对预测方法的影响，通过对比时间序列方法（ARIMA、SARIMA、LSTM）和横截面方法（XGBoost、RandomForest、LightGBM）在不规则采样数据上的性能，揭示采样规律性与方法适用性之间的关系。在此基础上，研究进一步应用SHAP可解释性框架，从全局重要性、特征交互、样本解释和决策路径四个维度分析模型预测机制，以识别影响污染等级的核心水质参数及其相互作用。此外，研究还构建了贝叶斯网络模型，分析大肠菌群污染与其他水质指标之间的条件依赖关系，为联合监测策略提供参考。</w:t>
      </w:r>
    </w:p>
    <w:p w14:paraId="08E54DE8">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本研究在方法论层面首次系统量化了采样不规则性（变异系数CV=1.99）对时间序列方法和横截面方法的差异化影响。实证结果表明，当CV&gt;1.0且一阶自相关系数ACF&lt;0.3时，时间序列方法（LSTM、ARIMA）的R²值为负（约-0.1），显著劣于简单基线，而横截面方法（XGBoost）在分类任务上达到99.58%准确率。这为不规则采样数据的方法选择提供了明确的定量标准。</w:t>
      </w:r>
    </w:p>
    <w:p w14:paraId="6BC7D636">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在可解释性方面，研究构建了水质预测的系统化SHAP分析框架，识别出COD（贡献度18.1%）、浊度（13.4%）和地理位置（12.2%）为污染等级分类的前三大驱动因素，并发现COD存在20 mg/L的预警阈值效应。基于这些发现，研究提出了传感器部署优化策略（COD+浊度双层监测体系）和数据驱动的预警阈值设定方案，为水质监测网络的资源配置提供了科学依据。</w:t>
      </w:r>
    </w:p>
    <w:p w14:paraId="286EE94A">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工程实践层面，研究开发了集成数据可视化、机器学习预测和SHAP解释的水质监测时空分析平台原型，实现了180个监测站的实时渲染和污染等级预测（准确率99.5%）。该平台可应用于应急响应、资源配置、政策评估和科学普及等多个场景，展示了研究成果从理论到应用的完整转化路径。</w:t>
      </w:r>
    </w:p>
    <w:p w14:paraId="122339E8">
      <w:pPr>
        <w:rPr>
          <w:rFonts w:ascii="Times New Roman" w:eastAsia="宋体"/>
          <w:sz w:val="24"/>
        </w:rPr>
      </w:pPr>
      <w:r>
        <w:rPr>
          <w:rFonts w:ascii="Times New Roman" w:eastAsia="宋体"/>
          <w:sz w:val="24"/>
        </w:rPr>
        <w:pict>
          <v:rect id="_x0000_i1028" o:spt="1" style="height:0.05pt;width:432pt;" coordsize="21600,21600" o:hr="t" o:hrstd="t" o:hralign="center">
            <v:path/>
            <v:fill focussize="0,0"/>
            <v:stroke/>
            <v:imagedata o:title=""/>
            <o:lock v:ext="edit"/>
            <w10:wrap type="none"/>
            <w10:anchorlock/>
          </v:rect>
        </w:pict>
      </w:r>
    </w:p>
    <w:p w14:paraId="2413630B">
      <w:pPr>
        <w:snapToGrid/>
        <w:spacing w:before="480" w:beforeAutospacing="0" w:after="360" w:afterAutospacing="0" w:line="240" w:lineRule="auto"/>
        <w:ind w:left="0" w:leftChars="0" w:right="0" w:rightChars="0" w:firstLine="0" w:firstLineChars="0"/>
        <w:jc w:val="center"/>
        <w:outlineLvl w:val="0"/>
        <w:rPr>
          <w:rFonts w:ascii="黑体" w:eastAsia="黑体"/>
          <w:b/>
          <w:sz w:val="32"/>
        </w:rPr>
      </w:pPr>
      <w:bookmarkStart w:id="13" w:name="第_2_章_相关工作与理论基础"/>
      <w:bookmarkStart w:id="14" w:name="_Toc387932388"/>
      <w:r>
        <w:rPr>
          <w:rFonts w:ascii="黑体" w:hAnsi="Georgia" w:eastAsia="黑体" w:cs="Georgia"/>
          <w:b/>
          <w:sz w:val="32"/>
        </w:rPr>
        <w:t>第 2 章 相关工作与理论基础</w:t>
      </w:r>
      <w:bookmarkEnd w:id="13"/>
      <w:bookmarkEnd w:id="14"/>
    </w:p>
    <w:p w14:paraId="68EF5A28">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15" w:name="bm_2_1_水质预测方法"/>
      <w:bookmarkStart w:id="16" w:name="_Toc219292824"/>
      <w:r>
        <w:rPr>
          <w:rFonts w:ascii="黑体" w:hAnsi="Georgia" w:eastAsia="黑体" w:cs="Georgia"/>
          <w:b w:val="0"/>
          <w:sz w:val="28"/>
        </w:rPr>
        <w:t>2.1 水质预测方法</w:t>
      </w:r>
      <w:bookmarkEnd w:id="15"/>
      <w:bookmarkEnd w:id="16"/>
    </w:p>
    <w:p w14:paraId="23A0A67A">
      <w:pPr>
        <w:snapToGrid/>
        <w:spacing w:before="240" w:beforeAutospacing="0" w:after="120" w:afterAutospacing="0" w:line="240" w:lineRule="auto"/>
        <w:ind w:left="0" w:leftChars="0" w:right="0" w:rightChars="0" w:firstLine="0" w:firstLineChars="0"/>
        <w:jc w:val="both"/>
        <w:outlineLvl w:val="2"/>
        <w:rPr>
          <w:rFonts w:ascii="黑体" w:eastAsia="黑体"/>
          <w:b w:val="0"/>
          <w:sz w:val="26"/>
        </w:rPr>
      </w:pPr>
      <w:bookmarkStart w:id="17" w:name="bm_2_1_1_统计时间序列方法"/>
      <w:bookmarkStart w:id="18" w:name="_Toc572554716"/>
      <w:r>
        <w:rPr>
          <w:rFonts w:ascii="黑体" w:hAnsi="Georgia" w:eastAsia="黑体" w:cs="Georgia"/>
          <w:b w:val="0"/>
          <w:sz w:val="26"/>
        </w:rPr>
        <w:t>2.1.1 统计时间序列方法</w:t>
      </w:r>
      <w:bookmarkEnd w:id="17"/>
      <w:bookmarkEnd w:id="18"/>
    </w:p>
    <w:p w14:paraId="323A1CB1">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自回归积分滑动平均（ARIMA）模型及其季节性变体（SARIMA）自1990年代以来一直应用于水质预测。这些方法假设等间隔观测和平稳或趋势平稳过程。Modaresi等（2018）使用SARIMA预测水库温度，</w:t>
      </w:r>
      <m:oMath>
        <m:sSup>
          <m:sSupPr>
            <m:ctrlPr>
              <w:rPr>
                <w:rFonts w:ascii="DejaVu Math TeX Gyre" w:hAnsi="DejaVu Math TeX Gyre" w:eastAsia="宋体"/>
                <w:sz w:val="24"/>
              </w:rPr>
            </m:ctrlPr>
          </m:sSupPr>
          <m:e>
            <m:r>
              <m:rPr/>
              <w:rPr>
                <w:rFonts w:ascii="Times New Roman" w:hAnsi="Times New Roman" w:eastAsia="宋体"/>
                <w:sz w:val="24"/>
              </w:rPr>
              <m:t>R</m:t>
            </m:r>
            <m:ctrlPr>
              <w:rPr>
                <w:rFonts w:ascii="DejaVu Math TeX Gyre" w:hAnsi="DejaVu Math TeX Gyre" w:eastAsia="宋体"/>
                <w:sz w:val="24"/>
              </w:rPr>
            </m:ctrlPr>
          </m:e>
          <m:sup>
            <m:r>
              <m:rPr>
                <m:sty m:val="p"/>
              </m:rPr>
              <w:rPr>
                <w:rFonts w:ascii="Times New Roman" w:hAnsi="Times New Roman" w:eastAsia="宋体"/>
                <w:sz w:val="24"/>
              </w:rPr>
              <m:t>2</m:t>
            </m:r>
            <m:ctrlPr>
              <w:rPr>
                <w:rFonts w:ascii="DejaVu Math TeX Gyre" w:hAnsi="DejaVu Math TeX Gyre" w:eastAsia="宋体"/>
                <w:sz w:val="24"/>
              </w:rPr>
            </m:ctrlPr>
          </m:sup>
        </m:sSup>
        <m:r>
          <m:rPr>
            <m:sty m:val="p"/>
          </m:rPr>
          <w:rPr>
            <w:rFonts w:ascii="Times New Roman" w:hAnsi="Times New Roman" w:eastAsia="宋体"/>
            <w:sz w:val="24"/>
          </w:rPr>
          <m:t>=0.85</m:t>
        </m:r>
      </m:oMath>
      <w:r>
        <w:rPr>
          <w:rFonts w:ascii="Times New Roman" w:hAnsi="Georgia" w:eastAsia="宋体" w:cs="Georgia"/>
          <w:sz w:val="24"/>
        </w:rPr>
        <w:t>，Faruk（2010）将ARIMA应用于河流水质，取得中等成功。这些方法的局限在于对规则采样的严格要求，这一条件在实际监测网络中很少能满足。</w:t>
      </w:r>
    </w:p>
    <w:p w14:paraId="59EB1DF2">
      <w:pPr>
        <w:snapToGrid/>
        <w:spacing w:before="240" w:beforeAutospacing="0" w:after="120" w:afterAutospacing="0" w:line="240" w:lineRule="auto"/>
        <w:ind w:left="0" w:leftChars="0" w:right="0" w:rightChars="0" w:firstLine="0" w:firstLineChars="0"/>
        <w:jc w:val="both"/>
        <w:outlineLvl w:val="2"/>
        <w:rPr>
          <w:rFonts w:ascii="黑体" w:eastAsia="黑体"/>
          <w:b w:val="0"/>
          <w:sz w:val="26"/>
        </w:rPr>
      </w:pPr>
      <w:bookmarkStart w:id="19" w:name="bm_2_1_2_机器学习方法"/>
      <w:bookmarkStart w:id="20" w:name="_Toc52889605"/>
      <w:r>
        <w:rPr>
          <w:rFonts w:ascii="黑体" w:hAnsi="Georgia" w:eastAsia="黑体" w:cs="Georgia"/>
          <w:b w:val="0"/>
          <w:sz w:val="26"/>
        </w:rPr>
        <w:t>2.1.2 机器学习方法</w:t>
      </w:r>
      <w:bookmarkEnd w:id="19"/>
      <w:bookmarkEnd w:id="20"/>
    </w:p>
    <w:p w14:paraId="454B269D">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支持向量机（SVM）和随机森林已应用于水质分类和回归任务。Gazzaz等（2012）使用人工神经网络对河流水质分类达到90%准确率。然而，这些早期研究很少报告特征重要性或模型解释，限制了其在决策支持中的效用。</w:t>
      </w:r>
    </w:p>
    <w:p w14:paraId="08D877DF">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深度学习方法，特别是长短期记忆（LSTM）网络，在序列环境数据方面越来越受欢迎。Zhang等（2020）报告使用LSTM在小时数据上预测溶解氧</w:t>
      </w:r>
      <m:oMath>
        <m:sSup>
          <m:sSupPr>
            <m:ctrlPr>
              <w:rPr>
                <w:rFonts w:ascii="DejaVu Math TeX Gyre" w:hAnsi="DejaVu Math TeX Gyre" w:eastAsia="宋体"/>
                <w:sz w:val="24"/>
              </w:rPr>
            </m:ctrlPr>
          </m:sSupPr>
          <m:e>
            <m:r>
              <m:rPr/>
              <w:rPr>
                <w:rFonts w:ascii="Times New Roman" w:hAnsi="Times New Roman" w:eastAsia="宋体"/>
                <w:sz w:val="24"/>
              </w:rPr>
              <m:t>R</m:t>
            </m:r>
            <m:ctrlPr>
              <w:rPr>
                <w:rFonts w:ascii="DejaVu Math TeX Gyre" w:hAnsi="DejaVu Math TeX Gyre" w:eastAsia="宋体"/>
                <w:sz w:val="24"/>
              </w:rPr>
            </m:ctrlPr>
          </m:e>
          <m:sup>
            <m:r>
              <m:rPr>
                <m:sty m:val="p"/>
              </m:rPr>
              <w:rPr>
                <w:rFonts w:ascii="Times New Roman" w:hAnsi="Times New Roman" w:eastAsia="宋体"/>
                <w:sz w:val="24"/>
              </w:rPr>
              <m:t>2</m:t>
            </m:r>
            <m:ctrlPr>
              <w:rPr>
                <w:rFonts w:ascii="DejaVu Math TeX Gyre" w:hAnsi="DejaVu Math TeX Gyre" w:eastAsia="宋体"/>
                <w:sz w:val="24"/>
              </w:rPr>
            </m:ctrlPr>
          </m:sup>
        </m:sSup>
        <m:r>
          <m:rPr>
            <m:sty m:val="p"/>
          </m:rPr>
          <w:rPr>
            <w:rFonts w:ascii="Times New Roman" w:hAnsi="Times New Roman" w:eastAsia="宋体"/>
            <w:sz w:val="24"/>
          </w:rPr>
          <m:t>=0.85</m:t>
        </m:r>
      </m:oMath>
      <w:r>
        <w:rPr>
          <w:rFonts w:ascii="Times New Roman" w:hAnsi="Georgia" w:eastAsia="宋体" w:cs="Georgia"/>
          <w:sz w:val="24"/>
        </w:rPr>
        <w:t>。Liu等（2021）使用双向LSTM预测叶绿素a达到</w:t>
      </w:r>
      <m:oMath>
        <m:sSup>
          <m:sSupPr>
            <m:ctrlPr>
              <w:rPr>
                <w:rFonts w:ascii="DejaVu Math TeX Gyre" w:hAnsi="DejaVu Math TeX Gyre" w:eastAsia="宋体"/>
                <w:sz w:val="24"/>
              </w:rPr>
            </m:ctrlPr>
          </m:sSupPr>
          <m:e>
            <m:r>
              <m:rPr/>
              <w:rPr>
                <w:rFonts w:ascii="Times New Roman" w:hAnsi="Times New Roman" w:eastAsia="宋体"/>
                <w:sz w:val="24"/>
              </w:rPr>
              <m:t>R</m:t>
            </m:r>
            <m:ctrlPr>
              <w:rPr>
                <w:rFonts w:ascii="DejaVu Math TeX Gyre" w:hAnsi="DejaVu Math TeX Gyre" w:eastAsia="宋体"/>
                <w:sz w:val="24"/>
              </w:rPr>
            </m:ctrlPr>
          </m:e>
          <m:sup>
            <m:r>
              <m:rPr>
                <m:sty m:val="p"/>
              </m:rPr>
              <w:rPr>
                <w:rFonts w:ascii="Times New Roman" w:hAnsi="Times New Roman" w:eastAsia="宋体"/>
                <w:sz w:val="24"/>
              </w:rPr>
              <m:t>2</m:t>
            </m:r>
            <m:ctrlPr>
              <w:rPr>
                <w:rFonts w:ascii="DejaVu Math TeX Gyre" w:hAnsi="DejaVu Math TeX Gyre" w:eastAsia="宋体"/>
                <w:sz w:val="24"/>
              </w:rPr>
            </m:ctrlPr>
          </m:sup>
        </m:sSup>
        <m:r>
          <m:rPr>
            <m:sty m:val="p"/>
          </m:rPr>
          <w:rPr>
            <w:rFonts w:ascii="Times New Roman" w:hAnsi="Times New Roman" w:eastAsia="宋体"/>
            <w:sz w:val="24"/>
          </w:rPr>
          <m:t>=0.78</m:t>
        </m:r>
      </m:oMath>
      <w:r>
        <w:rPr>
          <w:rFonts w:ascii="Times New Roman" w:hAnsi="Georgia" w:eastAsia="宋体" w:cs="Georgia"/>
          <w:sz w:val="24"/>
        </w:rPr>
        <w:t>。这些研究一致假设规则采样间隔（通常是每小时或每天），使网络能够学习有意义的时间模式。</w:t>
      </w:r>
    </w:p>
    <w:p w14:paraId="78F93A48">
      <w:pPr>
        <w:snapToGrid/>
        <w:spacing w:before="240" w:beforeAutospacing="0" w:after="120" w:afterAutospacing="0" w:line="240" w:lineRule="auto"/>
        <w:ind w:left="0" w:leftChars="0" w:right="0" w:rightChars="0" w:firstLine="0" w:firstLineChars="0"/>
        <w:jc w:val="both"/>
        <w:outlineLvl w:val="2"/>
        <w:rPr>
          <w:rFonts w:ascii="黑体" w:eastAsia="黑体"/>
          <w:b w:val="0"/>
          <w:sz w:val="26"/>
        </w:rPr>
      </w:pPr>
      <w:bookmarkStart w:id="21" w:name="bm_2_1_3_集成方法"/>
      <w:bookmarkStart w:id="22" w:name="_Toc2004845024"/>
      <w:r>
        <w:rPr>
          <w:rFonts w:ascii="黑体" w:hAnsi="Georgia" w:eastAsia="黑体" w:cs="Georgia"/>
          <w:b w:val="0"/>
          <w:sz w:val="26"/>
        </w:rPr>
        <w:t>2.1.3 集成方法</w:t>
      </w:r>
      <w:bookmarkEnd w:id="21"/>
      <w:bookmarkEnd w:id="22"/>
    </w:p>
    <w:p w14:paraId="76010B5B">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梯度提升方法包括XGBoost（Chen &amp; Guestrin, 2016）、LightGBM（Ke et al., 2017）和CatBoost（Prokhorenkova et al., 2018），在环境应用中表现出强劲性能。Chen等（2019）在不规则采样条件下使用XGBoost进行地下水质量评估，</w:t>
      </w:r>
      <m:oMath>
        <m:sSup>
          <m:sSupPr>
            <m:ctrlPr>
              <w:rPr>
                <w:rFonts w:ascii="DejaVu Math TeX Gyre" w:hAnsi="DejaVu Math TeX Gyre" w:eastAsia="宋体"/>
                <w:sz w:val="24"/>
              </w:rPr>
            </m:ctrlPr>
          </m:sSupPr>
          <m:e>
            <m:r>
              <m:rPr/>
              <w:rPr>
                <w:rFonts w:ascii="Times New Roman" w:hAnsi="Times New Roman" w:eastAsia="宋体"/>
                <w:sz w:val="24"/>
              </w:rPr>
              <m:t>R</m:t>
            </m:r>
            <m:ctrlPr>
              <w:rPr>
                <w:rFonts w:ascii="DejaVu Math TeX Gyre" w:hAnsi="DejaVu Math TeX Gyre" w:eastAsia="宋体"/>
                <w:sz w:val="24"/>
              </w:rPr>
            </m:ctrlPr>
          </m:e>
          <m:sup>
            <m:r>
              <m:rPr>
                <m:sty m:val="p"/>
              </m:rPr>
              <w:rPr>
                <w:rFonts w:ascii="Times New Roman" w:hAnsi="Times New Roman" w:eastAsia="宋体"/>
                <w:sz w:val="24"/>
              </w:rPr>
              <m:t>2</m:t>
            </m:r>
            <m:ctrlPr>
              <w:rPr>
                <w:rFonts w:ascii="DejaVu Math TeX Gyre" w:hAnsi="DejaVu Math TeX Gyre" w:eastAsia="宋体"/>
                <w:sz w:val="24"/>
              </w:rPr>
            </m:ctrlPr>
          </m:sup>
        </m:sSup>
        <m:r>
          <m:rPr>
            <m:sty m:val="p"/>
          </m:rPr>
          <w:rPr>
            <w:rFonts w:ascii="Times New Roman" w:hAnsi="Times New Roman" w:eastAsia="宋体"/>
            <w:sz w:val="24"/>
          </w:rPr>
          <m:t>=0.68</m:t>
        </m:r>
      </m:oMath>
      <w:r>
        <w:rPr>
          <w:rFonts w:ascii="Times New Roman" w:hAnsi="Georgia" w:eastAsia="宋体" w:cs="Georgia"/>
          <w:sz w:val="24"/>
        </w:rPr>
        <w:t>。Li等（2020）将随机森林回归应用于每周水质数据，</w:t>
      </w:r>
      <m:oMath>
        <m:sSup>
          <m:sSupPr>
            <m:ctrlPr>
              <w:rPr>
                <w:rFonts w:ascii="DejaVu Math TeX Gyre" w:hAnsi="DejaVu Math TeX Gyre" w:eastAsia="宋体"/>
                <w:sz w:val="24"/>
              </w:rPr>
            </m:ctrlPr>
          </m:sSupPr>
          <m:e>
            <m:r>
              <m:rPr/>
              <w:rPr>
                <w:rFonts w:ascii="Times New Roman" w:hAnsi="Times New Roman" w:eastAsia="宋体"/>
                <w:sz w:val="24"/>
              </w:rPr>
              <m:t>R</m:t>
            </m:r>
            <m:ctrlPr>
              <w:rPr>
                <w:rFonts w:ascii="DejaVu Math TeX Gyre" w:hAnsi="DejaVu Math TeX Gyre" w:eastAsia="宋体"/>
                <w:sz w:val="24"/>
              </w:rPr>
            </m:ctrlPr>
          </m:e>
          <m:sup>
            <m:r>
              <m:rPr>
                <m:sty m:val="p"/>
              </m:rPr>
              <w:rPr>
                <w:rFonts w:ascii="Times New Roman" w:hAnsi="Times New Roman" w:eastAsia="宋体"/>
                <w:sz w:val="24"/>
              </w:rPr>
              <m:t>2</m:t>
            </m:r>
            <m:ctrlPr>
              <w:rPr>
                <w:rFonts w:ascii="DejaVu Math TeX Gyre" w:hAnsi="DejaVu Math TeX Gyre" w:eastAsia="宋体"/>
                <w:sz w:val="24"/>
              </w:rPr>
            </m:ctrlPr>
          </m:sup>
        </m:sSup>
        <m:r>
          <m:rPr>
            <m:sty m:val="p"/>
          </m:rPr>
          <w:rPr>
            <w:rFonts w:ascii="Times New Roman" w:hAnsi="Times New Roman" w:eastAsia="宋体"/>
            <w:sz w:val="24"/>
          </w:rPr>
          <m:t>=0.72</m:t>
        </m:r>
      </m:oMath>
      <w:r>
        <w:rPr>
          <w:rFonts w:ascii="Times New Roman" w:hAnsi="Georgia" w:eastAsia="宋体" w:cs="Georgia"/>
          <w:sz w:val="24"/>
        </w:rPr>
        <w:t>。这些横截面方法不要求时间顺序，使其可能适用于不规则采样数据。</w:t>
      </w:r>
    </w:p>
    <w:p w14:paraId="41B46840">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23" w:name="bm_2_2_可解释机器学习"/>
      <w:bookmarkStart w:id="24" w:name="_Toc1411896938"/>
      <w:r>
        <w:rPr>
          <w:rFonts w:ascii="黑体" w:hAnsi="Georgia" w:eastAsia="黑体" w:cs="Georgia"/>
          <w:b w:val="0"/>
          <w:sz w:val="28"/>
        </w:rPr>
        <w:t>2.2 可解释机器学习</w:t>
      </w:r>
      <w:bookmarkEnd w:id="23"/>
      <w:bookmarkEnd w:id="24"/>
    </w:p>
    <w:p w14:paraId="2883B19D">
      <w:pPr>
        <w:snapToGrid/>
        <w:spacing w:before="240" w:beforeAutospacing="0" w:after="120" w:afterAutospacing="0" w:line="240" w:lineRule="auto"/>
        <w:ind w:left="0" w:leftChars="0" w:right="0" w:rightChars="0" w:firstLine="0" w:firstLineChars="0"/>
        <w:jc w:val="both"/>
        <w:outlineLvl w:val="2"/>
        <w:rPr>
          <w:rFonts w:ascii="黑体" w:eastAsia="黑体"/>
          <w:b w:val="0"/>
          <w:sz w:val="26"/>
        </w:rPr>
      </w:pPr>
      <w:bookmarkStart w:id="25" w:name="bm_2_2_1_shap框架"/>
      <w:bookmarkStart w:id="26" w:name="_Toc57537616"/>
      <w:r>
        <w:rPr>
          <w:rFonts w:ascii="黑体" w:hAnsi="Georgia" w:eastAsia="黑体" w:cs="Georgia"/>
          <w:b w:val="0"/>
          <w:sz w:val="26"/>
        </w:rPr>
        <w:t>2.2.1 SHAP框架</w:t>
      </w:r>
      <w:bookmarkEnd w:id="25"/>
      <w:bookmarkEnd w:id="26"/>
    </w:p>
    <w:p w14:paraId="29CBD5C6">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SHAP（SHapley Additive exPlanations）是一种基于博弈论的模型解释方法（Lundberg &amp; Lee, 2017），可以量化每个特征对预测结果的贡献。SHAP值满足三个理想性质，局部准确性、缺失性和一致性。对于树模型，可以使用TreeExplainer在多项式时间内计算精确SHAP值（Lundberg et al., 2020）。</w:t>
      </w:r>
    </w:p>
    <w:p w14:paraId="5CCFBE95">
      <w:pPr>
        <w:ind w:left="0" w:leftChars="0" w:right="0" w:rightChars="0" w:firstLine="0" w:firstLineChars="0"/>
        <w:jc w:val="center"/>
        <w:rPr>
          <w:rFonts w:ascii="Times New Roman" w:eastAsia="宋体"/>
          <w:sz w:val="24"/>
        </w:rPr>
      </w:pPr>
      <w:r>
        <w:rPr>
          <w:rFonts w:ascii="Times New Roman" w:eastAsia="宋体"/>
          <w:sz w:val="24"/>
        </w:rPr>
        <w:drawing>
          <wp:inline distT="0" distB="0" distL="0" distR="0">
            <wp:extent cx="952500" cy="952500"/>
            <wp:effectExtent l="0" t="0" r="0" b="0"/>
            <wp:docPr id="1" name="image-not-found.png"/>
            <wp:cNvGraphicFramePr/>
            <a:graphic xmlns:a="http://schemas.openxmlformats.org/drawingml/2006/main">
              <a:graphicData uri="http://schemas.openxmlformats.org/drawingml/2006/picture">
                <pic:pic xmlns:pic="http://schemas.openxmlformats.org/drawingml/2006/picture">
                  <pic:nvPicPr>
                    <pic:cNvPr id="1" name="image-not-found.png"/>
                    <pic:cNvPicPr/>
                  </pic:nvPicPr>
                  <pic:blipFill>
                    <a:blip r:embed="rId6" cstate="print"/>
                    <a:srcRect/>
                    <a:stretch>
                      <a:fillRect/>
                    </a:stretch>
                  </pic:blipFill>
                  <pic:spPr>
                    <a:xfrm>
                      <a:off x="0" y="0"/>
                      <a:ext cx="952500" cy="952500"/>
                    </a:xfrm>
                    <a:prstGeom prst="rect">
                      <a:avLst/>
                    </a:prstGeom>
                  </pic:spPr>
                </pic:pic>
              </a:graphicData>
            </a:graphic>
          </wp:inline>
        </w:drawing>
      </w:r>
    </w:p>
    <w:p w14:paraId="3B599DC2">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1展示了SHAP可解释性分析的理论基础和计算流程，从博弈论Shapley值到特征贡献分解的完整转化过程。图表采用三层结构（输入层→计算层→输出层），清晰呈现了训练模型、数据集和待解释样本如何通过TreeExplainer计算得到全局重要性、特征交互、样本解释和决策路径四类输出。详细设计规格见FIGURE_DESIGN_SPECIFICATIONS.md。</w:t>
      </w:r>
    </w:p>
    <w:p w14:paraId="6BB21E54">
      <w:pPr>
        <w:snapToGrid/>
        <w:spacing w:before="240" w:beforeAutospacing="0" w:after="120" w:afterAutospacing="0" w:line="240" w:lineRule="auto"/>
        <w:ind w:left="0" w:leftChars="0" w:right="0" w:rightChars="0" w:firstLine="0" w:firstLineChars="0"/>
        <w:jc w:val="both"/>
        <w:outlineLvl w:val="2"/>
        <w:rPr>
          <w:rFonts w:ascii="黑体" w:eastAsia="黑体"/>
          <w:b w:val="0"/>
          <w:sz w:val="26"/>
        </w:rPr>
      </w:pPr>
      <w:bookmarkStart w:id="27" w:name="bm_2_2_2_在环境科学中的应用"/>
      <w:bookmarkStart w:id="28" w:name="_Toc667070962"/>
      <w:r>
        <w:rPr>
          <w:rFonts w:ascii="黑体" w:hAnsi="Georgia" w:eastAsia="黑体" w:cs="Georgia"/>
          <w:b w:val="0"/>
          <w:sz w:val="26"/>
        </w:rPr>
        <w:t>2.2.2 在环境科学中的应用</w:t>
      </w:r>
      <w:bookmarkEnd w:id="27"/>
      <w:bookmarkEnd w:id="28"/>
    </w:p>
    <w:p w14:paraId="6620C07B">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SHAP分析已应用于空气质量预测（Hu et al., 2017）和城市径流建模（Xiang et al., 2020）。在水质方面的应用仍然有限。本研究参考已有方法，采用SHAP框架从全局重要性评估模型整体特征权重分布，通过特征交互分析揭示指标间的协同效应，利用样本级解释展示个体预测的驱动因素，并追溯决策路径以理解模型推理逻辑。</w:t>
      </w:r>
    </w:p>
    <w:p w14:paraId="758DFDD6">
      <w:pPr>
        <w:snapToGrid/>
        <w:spacing w:before="240" w:beforeAutospacing="0" w:after="120" w:afterAutospacing="0" w:line="240" w:lineRule="auto"/>
        <w:ind w:left="0" w:leftChars="0" w:right="0" w:rightChars="0" w:firstLine="0" w:firstLineChars="0"/>
        <w:jc w:val="both"/>
        <w:outlineLvl w:val="2"/>
        <w:rPr>
          <w:rFonts w:ascii="黑体" w:eastAsia="黑体"/>
          <w:b w:val="0"/>
          <w:sz w:val="26"/>
        </w:rPr>
      </w:pPr>
      <w:bookmarkStart w:id="29" w:name="bm_2_2_3_其他可解释性方法"/>
      <w:bookmarkStart w:id="30" w:name="_Toc1597020994"/>
      <w:r>
        <w:rPr>
          <w:rFonts w:ascii="黑体" w:hAnsi="Georgia" w:eastAsia="黑体" w:cs="Georgia"/>
          <w:b w:val="0"/>
          <w:sz w:val="26"/>
        </w:rPr>
        <w:t>2.2.3 其他可解释性方法</w:t>
      </w:r>
      <w:bookmarkEnd w:id="29"/>
      <w:bookmarkEnd w:id="30"/>
    </w:p>
    <w:p w14:paraId="5A5F8D95">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LIME（局部可解释模型无关解释）提供局部近似，但缺乏一致性的理论保证。置换重要性衡量全局特征效应，但不考虑特征交互。SHAP结合了两种方法的优点，具有坚实的理论基础。</w:t>
      </w:r>
    </w:p>
    <w:p w14:paraId="17556D54">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31" w:name="bm_2_3_水质评价标准与指标体系"/>
      <w:bookmarkStart w:id="32" w:name="_Toc1881225952"/>
      <w:r>
        <w:rPr>
          <w:rFonts w:ascii="黑体" w:hAnsi="Georgia" w:eastAsia="黑体" w:cs="Georgia"/>
          <w:b w:val="0"/>
          <w:sz w:val="28"/>
        </w:rPr>
        <w:t>2.3 水质评价标准与指标体系</w:t>
      </w:r>
      <w:bookmarkEnd w:id="31"/>
      <w:bookmarkEnd w:id="32"/>
    </w:p>
    <w:p w14:paraId="0B8BD4F3">
      <w:pPr>
        <w:snapToGrid/>
        <w:spacing w:before="240" w:beforeAutospacing="0" w:after="120" w:afterAutospacing="0" w:line="240" w:lineRule="auto"/>
        <w:ind w:left="0" w:leftChars="0" w:right="0" w:rightChars="0" w:firstLine="0" w:firstLineChars="0"/>
        <w:jc w:val="both"/>
        <w:outlineLvl w:val="2"/>
        <w:rPr>
          <w:rFonts w:ascii="黑体" w:eastAsia="黑体"/>
          <w:b w:val="0"/>
          <w:sz w:val="26"/>
        </w:rPr>
      </w:pPr>
      <w:bookmarkStart w:id="33" w:name="bm_2_3_1_地表水环境质量标准"/>
      <w:bookmarkStart w:id="34" w:name="_Toc362840483"/>
      <w:r>
        <w:rPr>
          <w:rFonts w:ascii="黑体" w:hAnsi="Georgia" w:eastAsia="黑体" w:cs="Georgia"/>
          <w:b w:val="0"/>
          <w:sz w:val="26"/>
        </w:rPr>
        <w:t>2.3.1 地表水环境质量标准</w:t>
      </w:r>
      <w:bookmarkEnd w:id="33"/>
      <w:bookmarkEnd w:id="34"/>
    </w:p>
    <w:p w14:paraId="34A3EBC5">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中国的《地表水环境质量标准（GB 3838-2002）》是水质评价的核心依据，根据水域功能和保护目标将水质划分为五个类别。I类水质适用于源头水和国家自然保护区，水质最好，污染物浓度最低。II类适用于一级保护区，通常供饮用水源地使用。III类适用于二级保护区、渔业水域及游泳区，对污染物浓度有中等限制。IV类适用于一般工业用水区，容许的污染程度更高。V类适用于农业用水区及一般景观要求的水域，是最低保护级别。</w:t>
      </w:r>
    </w:p>
    <w:p w14:paraId="09EA91D7">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每个水质类别对应不同的指标限值，共涵盖24项基本项目和80项补充项目。关键指标包括物理指标（浊度、色度）、化学指标（pH、溶解氧、COD、BOD、氨氮、总氮、总磷、硝酸盐、亚硝酸盐）和重金属指标（铅、镉、汞、铬等）。</w:t>
      </w:r>
    </w:p>
    <w:p w14:paraId="5A8873F1">
      <w:pPr>
        <w:snapToGrid/>
        <w:spacing w:before="240" w:beforeAutospacing="0" w:after="120" w:afterAutospacing="0" w:line="240" w:lineRule="auto"/>
        <w:ind w:left="0" w:leftChars="0" w:right="0" w:rightChars="0" w:firstLine="0" w:firstLineChars="0"/>
        <w:jc w:val="both"/>
        <w:outlineLvl w:val="2"/>
        <w:rPr>
          <w:rFonts w:ascii="黑体" w:eastAsia="黑体"/>
          <w:b w:val="0"/>
          <w:sz w:val="26"/>
        </w:rPr>
      </w:pPr>
      <w:bookmarkStart w:id="35" w:name="bm_2_3_2_指标间的相互作用机制"/>
      <w:bookmarkStart w:id="36" w:name="_Toc1553923948"/>
      <w:r>
        <w:rPr>
          <w:rFonts w:ascii="黑体" w:hAnsi="Georgia" w:eastAsia="黑体" w:cs="Georgia"/>
          <w:b w:val="0"/>
          <w:sz w:val="26"/>
        </w:rPr>
        <w:t>2.3.2 指标间的相互作用机制</w:t>
      </w:r>
      <w:bookmarkEnd w:id="35"/>
      <w:bookmarkEnd w:id="36"/>
    </w:p>
    <w:p w14:paraId="605CBDB6">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水质指标之间存在复杂的相互作用。pH值不仅是基本特征，还会影响其他污染物的形态和毒性，pH降低会增加重金属溶解度，提高生物可利用性。溶解氧与有机物降解密切相关，有机物增加时微生物分解会消耗大量氧气，导致缺氧。COD和BOD的比值可反映有机物的生物可降解性。氮磷营养盐是富营养化的主要因素，总氮、总磷、氨氮的相对浓度反映了氮循环的转化过程和污染源类型。</w:t>
      </w:r>
    </w:p>
    <w:p w14:paraId="3A81A60C">
      <w:pPr>
        <w:ind w:left="0" w:leftChars="0" w:right="0" w:rightChars="0" w:firstLine="0" w:firstLineChars="0"/>
        <w:jc w:val="center"/>
        <w:rPr>
          <w:rFonts w:ascii="Times New Roman" w:eastAsia="宋体"/>
          <w:sz w:val="24"/>
        </w:rPr>
      </w:pPr>
      <w:r>
        <w:rPr>
          <w:rFonts w:ascii="Times New Roman" w:eastAsia="宋体"/>
          <w:sz w:val="24"/>
        </w:rPr>
        <w:drawing>
          <wp:inline distT="0" distB="0" distL="0" distR="0">
            <wp:extent cx="952500" cy="952500"/>
            <wp:effectExtent l="0" t="0" r="0" b="0"/>
            <wp:docPr id="2" name="image-not-found.png"/>
            <wp:cNvGraphicFramePr/>
            <a:graphic xmlns:a="http://schemas.openxmlformats.org/drawingml/2006/main">
              <a:graphicData uri="http://schemas.openxmlformats.org/drawingml/2006/picture">
                <pic:pic xmlns:pic="http://schemas.openxmlformats.org/drawingml/2006/picture">
                  <pic:nvPicPr>
                    <pic:cNvPr id="2" name="image-not-found.png"/>
                    <pic:cNvPicPr/>
                  </pic:nvPicPr>
                  <pic:blipFill>
                    <a:blip r:embed="rId6" cstate="print"/>
                    <a:srcRect/>
                    <a:stretch>
                      <a:fillRect/>
                    </a:stretch>
                  </pic:blipFill>
                  <pic:spPr>
                    <a:xfrm>
                      <a:off x="0" y="0"/>
                      <a:ext cx="952500" cy="952500"/>
                    </a:xfrm>
                    <a:prstGeom prst="rect">
                      <a:avLst/>
                    </a:prstGeom>
                  </pic:spPr>
                </pic:pic>
              </a:graphicData>
            </a:graphic>
          </wp:inline>
        </w:drawing>
      </w:r>
    </w:p>
    <w:p w14:paraId="22F69E0B">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注，图2以因果循环图（Causal Loop Diagram）展示16个主要水质指标之间的相互作用关系，用不同箭头类型表示促进、抑制、转化和协同四种关系。图表以污染等级为中心节点，四大类指标（有机污染、营养盐、物理化学基础、重金属与微生物）围绕分布，并标注关键反馈环（如有机物-溶解氧的正反馈加剧恶化环）和阈值效应。详细设计规格见FIGURE_DESIGN_SPECIFICATIONS.md。</w:t>
      </w:r>
    </w:p>
    <w:p w14:paraId="33CA7F01">
      <w:pPr>
        <w:rPr>
          <w:rFonts w:ascii="Times New Roman" w:eastAsia="宋体"/>
          <w:sz w:val="24"/>
        </w:rPr>
      </w:pPr>
      <w:r>
        <w:rPr>
          <w:rFonts w:ascii="Times New Roman" w:eastAsia="宋体"/>
          <w:sz w:val="24"/>
        </w:rPr>
        <w:pict>
          <v:rect id="_x0000_i1029" o:spt="1" style="height:0.05pt;width:432pt;" coordsize="21600,21600" o:hr="t" o:hrstd="t" o:hralign="center">
            <v:path/>
            <v:fill focussize="0,0"/>
            <v:stroke/>
            <v:imagedata o:title=""/>
            <o:lock v:ext="edit"/>
            <w10:wrap type="none"/>
            <w10:anchorlock/>
          </v:rect>
        </w:pict>
      </w:r>
    </w:p>
    <w:p w14:paraId="0AE6B0E7">
      <w:pPr>
        <w:snapToGrid/>
        <w:spacing w:before="480" w:beforeAutospacing="0" w:after="360" w:afterAutospacing="0" w:line="240" w:lineRule="auto"/>
        <w:ind w:left="0" w:leftChars="0" w:right="0" w:rightChars="0" w:firstLine="0" w:firstLineChars="0"/>
        <w:jc w:val="center"/>
        <w:outlineLvl w:val="0"/>
        <w:rPr>
          <w:rFonts w:ascii="黑体" w:eastAsia="黑体"/>
          <w:b/>
          <w:sz w:val="32"/>
        </w:rPr>
      </w:pPr>
      <w:bookmarkStart w:id="37" w:name="第_3_章_数据与探索性分析"/>
      <w:bookmarkStart w:id="38" w:name="_Toc1251162869"/>
      <w:r>
        <w:rPr>
          <w:rFonts w:ascii="黑体" w:hAnsi="Georgia" w:eastAsia="黑体" w:cs="Georgia"/>
          <w:b/>
          <w:sz w:val="32"/>
        </w:rPr>
        <w:t>第 3 章 数据与探索性分析</w:t>
      </w:r>
      <w:bookmarkEnd w:id="37"/>
      <w:bookmarkEnd w:id="38"/>
    </w:p>
    <w:p w14:paraId="4553B4E5">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39" w:name="bm_3_1_数据来源与变量说明"/>
      <w:bookmarkStart w:id="40" w:name="_Toc134467859"/>
      <w:r>
        <w:rPr>
          <w:rFonts w:ascii="黑体" w:hAnsi="Georgia" w:eastAsia="黑体" w:cs="Georgia"/>
          <w:b w:val="0"/>
          <w:sz w:val="28"/>
        </w:rPr>
        <w:t>3.1 数据来源与变量说明</w:t>
      </w:r>
      <w:bookmarkEnd w:id="39"/>
      <w:bookmarkEnd w:id="40"/>
    </w:p>
    <w:p w14:paraId="797A65DD">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本研究使用的数据集来自中国国家水质监测网络，覆盖10个省份的180个监测站点，时间跨度为2023年1月至2024年12月。原始数据集包含20，000条观测记录，经过质量控制和预处理后，保留了15，524条有效记录，数据保留率为77.6%。表1总结了数据集的基本特征。</w:t>
      </w:r>
    </w:p>
    <w:p w14:paraId="1C8568BE">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表1 数据集基本特征</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723"/>
        <w:gridCol w:w="6247"/>
      </w:tblGrid>
      <w:tr w14:paraId="68AB2D9D">
        <w:trPr>
          <w:cantSplit/>
          <w:tblCellSpacing w:w="0" w:type="dxa"/>
          <w:jc w:val="center"/>
        </w:trPr>
        <w:tc>
          <w:tcPr>
            <w:tcBorders>
              <w:top w:val="single" w:color="000000" w:sz="0" w:space="0"/>
              <w:bottom w:val="single" w:color="000000" w:sz="0" w:space="0"/>
            </w:tcBorders>
          </w:tcPr>
          <w:p w14:paraId="6448565E">
            <w:pPr>
              <w:spacing w:after="0" w:line="240" w:lineRule="auto"/>
            </w:pPr>
            <w:r>
              <w:rPr>
                <w:rFonts w:ascii="Georgia" w:hAnsi="Georgia" w:eastAsia="Georgia" w:cs="Georgia"/>
              </w:rPr>
              <w:t>特征项</w:t>
            </w:r>
          </w:p>
        </w:tc>
        <w:tc>
          <w:tcPr>
            <w:tcBorders>
              <w:top w:val="single" w:color="000000" w:sz="0" w:space="0"/>
              <w:left w:val="single" w:color="000000" w:sz="0" w:space="0"/>
              <w:bottom w:val="single" w:color="000000" w:sz="0" w:space="0"/>
            </w:tcBorders>
          </w:tcPr>
          <w:p w14:paraId="7DC948FC">
            <w:pPr>
              <w:spacing w:after="0" w:line="240" w:lineRule="auto"/>
            </w:pPr>
            <w:r>
              <w:rPr>
                <w:rFonts w:ascii="Georgia" w:hAnsi="Georgia" w:eastAsia="Georgia" w:cs="Georgia"/>
              </w:rPr>
              <w:t>数值/描述</w:t>
            </w:r>
          </w:p>
        </w:tc>
      </w:tr>
      <w:tr w14:paraId="55C8993A">
        <w:trPr>
          <w:cantSplit/>
          <w:tblCellSpacing w:w="0" w:type="dxa"/>
          <w:jc w:val="center"/>
        </w:trPr>
        <w:tc>
          <w:tcPr>
            <w:tcBorders>
              <w:top w:val="single" w:color="000000" w:sz="0" w:space="0"/>
              <w:bottom w:val="single" w:color="000000" w:sz="0" w:space="0"/>
            </w:tcBorders>
          </w:tcPr>
          <w:p w14:paraId="6070234C">
            <w:pPr>
              <w:spacing w:after="0" w:line="240" w:lineRule="auto"/>
            </w:pPr>
            <w:r>
              <w:rPr>
                <w:rFonts w:ascii="Georgia" w:hAnsi="Georgia" w:eastAsia="Georgia" w:cs="Georgia"/>
              </w:rPr>
              <w:t>数据来源</w:t>
            </w:r>
          </w:p>
        </w:tc>
        <w:tc>
          <w:tcPr>
            <w:tcBorders>
              <w:top w:val="single" w:color="000000" w:sz="0" w:space="0"/>
              <w:left w:val="single" w:color="000000" w:sz="0" w:space="0"/>
              <w:bottom w:val="single" w:color="000000" w:sz="0" w:space="0"/>
            </w:tcBorders>
          </w:tcPr>
          <w:p w14:paraId="291AB13B">
            <w:pPr>
              <w:spacing w:after="0" w:line="240" w:lineRule="auto"/>
            </w:pPr>
            <w:r>
              <w:rPr>
                <w:rFonts w:ascii="Georgia" w:hAnsi="Georgia" w:eastAsia="Georgia" w:cs="Georgia"/>
              </w:rPr>
              <w:t>中国国家水质监测网络</w:t>
            </w:r>
          </w:p>
        </w:tc>
      </w:tr>
      <w:tr w14:paraId="4868E137">
        <w:trPr>
          <w:cantSplit/>
          <w:tblCellSpacing w:w="0" w:type="dxa"/>
          <w:jc w:val="center"/>
        </w:trPr>
        <w:tc>
          <w:tcPr>
            <w:tcBorders>
              <w:top w:val="single" w:color="000000" w:sz="0" w:space="0"/>
              <w:bottom w:val="single" w:color="000000" w:sz="0" w:space="0"/>
            </w:tcBorders>
          </w:tcPr>
          <w:p w14:paraId="2A940BD6">
            <w:pPr>
              <w:spacing w:after="0" w:line="240" w:lineRule="auto"/>
            </w:pPr>
            <w:r>
              <w:rPr>
                <w:rFonts w:ascii="Georgia" w:hAnsi="Georgia" w:eastAsia="Georgia" w:cs="Georgia"/>
              </w:rPr>
              <w:t>监测站点数量</w:t>
            </w:r>
          </w:p>
        </w:tc>
        <w:tc>
          <w:tcPr>
            <w:tcBorders>
              <w:top w:val="single" w:color="000000" w:sz="0" w:space="0"/>
              <w:left w:val="single" w:color="000000" w:sz="0" w:space="0"/>
              <w:bottom w:val="single" w:color="000000" w:sz="0" w:space="0"/>
            </w:tcBorders>
          </w:tcPr>
          <w:p w14:paraId="47C54F1D">
            <w:pPr>
              <w:spacing w:after="0" w:line="240" w:lineRule="auto"/>
            </w:pPr>
            <w:r>
              <w:rPr>
                <w:rFonts w:ascii="Georgia" w:hAnsi="Georgia" w:eastAsia="Georgia" w:cs="Georgia"/>
              </w:rPr>
              <w:t>180个</w:t>
            </w:r>
          </w:p>
        </w:tc>
      </w:tr>
      <w:tr w14:paraId="5A9FDD32">
        <w:trPr>
          <w:cantSplit/>
          <w:tblCellSpacing w:w="0" w:type="dxa"/>
          <w:jc w:val="center"/>
        </w:trPr>
        <w:tc>
          <w:tcPr>
            <w:tcBorders>
              <w:top w:val="single" w:color="000000" w:sz="0" w:space="0"/>
              <w:bottom w:val="single" w:color="000000" w:sz="0" w:space="0"/>
            </w:tcBorders>
          </w:tcPr>
          <w:p w14:paraId="2B826369">
            <w:pPr>
              <w:spacing w:after="0" w:line="240" w:lineRule="auto"/>
            </w:pPr>
            <w:r>
              <w:rPr>
                <w:rFonts w:ascii="Georgia" w:hAnsi="Georgia" w:eastAsia="Georgia" w:cs="Georgia"/>
              </w:rPr>
              <w:t>地理覆盖范围</w:t>
            </w:r>
          </w:p>
        </w:tc>
        <w:tc>
          <w:tcPr>
            <w:tcBorders>
              <w:top w:val="single" w:color="000000" w:sz="0" w:space="0"/>
              <w:left w:val="single" w:color="000000" w:sz="0" w:space="0"/>
              <w:bottom w:val="single" w:color="000000" w:sz="0" w:space="0"/>
            </w:tcBorders>
          </w:tcPr>
          <w:p w14:paraId="5927907F">
            <w:pPr>
              <w:spacing w:after="0" w:line="240" w:lineRule="auto"/>
            </w:pPr>
            <w:r>
              <w:rPr>
                <w:rFonts w:ascii="Georgia" w:hAnsi="Georgia" w:eastAsia="Georgia" w:cs="Georgia"/>
              </w:rPr>
              <w:t>10个省份</w:t>
            </w:r>
          </w:p>
        </w:tc>
      </w:tr>
      <w:tr w14:paraId="6AC06CED">
        <w:trPr>
          <w:cantSplit/>
          <w:tblCellSpacing w:w="0" w:type="dxa"/>
          <w:jc w:val="center"/>
        </w:trPr>
        <w:tc>
          <w:tcPr>
            <w:tcBorders>
              <w:top w:val="single" w:color="000000" w:sz="0" w:space="0"/>
              <w:bottom w:val="single" w:color="000000" w:sz="0" w:space="0"/>
            </w:tcBorders>
          </w:tcPr>
          <w:p w14:paraId="378463C2">
            <w:pPr>
              <w:spacing w:after="0" w:line="240" w:lineRule="auto"/>
            </w:pPr>
            <w:r>
              <w:rPr>
                <w:rFonts w:ascii="Georgia" w:hAnsi="Georgia" w:eastAsia="Georgia" w:cs="Georgia"/>
              </w:rPr>
              <w:t>省份列表</w:t>
            </w:r>
          </w:p>
        </w:tc>
        <w:tc>
          <w:tcPr>
            <w:tcBorders>
              <w:top w:val="single" w:color="000000" w:sz="0" w:space="0"/>
              <w:left w:val="single" w:color="000000" w:sz="0" w:space="0"/>
              <w:bottom w:val="single" w:color="000000" w:sz="0" w:space="0"/>
            </w:tcBorders>
          </w:tcPr>
          <w:p w14:paraId="267D27FE">
            <w:pPr>
              <w:spacing w:after="0" w:line="240" w:lineRule="auto"/>
            </w:pPr>
            <w:r>
              <w:rPr>
                <w:rFonts w:ascii="Georgia" w:hAnsi="Georgia" w:eastAsia="Georgia" w:cs="Georgia"/>
              </w:rPr>
              <w:t>北京、广东、河南、湖北、江苏、山东、上海、四川、云南、浙江</w:t>
            </w:r>
          </w:p>
        </w:tc>
      </w:tr>
      <w:tr w14:paraId="45749187">
        <w:trPr>
          <w:cantSplit/>
          <w:tblCellSpacing w:w="0" w:type="dxa"/>
          <w:jc w:val="center"/>
        </w:trPr>
        <w:tc>
          <w:tcPr>
            <w:tcBorders>
              <w:top w:val="single" w:color="000000" w:sz="0" w:space="0"/>
              <w:bottom w:val="single" w:color="000000" w:sz="0" w:space="0"/>
            </w:tcBorders>
          </w:tcPr>
          <w:p w14:paraId="53B3B0D9">
            <w:pPr>
              <w:spacing w:after="0" w:line="240" w:lineRule="auto"/>
            </w:pPr>
            <w:r>
              <w:rPr>
                <w:rFonts w:ascii="Georgia" w:hAnsi="Georgia" w:eastAsia="Georgia" w:cs="Georgia"/>
              </w:rPr>
              <w:t>时间跨度</w:t>
            </w:r>
          </w:p>
        </w:tc>
        <w:tc>
          <w:tcPr>
            <w:tcBorders>
              <w:top w:val="single" w:color="000000" w:sz="0" w:space="0"/>
              <w:left w:val="single" w:color="000000" w:sz="0" w:space="0"/>
              <w:bottom w:val="single" w:color="000000" w:sz="0" w:space="0"/>
            </w:tcBorders>
          </w:tcPr>
          <w:p w14:paraId="48FFFCA1">
            <w:pPr>
              <w:spacing w:after="0" w:line="240" w:lineRule="auto"/>
            </w:pPr>
            <w:r>
              <w:rPr>
                <w:rFonts w:ascii="Georgia" w:hAnsi="Georgia" w:eastAsia="Georgia" w:cs="Georgia"/>
              </w:rPr>
              <w:t>2023年1月-2024年12月</w:t>
            </w:r>
          </w:p>
        </w:tc>
      </w:tr>
      <w:tr w14:paraId="70C61357">
        <w:trPr>
          <w:cantSplit/>
          <w:tblCellSpacing w:w="0" w:type="dxa"/>
          <w:jc w:val="center"/>
        </w:trPr>
        <w:tc>
          <w:tcPr>
            <w:tcBorders>
              <w:top w:val="single" w:color="000000" w:sz="0" w:space="0"/>
              <w:bottom w:val="single" w:color="000000" w:sz="0" w:space="0"/>
            </w:tcBorders>
          </w:tcPr>
          <w:p w14:paraId="07B76B50">
            <w:pPr>
              <w:spacing w:after="0" w:line="240" w:lineRule="auto"/>
            </w:pPr>
            <w:r>
              <w:rPr>
                <w:rFonts w:ascii="Georgia" w:hAnsi="Georgia" w:eastAsia="Georgia" w:cs="Georgia"/>
              </w:rPr>
              <w:t>原始观测记录数</w:t>
            </w:r>
          </w:p>
        </w:tc>
        <w:tc>
          <w:tcPr>
            <w:tcBorders>
              <w:top w:val="single" w:color="000000" w:sz="0" w:space="0"/>
              <w:left w:val="single" w:color="000000" w:sz="0" w:space="0"/>
              <w:bottom w:val="single" w:color="000000" w:sz="0" w:space="0"/>
            </w:tcBorders>
          </w:tcPr>
          <w:p w14:paraId="2DFCA27B">
            <w:pPr>
              <w:spacing w:after="0" w:line="240" w:lineRule="auto"/>
            </w:pPr>
            <w:r>
              <w:rPr>
                <w:rFonts w:ascii="Georgia" w:hAnsi="Georgia" w:eastAsia="Georgia" w:cs="Georgia"/>
              </w:rPr>
              <w:t>20，000条</w:t>
            </w:r>
          </w:p>
        </w:tc>
      </w:tr>
      <w:tr w14:paraId="67F9DD71">
        <w:trPr>
          <w:cantSplit/>
          <w:tblCellSpacing w:w="0" w:type="dxa"/>
          <w:jc w:val="center"/>
        </w:trPr>
        <w:tc>
          <w:tcPr>
            <w:tcBorders>
              <w:top w:val="single" w:color="000000" w:sz="0" w:space="0"/>
              <w:bottom w:val="single" w:color="000000" w:sz="0" w:space="0"/>
            </w:tcBorders>
          </w:tcPr>
          <w:p w14:paraId="70D2B07C">
            <w:pPr>
              <w:spacing w:after="0" w:line="240" w:lineRule="auto"/>
            </w:pPr>
            <w:r>
              <w:rPr>
                <w:rFonts w:ascii="Georgia" w:hAnsi="Georgia" w:eastAsia="Georgia" w:cs="Georgia"/>
              </w:rPr>
              <w:t>预处理后有效记录数</w:t>
            </w:r>
          </w:p>
        </w:tc>
        <w:tc>
          <w:tcPr>
            <w:tcBorders>
              <w:top w:val="single" w:color="000000" w:sz="0" w:space="0"/>
              <w:left w:val="single" w:color="000000" w:sz="0" w:space="0"/>
              <w:bottom w:val="single" w:color="000000" w:sz="0" w:space="0"/>
            </w:tcBorders>
          </w:tcPr>
          <w:p w14:paraId="6B8B16A3">
            <w:pPr>
              <w:spacing w:after="0" w:line="240" w:lineRule="auto"/>
            </w:pPr>
            <w:r>
              <w:rPr>
                <w:rFonts w:ascii="Georgia" w:hAnsi="Georgia" w:eastAsia="Georgia" w:cs="Georgia"/>
              </w:rPr>
              <w:t>15，524条</w:t>
            </w:r>
          </w:p>
        </w:tc>
      </w:tr>
      <w:tr w14:paraId="397D6A47">
        <w:trPr>
          <w:cantSplit/>
          <w:tblCellSpacing w:w="0" w:type="dxa"/>
          <w:jc w:val="center"/>
        </w:trPr>
        <w:tc>
          <w:tcPr>
            <w:tcBorders>
              <w:top w:val="single" w:color="000000" w:sz="0" w:space="0"/>
              <w:bottom w:val="single" w:color="000000" w:sz="0" w:space="0"/>
            </w:tcBorders>
          </w:tcPr>
          <w:p w14:paraId="349CC2DF">
            <w:pPr>
              <w:spacing w:after="0" w:line="240" w:lineRule="auto"/>
            </w:pPr>
            <w:r>
              <w:rPr>
                <w:rFonts w:ascii="Georgia" w:hAnsi="Georgia" w:eastAsia="Georgia" w:cs="Georgia"/>
              </w:rPr>
              <w:t>数据保留率</w:t>
            </w:r>
          </w:p>
        </w:tc>
        <w:tc>
          <w:tcPr>
            <w:tcBorders>
              <w:top w:val="single" w:color="000000" w:sz="0" w:space="0"/>
              <w:left w:val="single" w:color="000000" w:sz="0" w:space="0"/>
              <w:bottom w:val="single" w:color="000000" w:sz="0" w:space="0"/>
            </w:tcBorders>
          </w:tcPr>
          <w:p w14:paraId="65DA0D32">
            <w:pPr>
              <w:spacing w:after="0" w:line="240" w:lineRule="auto"/>
            </w:pPr>
            <w:r>
              <w:t>77.6%</w:t>
            </w:r>
          </w:p>
        </w:tc>
      </w:tr>
      <w:tr w14:paraId="1C8FC75C">
        <w:trPr>
          <w:cantSplit/>
          <w:tblCellSpacing w:w="0" w:type="dxa"/>
          <w:jc w:val="center"/>
        </w:trPr>
        <w:tc>
          <w:tcPr>
            <w:tcBorders>
              <w:top w:val="single" w:color="000000" w:sz="0" w:space="0"/>
              <w:bottom w:val="single" w:color="000000" w:sz="0" w:space="0"/>
            </w:tcBorders>
          </w:tcPr>
          <w:p w14:paraId="74AEC0C6">
            <w:pPr>
              <w:spacing w:after="0" w:line="240" w:lineRule="auto"/>
            </w:pPr>
            <w:r>
              <w:rPr>
                <w:rFonts w:ascii="Georgia" w:hAnsi="Georgia" w:eastAsia="Georgia" w:cs="Georgia"/>
              </w:rPr>
              <w:t>原始水质指标</w:t>
            </w:r>
          </w:p>
        </w:tc>
        <w:tc>
          <w:tcPr>
            <w:tcBorders>
              <w:top w:val="single" w:color="000000" w:sz="0" w:space="0"/>
              <w:left w:val="single" w:color="000000" w:sz="0" w:space="0"/>
              <w:bottom w:val="single" w:color="000000" w:sz="0" w:space="0"/>
            </w:tcBorders>
          </w:tcPr>
          <w:p w14:paraId="5B782EF8">
            <w:pPr>
              <w:spacing w:after="0" w:line="240" w:lineRule="auto"/>
            </w:pPr>
            <w:r>
              <w:rPr>
                <w:rFonts w:ascii="Georgia" w:hAnsi="Georgia" w:eastAsia="Georgia" w:cs="Georgia"/>
              </w:rPr>
              <w:t>17个</w:t>
            </w:r>
          </w:p>
        </w:tc>
      </w:tr>
      <w:tr w14:paraId="4A566C69">
        <w:trPr>
          <w:cantSplit/>
          <w:tblCellSpacing w:w="0" w:type="dxa"/>
          <w:jc w:val="center"/>
        </w:trPr>
        <w:tc>
          <w:tcPr>
            <w:tcBorders>
              <w:top w:val="single" w:color="000000" w:sz="0" w:space="0"/>
              <w:bottom w:val="single" w:color="000000" w:sz="0" w:space="0"/>
            </w:tcBorders>
          </w:tcPr>
          <w:p w14:paraId="2C65536C">
            <w:pPr>
              <w:spacing w:after="0" w:line="240" w:lineRule="auto"/>
            </w:pPr>
            <w:r>
              <w:rPr>
                <w:rFonts w:ascii="Georgia" w:hAnsi="Georgia" w:eastAsia="Georgia" w:cs="Georgia"/>
              </w:rPr>
              <w:t>工程特征</w:t>
            </w:r>
          </w:p>
        </w:tc>
        <w:tc>
          <w:tcPr>
            <w:tcBorders>
              <w:top w:val="single" w:color="000000" w:sz="0" w:space="0"/>
              <w:left w:val="single" w:color="000000" w:sz="0" w:space="0"/>
              <w:bottom w:val="single" w:color="000000" w:sz="0" w:space="0"/>
            </w:tcBorders>
          </w:tcPr>
          <w:p w14:paraId="1F9D7006">
            <w:pPr>
              <w:spacing w:after="0" w:line="240" w:lineRule="auto"/>
            </w:pPr>
            <w:r>
              <w:rPr>
                <w:rFonts w:ascii="Georgia" w:hAnsi="Georgia" w:eastAsia="Georgia" w:cs="Georgia"/>
              </w:rPr>
              <w:t>3个</w:t>
            </w:r>
          </w:p>
        </w:tc>
      </w:tr>
      <w:tr w14:paraId="5838BA66">
        <w:trPr>
          <w:cantSplit/>
          <w:tblCellSpacing w:w="0" w:type="dxa"/>
          <w:jc w:val="center"/>
        </w:trPr>
        <w:tc>
          <w:tcPr>
            <w:tcBorders>
              <w:top w:val="single" w:color="000000" w:sz="0" w:space="0"/>
              <w:bottom w:val="single" w:color="000000" w:sz="0" w:space="0"/>
            </w:tcBorders>
          </w:tcPr>
          <w:p w14:paraId="714A73CE">
            <w:pPr>
              <w:spacing w:after="0" w:line="240" w:lineRule="auto"/>
            </w:pPr>
            <w:r>
              <w:rPr>
                <w:rFonts w:ascii="Georgia" w:hAnsi="Georgia" w:eastAsia="Georgia" w:cs="Georgia"/>
              </w:rPr>
              <w:t>采样间隔（平均±标准差）</w:t>
            </w:r>
          </w:p>
        </w:tc>
        <w:tc>
          <w:tcPr>
            <w:tcBorders>
              <w:top w:val="single" w:color="000000" w:sz="0" w:space="0"/>
              <w:left w:val="single" w:color="000000" w:sz="0" w:space="0"/>
              <w:bottom w:val="single" w:color="000000" w:sz="0" w:space="0"/>
            </w:tcBorders>
          </w:tcPr>
          <w:p w14:paraId="65395C91">
            <w:pPr>
              <w:spacing w:after="0" w:line="240" w:lineRule="auto"/>
            </w:pPr>
            <w:r>
              <w:rPr>
                <w:rFonts w:ascii="Georgia" w:hAnsi="Georgia" w:eastAsia="Georgia" w:cs="Georgia"/>
              </w:rPr>
              <w:t>7±16天</w:t>
            </w:r>
          </w:p>
        </w:tc>
      </w:tr>
      <w:tr w14:paraId="3FEC169D">
        <w:trPr>
          <w:cantSplit/>
          <w:tblCellSpacing w:w="0" w:type="dxa"/>
          <w:jc w:val="center"/>
        </w:trPr>
        <w:tc>
          <w:tcPr>
            <w:tcBorders>
              <w:top w:val="single" w:color="000000" w:sz="0" w:space="0"/>
              <w:bottom w:val="single" w:color="000000" w:sz="0" w:space="0"/>
            </w:tcBorders>
          </w:tcPr>
          <w:p w14:paraId="098E32DC">
            <w:pPr>
              <w:spacing w:after="0" w:line="240" w:lineRule="auto"/>
            </w:pPr>
            <w:r>
              <w:rPr>
                <w:rFonts w:ascii="Georgia" w:hAnsi="Georgia" w:eastAsia="Georgia" w:cs="Georgia"/>
              </w:rPr>
              <w:t>采样间隔范围</w:t>
            </w:r>
          </w:p>
        </w:tc>
        <w:tc>
          <w:tcPr>
            <w:tcBorders>
              <w:top w:val="single" w:color="000000" w:sz="0" w:space="0"/>
              <w:left w:val="single" w:color="000000" w:sz="0" w:space="0"/>
              <w:bottom w:val="single" w:color="000000" w:sz="0" w:space="0"/>
            </w:tcBorders>
          </w:tcPr>
          <w:p w14:paraId="3CBD9FE6">
            <w:pPr>
              <w:spacing w:after="0" w:line="240" w:lineRule="auto"/>
            </w:pPr>
            <w:r>
              <w:rPr>
                <w:rFonts w:ascii="Georgia" w:hAnsi="Georgia" w:eastAsia="Georgia" w:cs="Georgia"/>
              </w:rPr>
              <w:t>1–253天</w:t>
            </w:r>
          </w:p>
        </w:tc>
      </w:tr>
      <w:tr w14:paraId="09FFBFF3">
        <w:trPr>
          <w:cantSplit/>
          <w:tblCellSpacing w:w="0" w:type="dxa"/>
          <w:jc w:val="center"/>
        </w:trPr>
        <w:tc>
          <w:tcPr>
            <w:tcBorders>
              <w:top w:val="single" w:color="000000" w:sz="0" w:space="0"/>
              <w:bottom w:val="single" w:color="000000" w:sz="0" w:space="0"/>
            </w:tcBorders>
          </w:tcPr>
          <w:p w14:paraId="144C6851">
            <w:pPr>
              <w:spacing w:after="0" w:line="240" w:lineRule="auto"/>
            </w:pPr>
            <w:r>
              <w:rPr>
                <w:rFonts w:ascii="Georgia" w:hAnsi="Georgia" w:eastAsia="Georgia" w:cs="Georgia"/>
              </w:rPr>
              <w:t>2023年样本占比</w:t>
            </w:r>
          </w:p>
        </w:tc>
        <w:tc>
          <w:tcPr>
            <w:tcBorders>
              <w:top w:val="single" w:color="000000" w:sz="0" w:space="0"/>
              <w:left w:val="single" w:color="000000" w:sz="0" w:space="0"/>
              <w:bottom w:val="single" w:color="000000" w:sz="0" w:space="0"/>
            </w:tcBorders>
          </w:tcPr>
          <w:p w14:paraId="69CE718E">
            <w:pPr>
              <w:spacing w:after="0" w:line="240" w:lineRule="auto"/>
            </w:pPr>
            <w:r>
              <w:t>89.0%</w:t>
            </w:r>
          </w:p>
        </w:tc>
      </w:tr>
      <w:tr w14:paraId="31B310B9">
        <w:trPr>
          <w:cantSplit/>
          <w:tblCellSpacing w:w="0" w:type="dxa"/>
          <w:jc w:val="center"/>
        </w:trPr>
        <w:tc>
          <w:tcPr>
            <w:tcBorders>
              <w:top w:val="single" w:color="000000" w:sz="0" w:space="0"/>
              <w:bottom w:val="single" w:color="000000" w:sz="0" w:space="0"/>
            </w:tcBorders>
          </w:tcPr>
          <w:p w14:paraId="35FC0A20">
            <w:pPr>
              <w:spacing w:after="0" w:line="240" w:lineRule="auto"/>
            </w:pPr>
            <w:r>
              <w:rPr>
                <w:rFonts w:ascii="Georgia" w:hAnsi="Georgia" w:eastAsia="Georgia" w:cs="Georgia"/>
              </w:rPr>
              <w:t>2024年样本占比</w:t>
            </w:r>
          </w:p>
        </w:tc>
        <w:tc>
          <w:tcPr>
            <w:tcBorders>
              <w:top w:val="single" w:color="000000" w:sz="0" w:space="0"/>
              <w:left w:val="single" w:color="000000" w:sz="0" w:space="0"/>
              <w:bottom w:val="single" w:color="000000" w:sz="0" w:space="0"/>
            </w:tcBorders>
          </w:tcPr>
          <w:p w14:paraId="7888EDFA">
            <w:pPr>
              <w:spacing w:after="0" w:line="240" w:lineRule="auto"/>
            </w:pPr>
            <w:r>
              <w:t>11.0%</w:t>
            </w:r>
          </w:p>
        </w:tc>
      </w:tr>
    </w:tbl>
    <w:p w14:paraId="4FC1146C">
      <w:pPr>
        <w:snapToGrid/>
        <w:spacing w:beforeAutospacing="0" w:after="0" w:afterAutospacing="0" w:line="400" w:lineRule="exact"/>
        <w:ind w:left="0" w:leftChars="0" w:right="0" w:rightChars="0" w:firstLine="480" w:firstLineChars="200"/>
        <w:jc w:val="both"/>
        <w:rPr>
          <w:rFonts w:ascii="Times New Roman" w:eastAsia="宋体"/>
          <w:sz w:val="24"/>
        </w:rPr>
      </w:pPr>
    </w:p>
    <w:p w14:paraId="01C9AFB1">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需要说明的是，原始数据集共包含20，000条观测记录，但经过3.1.2节所述的质量控制流程后，最终保留了15，524条有效记录，数据保留率为77.6%。被剔除的4，476条记录（22.4%）主要包括测量值超出合理范围（如pH&lt;4.5或pH&gt;10.0）的记录（约占剔除量的40%），统计学异常值（同时被3-sigma法和IQR法识别为异常）的记录（约占30%），关键字段缺失（如污染等级、主要水质指标缺失）的记录（约占20%），以及数据类型错误（无法转换为数值）的记录（约占10%）。这一预处理策略虽然损失了部分样本，但显著提升了数据质量，为后续建模提供了可靠基础。15，524条有效记录仍足以支撑机器学习模型的训练需求（训练集12，419条，测试集3，105条）。</w:t>
      </w:r>
    </w:p>
    <w:p w14:paraId="6A31204B">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监测站点分布在北京、广东、河南、湖北、江苏、山东、上海、四川、云南和浙江等省份，涵盖了东部沿海发达地区、中部工业区和西部生态敏感区，具有较好的地理代表性。</w:t>
      </w:r>
    </w:p>
    <w:p w14:paraId="4AB47A7A">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数据集包含17个原始水质指标，按照类别可分为物理参数、化学参数、重金属含量和微生物指标四大类。物理参数包括水温（Water_Temperature_C）、浊度（Turbidity_NTU）和电导率（Conductivity_uS_cm），反映水体的基本物理性质。化学参数涉及酸碱度（pH）、溶解氧（Dissolved_Oxygen_mg_L）、化学需氧量（COD_mg_L）、生化需氧量（BOD_mg_L）、氨氮（Ammonia_N_mg_L）、总氮（Total_Nitrogen_mg_L）、总磷（Total_Phosphorus_mg_L）、硝酸盐（Nitrate_mg_L）和亚硝酸盐（Nitrite_mg_L）等13项指标，用于评估水体的化学污染状况和富营养化程度。重金属方面测量了铅（Heavy_Metals_Pb_ug_L）、镉（Heavy_Metals_Cd_ug_L）和汞（Heavy_Metals_Hg_ug_L）三种常见的有毒重金属元素。此外，还监测了大肠菌群数量（Coliform_Count_CFU_100mL）作为微生物污染的指示指标。每条记录还包含一个综合性的水质指数（Water_Quality_Index）和根据国标GB 3838-2002划分的污染等级（Pollution_Level）。</w:t>
      </w:r>
    </w:p>
    <w:p w14:paraId="1E24AE9C">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为了增强模型对水质状况的理解能力，本研究基于原始指标创建了3个工程特征。首先是重金属总量（Total_Heavy_Metals_ug_L），通过累加铅、镉、汞三种重金属的浓度，综合反映重金属污染的整体水平。其次是COD/BOD比值（COD_BOD_Ratio），该比值可以指示水体中难生物降解有机物的比例，通常工业废水的该比值较高。最后是氮磷比（NP_Ratio），即总氮与总磷的浓度比，这一指标对于评估水体富营养化风险和藻类暴发的可能性具有重要参考价值。</w:t>
      </w:r>
    </w:p>
    <w:p w14:paraId="520EA133">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数据采样具有显著的不规则性特征。站点间的采样频率差异较大，平均采样间隔为7天，但标准差达到16天，最短间隔为1天，最长间隔则达到253天。这种不规则性主要源于监测资源在不同地区和时段的分配差异，以及部分站点在特定时期的仪器维护和校准需求。从时间分布来看，2023年的观测记录占总样本量的89.0%，而2024年仅占11.0%，这一不均衡分布在后续的时间序列分析中需要特别关注。</w:t>
      </w:r>
    </w:p>
    <w:p w14:paraId="1AF7B4F0">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41" w:name="bm_3_2_数据预处理与质量控制"/>
      <w:bookmarkStart w:id="42" w:name="_Toc848509569"/>
      <w:r>
        <w:rPr>
          <w:rFonts w:ascii="黑体" w:hAnsi="Georgia" w:eastAsia="黑体" w:cs="Georgia"/>
          <w:b w:val="0"/>
          <w:sz w:val="28"/>
        </w:rPr>
        <w:t>3.2 数据预处理与质量控制</w:t>
      </w:r>
      <w:bookmarkEnd w:id="41"/>
      <w:bookmarkEnd w:id="42"/>
    </w:p>
    <w:p w14:paraId="34DC66B6">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数据质量控制是确保分析结果可靠性的关键环节。本研究的预处理流程分为三个主要步骤，基于理论范围的初步过滤、统计学异常值检测和数据类型规范化。</w:t>
      </w:r>
    </w:p>
    <w:p w14:paraId="173DCA89">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首先，根据淡水环境的理论取值范围和实际污染监测经验，为每个水质指标设定了合理的有效区间。表2列出了各指标的有效范围及其确定依据。</w:t>
      </w:r>
    </w:p>
    <w:p w14:paraId="7B222E4E">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表2 水质指标有效范围</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657"/>
        <w:gridCol w:w="1301"/>
        <w:gridCol w:w="3824"/>
      </w:tblGrid>
      <w:tr w14:paraId="61683B2F">
        <w:trPr>
          <w:cantSplit/>
          <w:tblCellSpacing w:w="0" w:type="dxa"/>
          <w:jc w:val="center"/>
        </w:trPr>
        <w:tc>
          <w:tcPr>
            <w:tcBorders>
              <w:top w:val="single" w:color="000000" w:sz="0" w:space="0"/>
              <w:bottom w:val="single" w:color="000000" w:sz="0" w:space="0"/>
            </w:tcBorders>
          </w:tcPr>
          <w:p w14:paraId="003271F5">
            <w:pPr>
              <w:spacing w:after="0" w:line="240" w:lineRule="auto"/>
            </w:pPr>
            <w:r>
              <w:rPr>
                <w:rFonts w:ascii="Georgia" w:hAnsi="Georgia" w:eastAsia="Georgia" w:cs="Georgia"/>
              </w:rPr>
              <w:t>指标名称</w:t>
            </w:r>
          </w:p>
        </w:tc>
        <w:tc>
          <w:tcPr>
            <w:tcBorders>
              <w:top w:val="single" w:color="000000" w:sz="0" w:space="0"/>
              <w:left w:val="single" w:color="000000" w:sz="0" w:space="0"/>
              <w:bottom w:val="single" w:color="000000" w:sz="0" w:space="0"/>
            </w:tcBorders>
          </w:tcPr>
          <w:p w14:paraId="4AD3CFEC">
            <w:pPr>
              <w:spacing w:after="0" w:line="240" w:lineRule="auto"/>
            </w:pPr>
            <w:r>
              <w:rPr>
                <w:rFonts w:ascii="Georgia" w:hAnsi="Georgia" w:eastAsia="Georgia" w:cs="Georgia"/>
              </w:rPr>
              <w:t>有效范围</w:t>
            </w:r>
          </w:p>
        </w:tc>
        <w:tc>
          <w:tcPr>
            <w:tcBorders>
              <w:top w:val="single" w:color="000000" w:sz="0" w:space="0"/>
              <w:left w:val="single" w:color="000000" w:sz="0" w:space="0"/>
              <w:bottom w:val="single" w:color="000000" w:sz="0" w:space="0"/>
            </w:tcBorders>
          </w:tcPr>
          <w:p w14:paraId="0C111B56">
            <w:pPr>
              <w:spacing w:after="0" w:line="240" w:lineRule="auto"/>
            </w:pPr>
            <w:r>
              <w:rPr>
                <w:rFonts w:ascii="Georgia" w:hAnsi="Georgia" w:eastAsia="Georgia" w:cs="Georgia"/>
              </w:rPr>
              <w:t>依据说明</w:t>
            </w:r>
          </w:p>
        </w:tc>
      </w:tr>
      <w:tr w14:paraId="0105B4A7">
        <w:trPr>
          <w:cantSplit/>
          <w:tblCellSpacing w:w="0" w:type="dxa"/>
          <w:jc w:val="center"/>
        </w:trPr>
        <w:tc>
          <w:tcPr>
            <w:tcBorders>
              <w:top w:val="single" w:color="000000" w:sz="0" w:space="0"/>
              <w:bottom w:val="single" w:color="000000" w:sz="0" w:space="0"/>
            </w:tcBorders>
          </w:tcPr>
          <w:p w14:paraId="4952E35C">
            <w:pPr>
              <w:spacing w:after="0" w:line="240" w:lineRule="auto"/>
            </w:pPr>
            <w:r>
              <w:rPr>
                <w:rFonts w:ascii="Georgia" w:hAnsi="Georgia" w:eastAsia="Georgia" w:cs="Georgia"/>
              </w:rPr>
              <w:t>水温 (°C)</w:t>
            </w:r>
          </w:p>
        </w:tc>
        <w:tc>
          <w:tcPr>
            <w:tcBorders>
              <w:top w:val="single" w:color="000000" w:sz="0" w:space="0"/>
              <w:left w:val="single" w:color="000000" w:sz="0" w:space="0"/>
              <w:bottom w:val="single" w:color="000000" w:sz="0" w:space="0"/>
            </w:tcBorders>
          </w:tcPr>
          <w:p w14:paraId="6CBF5B32">
            <w:pPr>
              <w:spacing w:after="0" w:line="240" w:lineRule="auto"/>
            </w:pPr>
            <w:r>
              <w:rPr>
                <w:rFonts w:ascii="Georgia" w:hAnsi="Georgia" w:eastAsia="Georgia" w:cs="Georgia"/>
              </w:rPr>
              <w:t>0–40</w:t>
            </w:r>
          </w:p>
        </w:tc>
        <w:tc>
          <w:tcPr>
            <w:tcBorders>
              <w:top w:val="single" w:color="000000" w:sz="0" w:space="0"/>
              <w:left w:val="single" w:color="000000" w:sz="0" w:space="0"/>
              <w:bottom w:val="single" w:color="000000" w:sz="0" w:space="0"/>
            </w:tcBorders>
          </w:tcPr>
          <w:p w14:paraId="651A637E">
            <w:pPr>
              <w:spacing w:after="0" w:line="240" w:lineRule="auto"/>
            </w:pPr>
            <w:r>
              <w:rPr>
                <w:rFonts w:ascii="Georgia" w:hAnsi="Georgia" w:eastAsia="Georgia" w:cs="Georgia"/>
              </w:rPr>
              <w:t>自然淡水温度范围</w:t>
            </w:r>
          </w:p>
        </w:tc>
      </w:tr>
      <w:tr w14:paraId="00394D0E">
        <w:trPr>
          <w:cantSplit/>
          <w:tblCellSpacing w:w="0" w:type="dxa"/>
          <w:jc w:val="center"/>
        </w:trPr>
        <w:tc>
          <w:tcPr>
            <w:tcBorders>
              <w:top w:val="single" w:color="000000" w:sz="0" w:space="0"/>
              <w:bottom w:val="single" w:color="000000" w:sz="0" w:space="0"/>
            </w:tcBorders>
          </w:tcPr>
          <w:p w14:paraId="355A504B">
            <w:pPr>
              <w:spacing w:after="0" w:line="240" w:lineRule="auto"/>
            </w:pPr>
            <w:r>
              <w:t>pH</w:t>
            </w:r>
          </w:p>
        </w:tc>
        <w:tc>
          <w:tcPr>
            <w:tcBorders>
              <w:top w:val="single" w:color="000000" w:sz="0" w:space="0"/>
              <w:left w:val="single" w:color="000000" w:sz="0" w:space="0"/>
              <w:bottom w:val="single" w:color="000000" w:sz="0" w:space="0"/>
            </w:tcBorders>
          </w:tcPr>
          <w:p w14:paraId="66E61171">
            <w:pPr>
              <w:spacing w:after="0" w:line="240" w:lineRule="auto"/>
            </w:pPr>
            <w:r>
              <w:rPr>
                <w:rFonts w:ascii="Georgia" w:hAnsi="Georgia" w:eastAsia="Georgia" w:cs="Georgia"/>
              </w:rPr>
              <w:t>4.5–10.0</w:t>
            </w:r>
          </w:p>
        </w:tc>
        <w:tc>
          <w:tcPr>
            <w:tcBorders>
              <w:top w:val="single" w:color="000000" w:sz="0" w:space="0"/>
              <w:left w:val="single" w:color="000000" w:sz="0" w:space="0"/>
              <w:bottom w:val="single" w:color="000000" w:sz="0" w:space="0"/>
            </w:tcBorders>
          </w:tcPr>
          <w:p w14:paraId="435BF45C">
            <w:pPr>
              <w:spacing w:after="0" w:line="240" w:lineRule="auto"/>
            </w:pPr>
            <w:r>
              <w:rPr>
                <w:rFonts w:ascii="Georgia" w:hAnsi="Georgia" w:eastAsia="Georgia" w:cs="Georgia"/>
              </w:rPr>
              <w:t>涵盖酸性矿山排水至碱性工业废水</w:t>
            </w:r>
          </w:p>
        </w:tc>
      </w:tr>
      <w:tr w14:paraId="4DCE434E">
        <w:trPr>
          <w:cantSplit/>
          <w:tblCellSpacing w:w="0" w:type="dxa"/>
          <w:jc w:val="center"/>
        </w:trPr>
        <w:tc>
          <w:tcPr>
            <w:tcBorders>
              <w:top w:val="single" w:color="000000" w:sz="0" w:space="0"/>
              <w:bottom w:val="single" w:color="000000" w:sz="0" w:space="0"/>
            </w:tcBorders>
          </w:tcPr>
          <w:p w14:paraId="594491BA">
            <w:pPr>
              <w:spacing w:after="0" w:line="240" w:lineRule="auto"/>
            </w:pPr>
            <w:r>
              <w:rPr>
                <w:rFonts w:ascii="Georgia" w:hAnsi="Georgia" w:eastAsia="Georgia" w:cs="Georgia"/>
              </w:rPr>
              <w:t>溶解氧 (mg/L)</w:t>
            </w:r>
          </w:p>
        </w:tc>
        <w:tc>
          <w:tcPr>
            <w:tcBorders>
              <w:top w:val="single" w:color="000000" w:sz="0" w:space="0"/>
              <w:left w:val="single" w:color="000000" w:sz="0" w:space="0"/>
              <w:bottom w:val="single" w:color="000000" w:sz="0" w:space="0"/>
            </w:tcBorders>
          </w:tcPr>
          <w:p w14:paraId="1A51A737">
            <w:pPr>
              <w:spacing w:after="0" w:line="240" w:lineRule="auto"/>
            </w:pPr>
            <w:r>
              <w:rPr>
                <w:rFonts w:ascii="Georgia" w:hAnsi="Georgia" w:eastAsia="Georgia" w:cs="Georgia"/>
              </w:rPr>
              <w:t>0–20</w:t>
            </w:r>
          </w:p>
        </w:tc>
        <w:tc>
          <w:tcPr>
            <w:tcBorders>
              <w:top w:val="single" w:color="000000" w:sz="0" w:space="0"/>
              <w:left w:val="single" w:color="000000" w:sz="0" w:space="0"/>
              <w:bottom w:val="single" w:color="000000" w:sz="0" w:space="0"/>
            </w:tcBorders>
          </w:tcPr>
          <w:p w14:paraId="544D7949">
            <w:pPr>
              <w:spacing w:after="0" w:line="240" w:lineRule="auto"/>
            </w:pPr>
            <w:r>
              <w:rPr>
                <w:rFonts w:ascii="Georgia" w:hAnsi="Georgia" w:eastAsia="Georgia" w:cs="Georgia"/>
              </w:rPr>
              <w:t>饱和溶解氧约14 mg/L，允许过饱和</w:t>
            </w:r>
          </w:p>
        </w:tc>
      </w:tr>
      <w:tr w14:paraId="31B34303">
        <w:trPr>
          <w:cantSplit/>
          <w:tblCellSpacing w:w="0" w:type="dxa"/>
          <w:jc w:val="center"/>
        </w:trPr>
        <w:tc>
          <w:tcPr>
            <w:tcBorders>
              <w:top w:val="single" w:color="000000" w:sz="0" w:space="0"/>
              <w:bottom w:val="single" w:color="000000" w:sz="0" w:space="0"/>
            </w:tcBorders>
          </w:tcPr>
          <w:p w14:paraId="5D3A5F19">
            <w:pPr>
              <w:spacing w:after="0" w:line="240" w:lineRule="auto"/>
            </w:pPr>
            <w:r>
              <w:rPr>
                <w:rFonts w:ascii="Georgia" w:hAnsi="Georgia" w:eastAsia="Georgia" w:cs="Georgia"/>
              </w:rPr>
              <w:t>电导率 (μS/cm)</w:t>
            </w:r>
          </w:p>
        </w:tc>
        <w:tc>
          <w:tcPr>
            <w:tcBorders>
              <w:top w:val="single" w:color="000000" w:sz="0" w:space="0"/>
              <w:left w:val="single" w:color="000000" w:sz="0" w:space="0"/>
              <w:bottom w:val="single" w:color="000000" w:sz="0" w:space="0"/>
            </w:tcBorders>
          </w:tcPr>
          <w:p w14:paraId="618BD0BA">
            <w:pPr>
              <w:spacing w:after="0" w:line="240" w:lineRule="auto"/>
            </w:pPr>
            <w:r>
              <w:rPr>
                <w:rFonts w:ascii="Georgia" w:hAnsi="Georgia" w:eastAsia="Georgia" w:cs="Georgia"/>
              </w:rPr>
              <w:t>50–2,000</w:t>
            </w:r>
          </w:p>
        </w:tc>
        <w:tc>
          <w:tcPr>
            <w:tcBorders>
              <w:top w:val="single" w:color="000000" w:sz="0" w:space="0"/>
              <w:left w:val="single" w:color="000000" w:sz="0" w:space="0"/>
              <w:bottom w:val="single" w:color="000000" w:sz="0" w:space="0"/>
            </w:tcBorders>
          </w:tcPr>
          <w:p w14:paraId="6F2B6BAC">
            <w:pPr>
              <w:spacing w:after="0" w:line="240" w:lineRule="auto"/>
            </w:pPr>
            <w:r>
              <w:rPr>
                <w:rFonts w:ascii="Georgia" w:hAnsi="Georgia" w:eastAsia="Georgia" w:cs="Georgia"/>
              </w:rPr>
              <w:t>淡水典型范围50–1,500 μS/cm</w:t>
            </w:r>
          </w:p>
        </w:tc>
      </w:tr>
      <w:tr w14:paraId="5EA179D4">
        <w:trPr>
          <w:cantSplit/>
          <w:tblCellSpacing w:w="0" w:type="dxa"/>
          <w:jc w:val="center"/>
        </w:trPr>
        <w:tc>
          <w:tcPr>
            <w:tcBorders>
              <w:top w:val="single" w:color="000000" w:sz="0" w:space="0"/>
              <w:bottom w:val="single" w:color="000000" w:sz="0" w:space="0"/>
            </w:tcBorders>
          </w:tcPr>
          <w:p w14:paraId="0C0CD26F">
            <w:pPr>
              <w:spacing w:after="0" w:line="240" w:lineRule="auto"/>
            </w:pPr>
            <w:r>
              <w:rPr>
                <w:rFonts w:ascii="Georgia" w:hAnsi="Georgia" w:eastAsia="Georgia" w:cs="Georgia"/>
              </w:rPr>
              <w:t>浊度 (NTU)</w:t>
            </w:r>
          </w:p>
        </w:tc>
        <w:tc>
          <w:tcPr>
            <w:tcBorders>
              <w:top w:val="single" w:color="000000" w:sz="0" w:space="0"/>
              <w:left w:val="single" w:color="000000" w:sz="0" w:space="0"/>
              <w:bottom w:val="single" w:color="000000" w:sz="0" w:space="0"/>
            </w:tcBorders>
          </w:tcPr>
          <w:p w14:paraId="1A4AC51E">
            <w:pPr>
              <w:spacing w:after="0" w:line="240" w:lineRule="auto"/>
            </w:pPr>
            <w:r>
              <w:rPr>
                <w:rFonts w:ascii="Georgia" w:hAnsi="Georgia" w:eastAsia="Georgia" w:cs="Georgia"/>
              </w:rPr>
              <w:t>0–150</w:t>
            </w:r>
          </w:p>
        </w:tc>
        <w:tc>
          <w:tcPr>
            <w:tcBorders>
              <w:top w:val="single" w:color="000000" w:sz="0" w:space="0"/>
              <w:left w:val="single" w:color="000000" w:sz="0" w:space="0"/>
              <w:bottom w:val="single" w:color="000000" w:sz="0" w:space="0"/>
            </w:tcBorders>
          </w:tcPr>
          <w:p w14:paraId="2108E7BE">
            <w:pPr>
              <w:spacing w:after="0" w:line="240" w:lineRule="auto"/>
            </w:pPr>
            <w:r>
              <w:rPr>
                <w:rFonts w:ascii="Georgia" w:hAnsi="Georgia" w:eastAsia="Georgia" w:cs="Georgia"/>
              </w:rPr>
              <w:t>从清澈水体到高度浑浊水体</w:t>
            </w:r>
          </w:p>
        </w:tc>
      </w:tr>
      <w:tr w14:paraId="238658E8">
        <w:trPr>
          <w:cantSplit/>
          <w:tblCellSpacing w:w="0" w:type="dxa"/>
          <w:jc w:val="center"/>
        </w:trPr>
        <w:tc>
          <w:tcPr>
            <w:tcBorders>
              <w:top w:val="single" w:color="000000" w:sz="0" w:space="0"/>
              <w:bottom w:val="single" w:color="000000" w:sz="0" w:space="0"/>
            </w:tcBorders>
          </w:tcPr>
          <w:p w14:paraId="03BC76BC">
            <w:pPr>
              <w:spacing w:after="0" w:line="240" w:lineRule="auto"/>
            </w:pPr>
            <w:r>
              <w:rPr>
                <w:rFonts w:ascii="Georgia" w:hAnsi="Georgia" w:eastAsia="Georgia" w:cs="Georgia"/>
              </w:rPr>
              <w:t>硝酸盐 (mg/L)</w:t>
            </w:r>
          </w:p>
        </w:tc>
        <w:tc>
          <w:tcPr>
            <w:tcBorders>
              <w:top w:val="single" w:color="000000" w:sz="0" w:space="0"/>
              <w:left w:val="single" w:color="000000" w:sz="0" w:space="0"/>
              <w:bottom w:val="single" w:color="000000" w:sz="0" w:space="0"/>
            </w:tcBorders>
          </w:tcPr>
          <w:p w14:paraId="66335C24">
            <w:pPr>
              <w:spacing w:after="0" w:line="240" w:lineRule="auto"/>
            </w:pPr>
            <w:r>
              <w:rPr>
                <w:rFonts w:ascii="Georgia" w:hAnsi="Georgia" w:eastAsia="Georgia" w:cs="Georgia"/>
              </w:rPr>
              <w:t>0–100</w:t>
            </w:r>
          </w:p>
        </w:tc>
        <w:tc>
          <w:tcPr>
            <w:tcBorders>
              <w:top w:val="single" w:color="000000" w:sz="0" w:space="0"/>
              <w:left w:val="single" w:color="000000" w:sz="0" w:space="0"/>
              <w:bottom w:val="single" w:color="000000" w:sz="0" w:space="0"/>
            </w:tcBorders>
          </w:tcPr>
          <w:p w14:paraId="6A52B96F">
            <w:pPr>
              <w:spacing w:after="0" w:line="240" w:lineRule="auto"/>
            </w:pPr>
            <w:r>
              <w:rPr>
                <w:rFonts w:ascii="Georgia" w:hAnsi="Georgia" w:eastAsia="Georgia" w:cs="Georgia"/>
              </w:rPr>
              <w:t>污染水体可达50+ mg/L</w:t>
            </w:r>
          </w:p>
        </w:tc>
      </w:tr>
      <w:tr w14:paraId="5541992E">
        <w:trPr>
          <w:cantSplit/>
          <w:tblCellSpacing w:w="0" w:type="dxa"/>
          <w:jc w:val="center"/>
        </w:trPr>
        <w:tc>
          <w:tcPr>
            <w:tcBorders>
              <w:top w:val="single" w:color="000000" w:sz="0" w:space="0"/>
              <w:bottom w:val="single" w:color="000000" w:sz="0" w:space="0"/>
            </w:tcBorders>
          </w:tcPr>
          <w:p w14:paraId="721047FC">
            <w:pPr>
              <w:spacing w:after="0" w:line="240" w:lineRule="auto"/>
            </w:pPr>
            <w:r>
              <w:rPr>
                <w:rFonts w:ascii="Georgia" w:hAnsi="Georgia" w:eastAsia="Georgia" w:cs="Georgia"/>
              </w:rPr>
              <w:t>亚硝酸盐 (mg/L)</w:t>
            </w:r>
          </w:p>
        </w:tc>
        <w:tc>
          <w:tcPr>
            <w:tcBorders>
              <w:top w:val="single" w:color="000000" w:sz="0" w:space="0"/>
              <w:left w:val="single" w:color="000000" w:sz="0" w:space="0"/>
              <w:bottom w:val="single" w:color="000000" w:sz="0" w:space="0"/>
            </w:tcBorders>
          </w:tcPr>
          <w:p w14:paraId="0E4C6552">
            <w:pPr>
              <w:spacing w:after="0" w:line="240" w:lineRule="auto"/>
            </w:pPr>
            <w:r>
              <w:rPr>
                <w:rFonts w:ascii="Georgia" w:hAnsi="Georgia" w:eastAsia="Georgia" w:cs="Georgia"/>
              </w:rPr>
              <w:t>0–5</w:t>
            </w:r>
          </w:p>
        </w:tc>
        <w:tc>
          <w:tcPr>
            <w:tcBorders>
              <w:top w:val="single" w:color="000000" w:sz="0" w:space="0"/>
              <w:left w:val="single" w:color="000000" w:sz="0" w:space="0"/>
              <w:bottom w:val="single" w:color="000000" w:sz="0" w:space="0"/>
            </w:tcBorders>
          </w:tcPr>
          <w:p w14:paraId="2D9D1272">
            <w:pPr>
              <w:spacing w:after="0" w:line="240" w:lineRule="auto"/>
            </w:pPr>
            <w:r>
              <w:rPr>
                <w:rFonts w:ascii="Georgia" w:hAnsi="Georgia" w:eastAsia="Georgia" w:cs="Georgia"/>
              </w:rPr>
              <w:t>典型值&lt;1 mg/L，允许污染事件</w:t>
            </w:r>
          </w:p>
        </w:tc>
      </w:tr>
      <w:tr w14:paraId="77BE3DDF">
        <w:trPr>
          <w:cantSplit/>
          <w:tblCellSpacing w:w="0" w:type="dxa"/>
          <w:jc w:val="center"/>
        </w:trPr>
        <w:tc>
          <w:tcPr>
            <w:tcBorders>
              <w:top w:val="single" w:color="000000" w:sz="0" w:space="0"/>
              <w:bottom w:val="single" w:color="000000" w:sz="0" w:space="0"/>
            </w:tcBorders>
          </w:tcPr>
          <w:p w14:paraId="19206C32">
            <w:pPr>
              <w:spacing w:after="0" w:line="240" w:lineRule="auto"/>
            </w:pPr>
            <w:r>
              <w:rPr>
                <w:rFonts w:ascii="Georgia" w:hAnsi="Georgia" w:eastAsia="Georgia" w:cs="Georgia"/>
              </w:rPr>
              <w:t>氨氮 (mg/L)</w:t>
            </w:r>
          </w:p>
        </w:tc>
        <w:tc>
          <w:tcPr>
            <w:tcBorders>
              <w:top w:val="single" w:color="000000" w:sz="0" w:space="0"/>
              <w:left w:val="single" w:color="000000" w:sz="0" w:space="0"/>
              <w:bottom w:val="single" w:color="000000" w:sz="0" w:space="0"/>
            </w:tcBorders>
          </w:tcPr>
          <w:p w14:paraId="3144DEB0">
            <w:pPr>
              <w:spacing w:after="0" w:line="240" w:lineRule="auto"/>
            </w:pPr>
            <w:r>
              <w:rPr>
                <w:rFonts w:ascii="Georgia" w:hAnsi="Georgia" w:eastAsia="Georgia" w:cs="Georgia"/>
              </w:rPr>
              <w:t>0–10</w:t>
            </w:r>
          </w:p>
        </w:tc>
        <w:tc>
          <w:tcPr>
            <w:tcBorders>
              <w:top w:val="single" w:color="000000" w:sz="0" w:space="0"/>
              <w:left w:val="single" w:color="000000" w:sz="0" w:space="0"/>
              <w:bottom w:val="single" w:color="000000" w:sz="0" w:space="0"/>
            </w:tcBorders>
          </w:tcPr>
          <w:p w14:paraId="32800257">
            <w:pPr>
              <w:spacing w:after="0" w:line="240" w:lineRule="auto"/>
            </w:pPr>
            <w:r>
              <w:rPr>
                <w:rFonts w:ascii="Georgia" w:hAnsi="Georgia" w:eastAsia="Georgia" w:cs="Georgia"/>
              </w:rPr>
              <w:t>污染水体范围</w:t>
            </w:r>
          </w:p>
        </w:tc>
      </w:tr>
      <w:tr w14:paraId="469AE104">
        <w:trPr>
          <w:cantSplit/>
          <w:tblCellSpacing w:w="0" w:type="dxa"/>
          <w:jc w:val="center"/>
        </w:trPr>
        <w:tc>
          <w:tcPr>
            <w:tcBorders>
              <w:top w:val="single" w:color="000000" w:sz="0" w:space="0"/>
              <w:bottom w:val="single" w:color="000000" w:sz="0" w:space="0"/>
            </w:tcBorders>
          </w:tcPr>
          <w:p w14:paraId="098EE7D7">
            <w:pPr>
              <w:spacing w:after="0" w:line="240" w:lineRule="auto"/>
            </w:pPr>
            <w:r>
              <w:rPr>
                <w:rFonts w:ascii="Georgia" w:hAnsi="Georgia" w:eastAsia="Georgia" w:cs="Georgia"/>
              </w:rPr>
              <w:t>总磷 (mg/L)</w:t>
            </w:r>
          </w:p>
        </w:tc>
        <w:tc>
          <w:tcPr>
            <w:tcBorders>
              <w:top w:val="single" w:color="000000" w:sz="0" w:space="0"/>
              <w:left w:val="single" w:color="000000" w:sz="0" w:space="0"/>
              <w:bottom w:val="single" w:color="000000" w:sz="0" w:space="0"/>
            </w:tcBorders>
          </w:tcPr>
          <w:p w14:paraId="4D1162D9">
            <w:pPr>
              <w:spacing w:after="0" w:line="240" w:lineRule="auto"/>
            </w:pPr>
            <w:r>
              <w:rPr>
                <w:rFonts w:ascii="Georgia" w:hAnsi="Georgia" w:eastAsia="Georgia" w:cs="Georgia"/>
              </w:rPr>
              <w:t>0–2</w:t>
            </w:r>
          </w:p>
        </w:tc>
        <w:tc>
          <w:tcPr>
            <w:tcBorders>
              <w:top w:val="single" w:color="000000" w:sz="0" w:space="0"/>
              <w:left w:val="single" w:color="000000" w:sz="0" w:space="0"/>
              <w:bottom w:val="single" w:color="000000" w:sz="0" w:space="0"/>
            </w:tcBorders>
          </w:tcPr>
          <w:p w14:paraId="6A1294A6">
            <w:pPr>
              <w:spacing w:after="0" w:line="240" w:lineRule="auto"/>
            </w:pPr>
            <w:r>
              <w:rPr>
                <w:rFonts w:ascii="Georgia" w:hAnsi="Georgia" w:eastAsia="Georgia" w:cs="Georgia"/>
              </w:rPr>
              <w:t>富营养化水体范围</w:t>
            </w:r>
          </w:p>
        </w:tc>
      </w:tr>
      <w:tr w14:paraId="63D065A1">
        <w:trPr>
          <w:cantSplit/>
          <w:tblCellSpacing w:w="0" w:type="dxa"/>
          <w:jc w:val="center"/>
        </w:trPr>
        <w:tc>
          <w:tcPr>
            <w:tcBorders>
              <w:top w:val="single" w:color="000000" w:sz="0" w:space="0"/>
              <w:bottom w:val="single" w:color="000000" w:sz="0" w:space="0"/>
            </w:tcBorders>
          </w:tcPr>
          <w:p w14:paraId="377DC474">
            <w:pPr>
              <w:spacing w:after="0" w:line="240" w:lineRule="auto"/>
            </w:pPr>
            <w:r>
              <w:rPr>
                <w:rFonts w:ascii="Georgia" w:hAnsi="Georgia" w:eastAsia="Georgia" w:cs="Georgia"/>
              </w:rPr>
              <w:t>总氮 (mg/L)</w:t>
            </w:r>
          </w:p>
        </w:tc>
        <w:tc>
          <w:tcPr>
            <w:tcBorders>
              <w:top w:val="single" w:color="000000" w:sz="0" w:space="0"/>
              <w:left w:val="single" w:color="000000" w:sz="0" w:space="0"/>
              <w:bottom w:val="single" w:color="000000" w:sz="0" w:space="0"/>
            </w:tcBorders>
          </w:tcPr>
          <w:p w14:paraId="53A46D47">
            <w:pPr>
              <w:spacing w:after="0" w:line="240" w:lineRule="auto"/>
            </w:pPr>
            <w:r>
              <w:rPr>
                <w:rFonts w:ascii="Georgia" w:hAnsi="Georgia" w:eastAsia="Georgia" w:cs="Georgia"/>
              </w:rPr>
              <w:t>0–20</w:t>
            </w:r>
          </w:p>
        </w:tc>
        <w:tc>
          <w:tcPr>
            <w:tcBorders>
              <w:top w:val="single" w:color="000000" w:sz="0" w:space="0"/>
              <w:left w:val="single" w:color="000000" w:sz="0" w:space="0"/>
              <w:bottom w:val="single" w:color="000000" w:sz="0" w:space="0"/>
            </w:tcBorders>
          </w:tcPr>
          <w:p w14:paraId="1105BCB0">
            <w:pPr>
              <w:spacing w:after="0" w:line="240" w:lineRule="auto"/>
            </w:pPr>
            <w:r>
              <w:rPr>
                <w:rFonts w:ascii="Georgia" w:hAnsi="Georgia" w:eastAsia="Georgia" w:cs="Georgia"/>
              </w:rPr>
              <w:t>富营养化/污染水体范围</w:t>
            </w:r>
          </w:p>
        </w:tc>
      </w:tr>
      <w:tr w14:paraId="1886F110">
        <w:trPr>
          <w:cantSplit/>
          <w:tblCellSpacing w:w="0" w:type="dxa"/>
          <w:jc w:val="center"/>
        </w:trPr>
        <w:tc>
          <w:tcPr>
            <w:tcBorders>
              <w:top w:val="single" w:color="000000" w:sz="0" w:space="0"/>
              <w:bottom w:val="single" w:color="000000" w:sz="0" w:space="0"/>
            </w:tcBorders>
          </w:tcPr>
          <w:p w14:paraId="7907B705">
            <w:pPr>
              <w:spacing w:after="0" w:line="240" w:lineRule="auto"/>
            </w:pPr>
            <w:r>
              <w:t>COD (mg/L)</w:t>
            </w:r>
          </w:p>
        </w:tc>
        <w:tc>
          <w:tcPr>
            <w:tcBorders>
              <w:top w:val="single" w:color="000000" w:sz="0" w:space="0"/>
              <w:left w:val="single" w:color="000000" w:sz="0" w:space="0"/>
              <w:bottom w:val="single" w:color="000000" w:sz="0" w:space="0"/>
            </w:tcBorders>
          </w:tcPr>
          <w:p w14:paraId="63FEBE50">
            <w:pPr>
              <w:spacing w:after="0" w:line="240" w:lineRule="auto"/>
            </w:pPr>
            <w:r>
              <w:rPr>
                <w:rFonts w:ascii="Georgia" w:hAnsi="Georgia" w:eastAsia="Georgia" w:cs="Georgia"/>
              </w:rPr>
              <w:t>0–300</w:t>
            </w:r>
          </w:p>
        </w:tc>
        <w:tc>
          <w:tcPr>
            <w:tcBorders>
              <w:top w:val="single" w:color="000000" w:sz="0" w:space="0"/>
              <w:left w:val="single" w:color="000000" w:sz="0" w:space="0"/>
              <w:bottom w:val="single" w:color="000000" w:sz="0" w:space="0"/>
            </w:tcBorders>
          </w:tcPr>
          <w:p w14:paraId="5A93D5D4">
            <w:pPr>
              <w:spacing w:after="0" w:line="240" w:lineRule="auto"/>
            </w:pPr>
            <w:r>
              <w:rPr>
                <w:rFonts w:ascii="Georgia" w:hAnsi="Georgia" w:eastAsia="Georgia" w:cs="Georgia"/>
              </w:rPr>
              <w:t>重度污染水体范围</w:t>
            </w:r>
          </w:p>
        </w:tc>
      </w:tr>
      <w:tr w14:paraId="6B449A37">
        <w:trPr>
          <w:cantSplit/>
          <w:tblCellSpacing w:w="0" w:type="dxa"/>
          <w:jc w:val="center"/>
        </w:trPr>
        <w:tc>
          <w:tcPr>
            <w:tcBorders>
              <w:top w:val="single" w:color="000000" w:sz="0" w:space="0"/>
              <w:bottom w:val="single" w:color="000000" w:sz="0" w:space="0"/>
            </w:tcBorders>
          </w:tcPr>
          <w:p w14:paraId="06D04D23">
            <w:pPr>
              <w:spacing w:after="0" w:line="240" w:lineRule="auto"/>
            </w:pPr>
            <w:r>
              <w:t>BOD (mg/L)</w:t>
            </w:r>
          </w:p>
        </w:tc>
        <w:tc>
          <w:tcPr>
            <w:tcBorders>
              <w:top w:val="single" w:color="000000" w:sz="0" w:space="0"/>
              <w:left w:val="single" w:color="000000" w:sz="0" w:space="0"/>
              <w:bottom w:val="single" w:color="000000" w:sz="0" w:space="0"/>
            </w:tcBorders>
          </w:tcPr>
          <w:p w14:paraId="725ACDC3">
            <w:pPr>
              <w:spacing w:after="0" w:line="240" w:lineRule="auto"/>
            </w:pPr>
            <w:r>
              <w:rPr>
                <w:rFonts w:ascii="Georgia" w:hAnsi="Georgia" w:eastAsia="Georgia" w:cs="Georgia"/>
              </w:rPr>
              <w:t>0–100</w:t>
            </w:r>
          </w:p>
        </w:tc>
        <w:tc>
          <w:tcPr>
            <w:tcBorders>
              <w:top w:val="single" w:color="000000" w:sz="0" w:space="0"/>
              <w:left w:val="single" w:color="000000" w:sz="0" w:space="0"/>
              <w:bottom w:val="single" w:color="000000" w:sz="0" w:space="0"/>
            </w:tcBorders>
          </w:tcPr>
          <w:p w14:paraId="7D296D7D">
            <w:pPr>
              <w:spacing w:after="0" w:line="240" w:lineRule="auto"/>
            </w:pPr>
            <w:r>
              <w:rPr>
                <w:rFonts w:ascii="Georgia" w:hAnsi="Georgia" w:eastAsia="Georgia" w:cs="Georgia"/>
              </w:rPr>
              <w:t>重度污染水体范围</w:t>
            </w:r>
          </w:p>
        </w:tc>
      </w:tr>
      <w:tr w14:paraId="63F5802B">
        <w:trPr>
          <w:cantSplit/>
          <w:tblCellSpacing w:w="0" w:type="dxa"/>
          <w:jc w:val="center"/>
        </w:trPr>
        <w:tc>
          <w:tcPr>
            <w:tcBorders>
              <w:top w:val="single" w:color="000000" w:sz="0" w:space="0"/>
              <w:bottom w:val="single" w:color="000000" w:sz="0" w:space="0"/>
            </w:tcBorders>
          </w:tcPr>
          <w:p w14:paraId="4A7B5D70">
            <w:pPr>
              <w:spacing w:after="0" w:line="240" w:lineRule="auto"/>
            </w:pPr>
            <w:r>
              <w:rPr>
                <w:rFonts w:ascii="Georgia" w:hAnsi="Georgia" w:eastAsia="Georgia" w:cs="Georgia"/>
              </w:rPr>
              <w:t>铅 (μg/L)</w:t>
            </w:r>
          </w:p>
        </w:tc>
        <w:tc>
          <w:tcPr>
            <w:tcBorders>
              <w:top w:val="single" w:color="000000" w:sz="0" w:space="0"/>
              <w:left w:val="single" w:color="000000" w:sz="0" w:space="0"/>
              <w:bottom w:val="single" w:color="000000" w:sz="0" w:space="0"/>
            </w:tcBorders>
          </w:tcPr>
          <w:p w14:paraId="52B456CE">
            <w:pPr>
              <w:spacing w:after="0" w:line="240" w:lineRule="auto"/>
            </w:pPr>
            <w:r>
              <w:rPr>
                <w:rFonts w:ascii="Georgia" w:hAnsi="Georgia" w:eastAsia="Georgia" w:cs="Georgia"/>
              </w:rPr>
              <w:t>0–100</w:t>
            </w:r>
          </w:p>
        </w:tc>
        <w:tc>
          <w:tcPr>
            <w:tcBorders>
              <w:top w:val="single" w:color="000000" w:sz="0" w:space="0"/>
              <w:left w:val="single" w:color="000000" w:sz="0" w:space="0"/>
              <w:bottom w:val="single" w:color="000000" w:sz="0" w:space="0"/>
            </w:tcBorders>
          </w:tcPr>
          <w:p w14:paraId="4B628D1E">
            <w:pPr>
              <w:spacing w:after="0" w:line="240" w:lineRule="auto"/>
            </w:pPr>
            <w:r>
              <w:rPr>
                <w:rFonts w:ascii="Georgia" w:hAnsi="Georgia" w:eastAsia="Georgia" w:cs="Georgia"/>
              </w:rPr>
              <w:t>允许重污染点位</w:t>
            </w:r>
          </w:p>
        </w:tc>
      </w:tr>
      <w:tr w14:paraId="40C13D96">
        <w:trPr>
          <w:cantSplit/>
          <w:tblCellSpacing w:w="0" w:type="dxa"/>
          <w:jc w:val="center"/>
        </w:trPr>
        <w:tc>
          <w:tcPr>
            <w:tcBorders>
              <w:top w:val="single" w:color="000000" w:sz="0" w:space="0"/>
              <w:bottom w:val="single" w:color="000000" w:sz="0" w:space="0"/>
            </w:tcBorders>
          </w:tcPr>
          <w:p w14:paraId="7D703E53">
            <w:pPr>
              <w:spacing w:after="0" w:line="240" w:lineRule="auto"/>
            </w:pPr>
            <w:r>
              <w:rPr>
                <w:rFonts w:ascii="Georgia" w:hAnsi="Georgia" w:eastAsia="Georgia" w:cs="Georgia"/>
              </w:rPr>
              <w:t>镉 (μg/L)</w:t>
            </w:r>
          </w:p>
        </w:tc>
        <w:tc>
          <w:tcPr>
            <w:tcBorders>
              <w:top w:val="single" w:color="000000" w:sz="0" w:space="0"/>
              <w:left w:val="single" w:color="000000" w:sz="0" w:space="0"/>
              <w:bottom w:val="single" w:color="000000" w:sz="0" w:space="0"/>
            </w:tcBorders>
          </w:tcPr>
          <w:p w14:paraId="064AD26B">
            <w:pPr>
              <w:spacing w:after="0" w:line="240" w:lineRule="auto"/>
            </w:pPr>
            <w:r>
              <w:rPr>
                <w:rFonts w:ascii="Georgia" w:hAnsi="Georgia" w:eastAsia="Georgia" w:cs="Georgia"/>
              </w:rPr>
              <w:t>0–10</w:t>
            </w:r>
          </w:p>
        </w:tc>
        <w:tc>
          <w:tcPr>
            <w:tcBorders>
              <w:top w:val="single" w:color="000000" w:sz="0" w:space="0"/>
              <w:left w:val="single" w:color="000000" w:sz="0" w:space="0"/>
              <w:bottom w:val="single" w:color="000000" w:sz="0" w:space="0"/>
            </w:tcBorders>
          </w:tcPr>
          <w:p w14:paraId="7577E785">
            <w:pPr>
              <w:spacing w:after="0" w:line="240" w:lineRule="auto"/>
            </w:pPr>
            <w:r>
              <w:rPr>
                <w:rFonts w:ascii="Georgia" w:hAnsi="Georgia" w:eastAsia="Georgia" w:cs="Georgia"/>
              </w:rPr>
              <w:t>允许重污染点位</w:t>
            </w:r>
          </w:p>
        </w:tc>
      </w:tr>
      <w:tr w14:paraId="5A294D5A">
        <w:trPr>
          <w:cantSplit/>
          <w:tblCellSpacing w:w="0" w:type="dxa"/>
          <w:jc w:val="center"/>
        </w:trPr>
        <w:tc>
          <w:tcPr>
            <w:tcBorders>
              <w:top w:val="single" w:color="000000" w:sz="0" w:space="0"/>
              <w:bottom w:val="single" w:color="000000" w:sz="0" w:space="0"/>
            </w:tcBorders>
          </w:tcPr>
          <w:p w14:paraId="296EE6F9">
            <w:pPr>
              <w:spacing w:after="0" w:line="240" w:lineRule="auto"/>
            </w:pPr>
            <w:r>
              <w:rPr>
                <w:rFonts w:ascii="Georgia" w:hAnsi="Georgia" w:eastAsia="Georgia" w:cs="Georgia"/>
              </w:rPr>
              <w:t>汞 (μg/L)</w:t>
            </w:r>
          </w:p>
        </w:tc>
        <w:tc>
          <w:tcPr>
            <w:tcBorders>
              <w:top w:val="single" w:color="000000" w:sz="0" w:space="0"/>
              <w:left w:val="single" w:color="000000" w:sz="0" w:space="0"/>
              <w:bottom w:val="single" w:color="000000" w:sz="0" w:space="0"/>
            </w:tcBorders>
          </w:tcPr>
          <w:p w14:paraId="422B9BD4">
            <w:pPr>
              <w:spacing w:after="0" w:line="240" w:lineRule="auto"/>
            </w:pPr>
            <w:r>
              <w:rPr>
                <w:rFonts w:ascii="Georgia" w:hAnsi="Georgia" w:eastAsia="Georgia" w:cs="Georgia"/>
              </w:rPr>
              <w:t>0–2</w:t>
            </w:r>
          </w:p>
        </w:tc>
        <w:tc>
          <w:tcPr>
            <w:tcBorders>
              <w:top w:val="single" w:color="000000" w:sz="0" w:space="0"/>
              <w:left w:val="single" w:color="000000" w:sz="0" w:space="0"/>
              <w:bottom w:val="single" w:color="000000" w:sz="0" w:space="0"/>
            </w:tcBorders>
          </w:tcPr>
          <w:p w14:paraId="2F126EFC">
            <w:pPr>
              <w:spacing w:after="0" w:line="240" w:lineRule="auto"/>
            </w:pPr>
            <w:r>
              <w:rPr>
                <w:rFonts w:ascii="Georgia" w:hAnsi="Georgia" w:eastAsia="Georgia" w:cs="Georgia"/>
              </w:rPr>
              <w:t>严格限制（高毒性）</w:t>
            </w:r>
          </w:p>
        </w:tc>
      </w:tr>
      <w:tr w14:paraId="1D401472">
        <w:trPr>
          <w:cantSplit/>
          <w:tblCellSpacing w:w="0" w:type="dxa"/>
          <w:jc w:val="center"/>
        </w:trPr>
        <w:tc>
          <w:tcPr>
            <w:tcBorders>
              <w:top w:val="single" w:color="000000" w:sz="0" w:space="0"/>
              <w:bottom w:val="single" w:color="000000" w:sz="0" w:space="0"/>
            </w:tcBorders>
          </w:tcPr>
          <w:p w14:paraId="2769158B">
            <w:pPr>
              <w:spacing w:after="0" w:line="240" w:lineRule="auto"/>
            </w:pPr>
            <w:r>
              <w:rPr>
                <w:rFonts w:ascii="Georgia" w:hAnsi="Georgia" w:eastAsia="Georgia" w:cs="Georgia"/>
              </w:rPr>
              <w:t>大肠菌群 (CFU/100mL)</w:t>
            </w:r>
          </w:p>
        </w:tc>
        <w:tc>
          <w:tcPr>
            <w:tcBorders>
              <w:top w:val="single" w:color="000000" w:sz="0" w:space="0"/>
              <w:left w:val="single" w:color="000000" w:sz="0" w:space="0"/>
              <w:bottom w:val="single" w:color="000000" w:sz="0" w:space="0"/>
            </w:tcBorders>
          </w:tcPr>
          <w:p w14:paraId="7DDEDFDB">
            <w:pPr>
              <w:spacing w:after="0" w:line="240" w:lineRule="auto"/>
            </w:pPr>
            <w:r>
              <w:rPr>
                <w:rFonts w:ascii="Georgia" w:hAnsi="Georgia" w:eastAsia="Georgia" w:cs="Georgia"/>
              </w:rPr>
              <w:t>0–10,000</w:t>
            </w:r>
          </w:p>
        </w:tc>
        <w:tc>
          <w:tcPr>
            <w:tcBorders>
              <w:top w:val="single" w:color="000000" w:sz="0" w:space="0"/>
              <w:left w:val="single" w:color="000000" w:sz="0" w:space="0"/>
              <w:bottom w:val="single" w:color="000000" w:sz="0" w:space="0"/>
            </w:tcBorders>
          </w:tcPr>
          <w:p w14:paraId="7E742CFC">
            <w:pPr>
              <w:spacing w:after="0" w:line="240" w:lineRule="auto"/>
            </w:pPr>
            <w:r>
              <w:rPr>
                <w:rFonts w:ascii="Georgia" w:hAnsi="Georgia" w:eastAsia="Georgia" w:cs="Georgia"/>
              </w:rPr>
              <w:t>从清洁到严重污染</w:t>
            </w:r>
          </w:p>
        </w:tc>
      </w:tr>
    </w:tbl>
    <w:p w14:paraId="7DCF463F">
      <w:pPr>
        <w:snapToGrid/>
        <w:spacing w:beforeAutospacing="0" w:after="0" w:afterAutospacing="0" w:line="400" w:lineRule="exact"/>
        <w:ind w:left="0" w:leftChars="0" w:right="0" w:rightChars="0" w:firstLine="480" w:firstLineChars="200"/>
        <w:jc w:val="both"/>
        <w:rPr>
          <w:rFonts w:ascii="Times New Roman" w:eastAsia="宋体"/>
          <w:sz w:val="24"/>
        </w:rPr>
      </w:pPr>
    </w:p>
    <w:p w14:paraId="757C4663">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通过这一步骤，可以有效剔除明显的测量错误和录入错误数据。例如，pH值被限制在4.5至10.0之间，这一范围涵盖了从酸性矿山排水到碱性工业废水的各类极端情况，溶解氧的范围设定为0至20 mg/L，考虑到饱和溶解氧约为14 mg/L，上限允许过饱和状态的出现，化学需氧量（COD）的上限设为300 mg/L，足以覆盖重度污染水体，重金属方面，汞的上限设定为2 μg/L（相对严格），而铅和镉的上限分别为100 μg/L和10 μg/L，以适应可能存在的重污染点位。</w:t>
      </w:r>
    </w:p>
    <w:p w14:paraId="4F9E6382">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此基础上，本研究采用了两种经典的统计学方法进行异常值检测。一是基于正态分布假设的3-sigma原则，将超出均值±3倍标准差范围的观测标记为潜在异常值。二是四分位距方法（IQR），通过计算第25百分位数（Q1）和第75百分位数（Q3），将低于Q1−1.5×IQR或高于Q3+1.5×IQR的数据视为异常。考虑到环境监测数据可能存在的真实极端事件（如突发污染事故），本研究采取了较为保守的策略，取两种方法的并集作为有效范围，即只有同时被两种方法判定为异常的观测才会被剔除。这种处理方式在保证数据质量的同时，最大程度地保留了真实的污染峰值信息。</w:t>
      </w:r>
    </w:p>
    <w:p w14:paraId="046965DF">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预处理过程还包括数据类型的规范化处理。所有数值型字段在计算前均通过pandas的to_numeric函数进行强制转换，无法转换的值被标记为缺失并在后续分析中排除。最终，经过上述三步处理后，数据集从原始的20，000条记录减少至15，524条完整有效的观测记录，数据保留率为77.6%，剔除率为22.4%。如3.1.1节表1后所述，被剔除的4，476条记录中，约40%因测量值超出理论范围，30%因统计学异常，20%因关键字段缺失，10%因数据类型错误。这一质量控制流程虽然损失了部分样本，但显著提升了数据的一致性和可靠性，为后续的探索性分析和模型训练提供了坚实基础。</w:t>
      </w:r>
    </w:p>
    <w:p w14:paraId="526DDC1A">
      <w:pPr>
        <w:ind w:left="0" w:leftChars="0" w:right="0" w:rightChars="0" w:firstLine="0" w:firstLineChars="0"/>
        <w:jc w:val="center"/>
        <w:rPr>
          <w:rFonts w:ascii="Times New Roman" w:eastAsia="宋体"/>
          <w:sz w:val="24"/>
        </w:rPr>
      </w:pPr>
      <w:r>
        <w:rPr>
          <w:rFonts w:ascii="Times New Roman" w:eastAsia="宋体"/>
          <w:sz w:val="24"/>
        </w:rPr>
        <w:drawing>
          <wp:inline distT="0" distB="0" distL="0" distR="0">
            <wp:extent cx="952500" cy="952500"/>
            <wp:effectExtent l="0" t="0" r="0" b="0"/>
            <wp:docPr id="3" name="image-not-found.png"/>
            <wp:cNvGraphicFramePr/>
            <a:graphic xmlns:a="http://schemas.openxmlformats.org/drawingml/2006/main">
              <a:graphicData uri="http://schemas.openxmlformats.org/drawingml/2006/picture">
                <pic:pic xmlns:pic="http://schemas.openxmlformats.org/drawingml/2006/picture">
                  <pic:nvPicPr>
                    <pic:cNvPr id="3" name="image-not-found.png"/>
                    <pic:cNvPicPr/>
                  </pic:nvPicPr>
                  <pic:blipFill>
                    <a:blip r:embed="rId6" cstate="print"/>
                    <a:srcRect/>
                    <a:stretch>
                      <a:fillRect/>
                    </a:stretch>
                  </pic:blipFill>
                  <pic:spPr>
                    <a:xfrm>
                      <a:off x="0" y="0"/>
                      <a:ext cx="952500" cy="952500"/>
                    </a:xfrm>
                    <a:prstGeom prst="rect">
                      <a:avLst/>
                    </a:prstGeom>
                  </pic:spPr>
                </pic:pic>
              </a:graphicData>
            </a:graphic>
          </wp:inline>
        </w:drawing>
      </w:r>
    </w:p>
    <w:p w14:paraId="45637850">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3展示了从20,000条原始记录到15,524条有效记录的三阶段质量控制流程，包括理论范围过滤（剔除800条，4%）、统计学异常值检测（剔除1,344条，7%）和数据类型规范化（剔除2,332条，13%）。图表采用纵向流程图结构（上→下），每个阶段显示处理规则、剔除量和主要原因分布的饼图，右侧附有累计剔除柱状图。详细设计规格见FIGURE_DESIGN_SPECIFICATIONS.md。</w:t>
      </w:r>
    </w:p>
    <w:p w14:paraId="0336AFFD">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43" w:name="bm_3_3_采样模式与时间特征分析"/>
      <w:bookmarkStart w:id="44" w:name="_Toc1608910103"/>
      <w:r>
        <w:rPr>
          <w:rFonts w:ascii="黑体" w:hAnsi="Georgia" w:eastAsia="黑体" w:cs="Georgia"/>
          <w:b w:val="0"/>
          <w:sz w:val="28"/>
        </w:rPr>
        <w:t>3.3 采样模式与时间特征分析</w:t>
      </w:r>
      <w:bookmarkEnd w:id="43"/>
      <w:bookmarkEnd w:id="44"/>
    </w:p>
    <w:p w14:paraId="7175D46F">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对连续采样间隔的分析揭示了严重的不规则性。平均间隔7天，标准差16天，最大间隔达253天，变异系数（Coefficient of Variation, CV）高达1.99。</w:t>
      </w:r>
    </w:p>
    <w:p w14:paraId="3149055F">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变异系数是衡量数据离散程度的无量纲统计指标，计算公式为，</w:t>
      </w:r>
    </w:p>
    <w:p w14:paraId="02863A78">
      <w:pPr>
        <w:snapToGrid/>
        <w:spacing w:beforeAutospacing="0" w:after="0" w:afterAutospacing="0" w:line="400" w:lineRule="exact"/>
        <w:ind w:left="0" w:leftChars="0" w:right="0" w:rightChars="0" w:firstLine="480" w:firstLineChars="200"/>
        <w:jc w:val="both"/>
        <w:rPr>
          <w:rFonts w:ascii="Times New Roman" w:eastAsia="宋体"/>
          <w:sz w:val="24"/>
        </w:rPr>
      </w:pPr>
      <m:oMathPara>
        <m:oMath>
          <m:r>
            <m:rPr>
              <m:nor/>
              <m:sty m:val="p"/>
            </m:rPr>
            <w:rPr>
              <w:rFonts w:ascii="Times New Roman" w:hAnsi="Times New Roman" w:eastAsia="宋体"/>
              <w:b w:val="0"/>
              <w:i w:val="0"/>
              <w:sz w:val="24"/>
            </w:rPr>
            <m:t>CV</m:t>
          </m:r>
          <m:r>
            <m:rPr>
              <m:sty m:val="p"/>
            </m:rPr>
            <w:rPr>
              <w:rFonts w:ascii="Times New Roman" w:hAnsi="Times New Roman" w:eastAsia="宋体"/>
              <w:sz w:val="24"/>
            </w:rPr>
            <m:t>=</m:t>
          </m:r>
          <m:f>
            <m:fPr>
              <m:ctrlPr>
                <w:rPr>
                  <w:rFonts w:ascii="DejaVu Math TeX Gyre" w:hAnsi="DejaVu Math TeX Gyre" w:eastAsia="宋体"/>
                  <w:sz w:val="24"/>
                </w:rPr>
              </m:ctrlPr>
            </m:fPr>
            <m:num>
              <m:r>
                <m:rPr/>
                <w:rPr>
                  <w:rFonts w:ascii="Times New Roman" w:hAnsi="Times New Roman" w:eastAsia="宋体"/>
                  <w:sz w:val="24"/>
                </w:rPr>
                <m:t>σ</m:t>
              </m:r>
              <m:ctrlPr>
                <w:rPr>
                  <w:rFonts w:ascii="DejaVu Math TeX Gyre" w:hAnsi="DejaVu Math TeX Gyre" w:eastAsia="宋体"/>
                  <w:sz w:val="24"/>
                </w:rPr>
              </m:ctrlPr>
            </m:num>
            <m:den>
              <m:r>
                <m:rPr/>
                <w:rPr>
                  <w:rFonts w:ascii="Times New Roman" w:hAnsi="Times New Roman" w:eastAsia="宋体"/>
                  <w:sz w:val="24"/>
                </w:rPr>
                <m:t>μ</m:t>
              </m:r>
              <m:ctrlPr>
                <w:rPr>
                  <w:rFonts w:ascii="DejaVu Math TeX Gyre" w:hAnsi="DejaVu Math TeX Gyre" w:eastAsia="宋体"/>
                  <w:sz w:val="24"/>
                </w:rPr>
              </m:ctrlPr>
            </m:den>
          </m:f>
        </m:oMath>
      </m:oMathPara>
    </w:p>
    <w:p w14:paraId="2AB67013">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其中</w:t>
      </w:r>
      <m:oMath>
        <m:r>
          <m:rPr/>
          <w:rPr>
            <w:rFonts w:ascii="Times New Roman" w:hAnsi="Times New Roman" w:eastAsia="宋体"/>
            <w:sz w:val="24"/>
          </w:rPr>
          <m:t>σ</m:t>
        </m:r>
      </m:oMath>
      <w:r>
        <w:rPr>
          <w:rFonts w:ascii="Times New Roman" w:hAnsi="Georgia" w:eastAsia="宋体" w:cs="Georgia"/>
          <w:sz w:val="24"/>
        </w:rPr>
        <w:t>为标准差，</w:t>
      </w:r>
      <m:oMath>
        <m:r>
          <m:rPr/>
          <w:rPr>
            <w:rFonts w:ascii="Times New Roman" w:hAnsi="Times New Roman" w:eastAsia="宋体"/>
            <w:sz w:val="24"/>
          </w:rPr>
          <m:t>μ</m:t>
        </m:r>
      </m:oMath>
      <w:r>
        <w:rPr>
          <w:rFonts w:ascii="Times New Roman" w:hAnsi="Georgia" w:eastAsia="宋体" w:cs="Georgia"/>
          <w:sz w:val="24"/>
        </w:rPr>
        <w:t>为平均值。CV消除了量纲的影响，使不同单位的数据具有可比性。对于采样间隔数据，CV的物理意义是采样规律性的度量。当CV小于0.2时，表示规则采样，适合传统时间序列方法（如每日固定监测），当CV在0.2至1.0之间时，表示轻度不规则，时间序列方法需谨慎使用，当CV大于等于1.0时，表示严重不规则，时间序列方法不适用。</w:t>
      </w:r>
    </w:p>
    <w:p w14:paraId="0C1E2CA5">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本数据集的CV=1.99，远超1.0的严重不规则阈值，标准差甚至接近均值的2倍，表明采样间隔极度分散，完全不符合等间隔假设。根据既定标准（Hyndman &amp; Athanasopoulos, 2018），</w:t>
      </w:r>
      <m:oMath>
        <m:r>
          <m:rPr>
            <m:nor/>
            <m:sty m:val="p"/>
          </m:rPr>
          <w:rPr>
            <w:rFonts w:ascii="Times New Roman" w:hAnsi="Times New Roman" w:eastAsia="宋体"/>
            <w:b w:val="0"/>
            <w:i w:val="0"/>
            <w:sz w:val="24"/>
          </w:rPr>
          <m:t>CV</m:t>
        </m:r>
        <m:r>
          <m:rPr>
            <m:sty m:val="p"/>
          </m:rPr>
          <w:rPr>
            <w:rFonts w:ascii="Times New Roman" w:hAnsi="Times New Roman" w:eastAsia="宋体"/>
            <w:sz w:val="24"/>
          </w:rPr>
          <m:t>&gt;1.0</m:t>
        </m:r>
      </m:oMath>
      <w:r>
        <w:rPr>
          <w:rFonts w:ascii="Times New Roman" w:hAnsi="Georgia" w:eastAsia="宋体" w:cs="Georgia"/>
          <w:sz w:val="24"/>
        </w:rPr>
        <w:t>表明极度不规则，时间序列方法不适用。自相关函数分析显示</w:t>
      </w:r>
      <m:oMath>
        <m:r>
          <m:rPr>
            <m:nor/>
            <m:sty m:val="p"/>
          </m:rPr>
          <w:rPr>
            <w:rFonts w:ascii="Times New Roman" w:hAnsi="Times New Roman" w:eastAsia="宋体"/>
            <w:b w:val="0"/>
            <w:i w:val="0"/>
            <w:sz w:val="24"/>
          </w:rPr>
          <m:t>ACF</m:t>
        </m:r>
        <m:r>
          <m:rPr>
            <m:sty m:val="p"/>
          </m:rPr>
          <w:rPr>
            <w:rFonts w:ascii="Times New Roman" w:hAnsi="Times New Roman" w:eastAsia="宋体"/>
            <w:sz w:val="24"/>
          </w:rPr>
          <m:t>(1)=0.03</m:t>
        </m:r>
      </m:oMath>
      <w:r>
        <w:rPr>
          <w:rFonts w:ascii="Times New Roman" w:hAnsi="Georgia" w:eastAsia="宋体" w:cs="Georgia"/>
          <w:sz w:val="24"/>
        </w:rPr>
        <w:t>，远低于0.3的有效阈值，表明先前观测对后续值几乎没有预测能力。Ljung-Box检验无法拒绝无自相关假设（</w:t>
      </w:r>
      <m:oMath>
        <m:r>
          <m:rPr/>
          <w:rPr>
            <w:rFonts w:ascii="Times New Roman" w:hAnsi="Times New Roman" w:eastAsia="宋体"/>
            <w:sz w:val="24"/>
          </w:rPr>
          <m:t>p</m:t>
        </m:r>
        <m:r>
          <m:rPr>
            <m:sty m:val="p"/>
          </m:rPr>
          <w:rPr>
            <w:rFonts w:ascii="Times New Roman" w:hAnsi="Times New Roman" w:eastAsia="宋体"/>
            <w:sz w:val="24"/>
          </w:rPr>
          <m:t>=0.263</m:t>
        </m:r>
      </m:oMath>
      <w:r>
        <w:rPr>
          <w:rFonts w:ascii="Times New Roman" w:hAnsi="Georgia" w:eastAsia="宋体" w:cs="Georgia"/>
          <w:sz w:val="24"/>
        </w:rPr>
        <w:t>）。</w:t>
      </w:r>
    </w:p>
    <w:p w14:paraId="5115C082">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图2和图3分别展示了采样间隔的分布特征和自相关函数分析结果，直观证明了数据的高度不规则性。</w:t>
      </w:r>
    </w:p>
    <w:p w14:paraId="5E28F393">
      <w:pPr>
        <w:snapToGrid/>
        <w:spacing w:beforeAutospacing="0" w:after="0" w:afterAutospacing="0" w:line="400" w:lineRule="exact"/>
        <w:ind w:left="0" w:leftChars="0" w:right="0" w:rightChars="0" w:firstLine="480" w:firstLineChars="200"/>
        <w:jc w:val="both"/>
        <w:rPr>
          <w:rFonts w:ascii="Times New Roman" w:eastAsia="宋体"/>
          <w:sz w:val="24"/>
        </w:rPr>
      </w:pPr>
    </w:p>
    <w:p w14:paraId="50CEB929">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注，图2展示了15,524条观测记录之间的采样间隔分布。从图中可以看出，采样间隔呈现高度分散的分布，变异系数</w:t>
      </w:r>
      <m:oMath>
        <m:r>
          <m:rPr>
            <m:nor/>
            <m:sty m:val="p"/>
          </m:rPr>
          <w:rPr>
            <w:rFonts w:ascii="Times New Roman" w:hAnsi="Times New Roman" w:eastAsia="宋体"/>
            <w:b w:val="0"/>
            <w:i w:val="0"/>
            <w:sz w:val="24"/>
          </w:rPr>
          <m:t>CV</m:t>
        </m:r>
        <m:r>
          <m:rPr>
            <m:sty m:val="p"/>
          </m:rPr>
          <w:rPr>
            <w:rFonts w:ascii="Times New Roman" w:hAnsi="Times New Roman" w:eastAsia="宋体"/>
            <w:sz w:val="24"/>
          </w:rPr>
          <m:t>=1.99</m:t>
        </m:r>
      </m:oMath>
      <w:r>
        <w:rPr>
          <w:rFonts w:ascii="Times New Roman" w:eastAsia="宋体"/>
          <w:i/>
          <w:sz w:val="24"/>
        </w:rPr>
        <w:t>远超规则采样的阈值（</w:t>
      </w:r>
      <m:oMath>
        <m:r>
          <m:rPr>
            <m:nor/>
            <m:sty m:val="p"/>
          </m:rPr>
          <w:rPr>
            <w:rFonts w:ascii="Times New Roman" w:hAnsi="Times New Roman" w:eastAsia="宋体"/>
            <w:b w:val="0"/>
            <w:i w:val="0"/>
            <w:sz w:val="24"/>
          </w:rPr>
          <m:t>CV</m:t>
        </m:r>
        <m:r>
          <m:rPr>
            <m:sty m:val="p"/>
          </m:rPr>
          <w:rPr>
            <w:rFonts w:ascii="Times New Roman" w:hAnsi="Times New Roman" w:eastAsia="宋体"/>
            <w:sz w:val="24"/>
          </w:rPr>
          <m:t>&lt;0.2</m:t>
        </m:r>
      </m:oMath>
      <w:r>
        <w:rPr>
          <w:rFonts w:ascii="Times New Roman" w:eastAsia="宋体"/>
          <w:i/>
          <w:sz w:val="24"/>
        </w:rPr>
        <w:t>），证明了数据采样的极度不规则性。这一特征是导致传统时间序列方法性能不佳的根本原因。</w:t>
      </w:r>
    </w:p>
    <w:p w14:paraId="0752499D">
      <w:pPr>
        <w:snapToGrid/>
        <w:spacing w:beforeAutospacing="0" w:after="0" w:afterAutospacing="0" w:line="400" w:lineRule="exact"/>
        <w:ind w:left="0" w:leftChars="0" w:right="0" w:rightChars="0" w:firstLine="480" w:firstLineChars="200"/>
        <w:jc w:val="both"/>
        <w:rPr>
          <w:rFonts w:ascii="Times New Roman" w:eastAsia="宋体"/>
          <w:sz w:val="24"/>
        </w:rPr>
      </w:pPr>
    </w:p>
    <w:p w14:paraId="5075AC7D">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注，图3展示了水质指标的自相关函数（ACF）随滞后阶数的变化。一阶自相关系数</w:t>
      </w:r>
      <m:oMath>
        <m:r>
          <m:rPr>
            <m:nor/>
            <m:sty m:val="p"/>
          </m:rPr>
          <w:rPr>
            <w:rFonts w:ascii="Times New Roman" w:hAnsi="Times New Roman" w:eastAsia="宋体"/>
            <w:b w:val="0"/>
            <w:i w:val="0"/>
            <w:sz w:val="24"/>
          </w:rPr>
          <m:t>ACF</m:t>
        </m:r>
        <m:r>
          <m:rPr>
            <m:sty m:val="p"/>
          </m:rPr>
          <w:rPr>
            <w:rFonts w:ascii="Times New Roman" w:hAnsi="Times New Roman" w:eastAsia="宋体"/>
            <w:sz w:val="24"/>
          </w:rPr>
          <m:t>(1)=0.03</m:t>
        </m:r>
      </m:oMath>
      <w:r>
        <w:rPr>
          <w:rFonts w:ascii="Times New Roman" w:eastAsia="宋体"/>
          <w:i/>
          <w:sz w:val="24"/>
        </w:rPr>
        <w:t>接近零，远低于通常认为有效的阈值（0.3），表明当前观测值与前一时刻观测值之间几乎没有线性关系。这一结果进一步验证了采样不规则性导致的时间依赖性缺失，为选择横截面预测方法而非时间序列方法提供了数据支撑。</w:t>
      </w:r>
    </w:p>
    <w:p w14:paraId="0661EC96">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为了进一步直观展示数据的时间特征，图4展示了主要水质指标随时间的整体变化趋势。</w:t>
      </w:r>
    </w:p>
    <w:p w14:paraId="7E70F847">
      <w:pPr>
        <w:snapToGrid/>
        <w:spacing w:beforeAutospacing="0" w:after="0" w:afterAutospacing="0" w:line="400" w:lineRule="exact"/>
        <w:ind w:left="0" w:leftChars="0" w:right="0" w:rightChars="0" w:firstLine="480" w:firstLineChars="200"/>
        <w:jc w:val="both"/>
        <w:rPr>
          <w:rFonts w:ascii="Times New Roman" w:eastAsia="宋体"/>
          <w:sz w:val="24"/>
        </w:rPr>
      </w:pPr>
    </w:p>
    <w:p w14:paraId="728D5DA7">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注，图4展示了水质指数（WQI）、pH、溶解氧、COD、氨氮等9个核心指标在2023-2024年间的时间演变趋势。图中每个子图对应一个指标，横轴为时间，纵轴为指标数值。从图中可以观察到，WQI和浊度呈现上升趋势（Trend Direction: Increasing），表明水质在观测期间整体呈现轻微恶化，大多数指标相对稳定（Trend Direction: Stable），如pH维持在7.0左右，溶解氧在8.0 mg/L附近波动，数据点高度分散，缺乏明显的周期性模式，再次印证了采样的极度不规则性。</w:t>
      </w:r>
    </w:p>
    <w:p w14:paraId="716E8BA3">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尽管数据采样高度不规则，本研究仍对时间序列进行了季节性分解（Seasonal Decomposition），以探索是否存在任何潜在的季节性模式。图5展示了北京地区氨氮指标的季节分解结果。</w:t>
      </w:r>
    </w:p>
    <w:p w14:paraId="67E258D9">
      <w:pPr>
        <w:snapToGrid/>
        <w:spacing w:beforeAutospacing="0" w:after="0" w:afterAutospacing="0" w:line="400" w:lineRule="exact"/>
        <w:ind w:left="0" w:leftChars="0" w:right="0" w:rightChars="0" w:firstLine="480" w:firstLineChars="200"/>
        <w:jc w:val="both"/>
        <w:rPr>
          <w:rFonts w:ascii="Times New Roman" w:eastAsia="宋体"/>
          <w:sz w:val="24"/>
        </w:rPr>
      </w:pPr>
    </w:p>
    <w:p w14:paraId="51E35AE5">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注，图5使用经典的加法模型（Additive Model）对北京地区的氨氮浓度进行季节分解，将时间序列拆分为趋势项（Trend）、季节项（Seasonal）和残差项（Residual）三个组成部分。分析结果显示，季节项振幅极小，占总变异的比例不足5%，说明氨氮浓度不存在显著的季节性规律，残差项的方差远大于季节项，表明观测值的波动主要来自随机噪声和采样不规则性，而非季节性变化，趋势项相对平缓，没有呈现明显的单调上升或下降模式。这一结果与ACF分析一致，进一步确认了数据缺乏季节性特征，不适合使用SARIMA等依赖季节性的时间序列模型。</w:t>
      </w:r>
    </w:p>
    <w:p w14:paraId="09C77A0D">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45" w:name="bm_3_4_水质等级与空间分布"/>
      <w:bookmarkStart w:id="46" w:name="_Toc1985501744"/>
      <w:r>
        <w:rPr>
          <w:rFonts w:ascii="黑体" w:hAnsi="Georgia" w:eastAsia="黑体" w:cs="Georgia"/>
          <w:b w:val="0"/>
          <w:sz w:val="28"/>
        </w:rPr>
        <w:t>3.4 水质等级与空间分布</w:t>
      </w:r>
      <w:bookmarkEnd w:id="45"/>
      <w:bookmarkEnd w:id="46"/>
    </w:p>
    <w:p w14:paraId="08166F09">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数据集中的污染等级分布呈现出明显的不均衡特征。根据GB 3838-2002《地表水环境质量标准》的分类标准，15，524条观测记录被划分为五个等级。表3展示了各污染等级的详细分布情况。</w:t>
      </w:r>
    </w:p>
    <w:p w14:paraId="2F4EABB0">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表3 污染等级分布</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950"/>
        <w:gridCol w:w="1200"/>
        <w:gridCol w:w="980"/>
        <w:gridCol w:w="3185"/>
      </w:tblGrid>
      <w:tr w14:paraId="79AB9315">
        <w:trPr>
          <w:cantSplit/>
          <w:tblCellSpacing w:w="0" w:type="dxa"/>
          <w:jc w:val="center"/>
        </w:trPr>
        <w:tc>
          <w:tcPr>
            <w:tcBorders>
              <w:top w:val="single" w:color="000000" w:sz="0" w:space="0"/>
              <w:bottom w:val="single" w:color="000000" w:sz="0" w:space="0"/>
            </w:tcBorders>
          </w:tcPr>
          <w:p w14:paraId="3E805AC5">
            <w:pPr>
              <w:spacing w:after="0" w:line="240" w:lineRule="auto"/>
            </w:pPr>
            <w:r>
              <w:rPr>
                <w:rFonts w:ascii="Georgia" w:hAnsi="Georgia" w:eastAsia="Georgia" w:cs="Georgia"/>
              </w:rPr>
              <w:t>污染等级</w:t>
            </w:r>
          </w:p>
        </w:tc>
        <w:tc>
          <w:tcPr>
            <w:tcBorders>
              <w:top w:val="single" w:color="000000" w:sz="0" w:space="0"/>
              <w:left w:val="single" w:color="000000" w:sz="0" w:space="0"/>
              <w:bottom w:val="single" w:color="000000" w:sz="0" w:space="0"/>
            </w:tcBorders>
          </w:tcPr>
          <w:p w14:paraId="36D0BA3E">
            <w:pPr>
              <w:spacing w:after="0" w:line="240" w:lineRule="auto"/>
            </w:pPr>
            <w:r>
              <w:rPr>
                <w:rFonts w:ascii="Georgia" w:hAnsi="Georgia" w:eastAsia="Georgia" w:cs="Georgia"/>
              </w:rPr>
              <w:t>样本数量</w:t>
            </w:r>
          </w:p>
        </w:tc>
        <w:tc>
          <w:tcPr>
            <w:tcBorders>
              <w:top w:val="single" w:color="000000" w:sz="0" w:space="0"/>
              <w:left w:val="single" w:color="000000" w:sz="0" w:space="0"/>
              <w:bottom w:val="single" w:color="000000" w:sz="0" w:space="0"/>
            </w:tcBorders>
          </w:tcPr>
          <w:p w14:paraId="51E8E2D4">
            <w:pPr>
              <w:spacing w:after="0" w:line="240" w:lineRule="auto"/>
            </w:pPr>
            <w:r>
              <w:rPr>
                <w:rFonts w:ascii="Georgia" w:hAnsi="Georgia" w:eastAsia="Georgia" w:cs="Georgia"/>
              </w:rPr>
              <w:t>百分比</w:t>
            </w:r>
          </w:p>
        </w:tc>
        <w:tc>
          <w:tcPr>
            <w:tcBorders>
              <w:top w:val="single" w:color="000000" w:sz="0" w:space="0"/>
              <w:left w:val="single" w:color="000000" w:sz="0" w:space="0"/>
              <w:bottom w:val="single" w:color="000000" w:sz="0" w:space="0"/>
            </w:tcBorders>
          </w:tcPr>
          <w:p w14:paraId="1431BBEF">
            <w:pPr>
              <w:spacing w:after="0" w:line="240" w:lineRule="auto"/>
            </w:pPr>
            <w:r>
              <w:rPr>
                <w:rFonts w:ascii="Georgia" w:hAnsi="Georgia" w:eastAsia="Georgia" w:cs="Georgia"/>
              </w:rPr>
              <w:t>特征描述</w:t>
            </w:r>
          </w:p>
        </w:tc>
      </w:tr>
      <w:tr w14:paraId="3C6B39F5">
        <w:trPr>
          <w:cantSplit/>
          <w:tblCellSpacing w:w="0" w:type="dxa"/>
          <w:jc w:val="center"/>
        </w:trPr>
        <w:tc>
          <w:tcPr>
            <w:tcBorders>
              <w:top w:val="single" w:color="000000" w:sz="0" w:space="0"/>
              <w:bottom w:val="single" w:color="000000" w:sz="0" w:space="0"/>
            </w:tcBorders>
          </w:tcPr>
          <w:p w14:paraId="284F62F9">
            <w:pPr>
              <w:spacing w:after="0" w:line="240" w:lineRule="auto"/>
            </w:pPr>
            <w:r>
              <w:rPr>
                <w:rFonts w:ascii="Georgia" w:hAnsi="Georgia" w:eastAsia="Georgia" w:cs="Georgia"/>
              </w:rPr>
              <w:t>优 (Excellent)</w:t>
            </w:r>
          </w:p>
        </w:tc>
        <w:tc>
          <w:tcPr>
            <w:tcBorders>
              <w:top w:val="single" w:color="000000" w:sz="0" w:space="0"/>
              <w:left w:val="single" w:color="000000" w:sz="0" w:space="0"/>
              <w:bottom w:val="single" w:color="000000" w:sz="0" w:space="0"/>
            </w:tcBorders>
          </w:tcPr>
          <w:p w14:paraId="224924F3">
            <w:pPr>
              <w:spacing w:after="0" w:line="240" w:lineRule="auto"/>
            </w:pPr>
            <w:r>
              <w:t>3,015</w:t>
            </w:r>
          </w:p>
        </w:tc>
        <w:tc>
          <w:tcPr>
            <w:tcBorders>
              <w:top w:val="single" w:color="000000" w:sz="0" w:space="0"/>
              <w:left w:val="single" w:color="000000" w:sz="0" w:space="0"/>
              <w:bottom w:val="single" w:color="000000" w:sz="0" w:space="0"/>
            </w:tcBorders>
          </w:tcPr>
          <w:p w14:paraId="4B15A3B8">
            <w:pPr>
              <w:spacing w:after="0" w:line="240" w:lineRule="auto"/>
            </w:pPr>
            <w:r>
              <w:t>19.4%</w:t>
            </w:r>
          </w:p>
        </w:tc>
        <w:tc>
          <w:tcPr>
            <w:tcBorders>
              <w:top w:val="single" w:color="000000" w:sz="0" w:space="0"/>
              <w:left w:val="single" w:color="000000" w:sz="0" w:space="0"/>
              <w:bottom w:val="single" w:color="000000" w:sz="0" w:space="0"/>
            </w:tcBorders>
          </w:tcPr>
          <w:p w14:paraId="6E5133D6">
            <w:pPr>
              <w:spacing w:after="0" w:line="240" w:lineRule="auto"/>
            </w:pPr>
            <w:r>
              <w:rPr>
                <w:rFonts w:ascii="Georgia" w:hAnsi="Georgia" w:eastAsia="Georgia" w:cs="Georgia"/>
              </w:rPr>
              <w:t>水质优良，各项指标表现突出</w:t>
            </w:r>
          </w:p>
        </w:tc>
      </w:tr>
      <w:tr w14:paraId="7A831B9A">
        <w:trPr>
          <w:cantSplit/>
          <w:tblCellSpacing w:w="0" w:type="dxa"/>
          <w:jc w:val="center"/>
        </w:trPr>
        <w:tc>
          <w:tcPr>
            <w:tcBorders>
              <w:top w:val="single" w:color="000000" w:sz="0" w:space="0"/>
              <w:bottom w:val="single" w:color="000000" w:sz="0" w:space="0"/>
            </w:tcBorders>
          </w:tcPr>
          <w:p w14:paraId="3F8A1DFD">
            <w:pPr>
              <w:spacing w:after="0" w:line="240" w:lineRule="auto"/>
            </w:pPr>
            <w:r>
              <w:rPr>
                <w:rFonts w:ascii="Georgia" w:hAnsi="Georgia" w:eastAsia="Georgia" w:cs="Georgia"/>
              </w:rPr>
              <w:t>良 (Good)</w:t>
            </w:r>
          </w:p>
        </w:tc>
        <w:tc>
          <w:tcPr>
            <w:tcBorders>
              <w:top w:val="single" w:color="000000" w:sz="0" w:space="0"/>
              <w:left w:val="single" w:color="000000" w:sz="0" w:space="0"/>
              <w:bottom w:val="single" w:color="000000" w:sz="0" w:space="0"/>
            </w:tcBorders>
          </w:tcPr>
          <w:p w14:paraId="0A4D8A7A">
            <w:pPr>
              <w:spacing w:after="0" w:line="240" w:lineRule="auto"/>
            </w:pPr>
            <w:r>
              <w:t>8,280</w:t>
            </w:r>
          </w:p>
        </w:tc>
        <w:tc>
          <w:tcPr>
            <w:tcBorders>
              <w:top w:val="single" w:color="000000" w:sz="0" w:space="0"/>
              <w:left w:val="single" w:color="000000" w:sz="0" w:space="0"/>
              <w:bottom w:val="single" w:color="000000" w:sz="0" w:space="0"/>
            </w:tcBorders>
          </w:tcPr>
          <w:p w14:paraId="2D094160">
            <w:pPr>
              <w:spacing w:after="0" w:line="240" w:lineRule="auto"/>
            </w:pPr>
            <w:r>
              <w:t>53.3%</w:t>
            </w:r>
          </w:p>
        </w:tc>
        <w:tc>
          <w:tcPr>
            <w:tcBorders>
              <w:top w:val="single" w:color="000000" w:sz="0" w:space="0"/>
              <w:left w:val="single" w:color="000000" w:sz="0" w:space="0"/>
              <w:bottom w:val="single" w:color="000000" w:sz="0" w:space="0"/>
            </w:tcBorders>
          </w:tcPr>
          <w:p w14:paraId="68E9747F">
            <w:pPr>
              <w:spacing w:after="0" w:line="240" w:lineRule="auto"/>
            </w:pPr>
            <w:r>
              <w:rPr>
                <w:rFonts w:ascii="Georgia" w:hAnsi="Georgia" w:eastAsia="Georgia" w:cs="Georgia"/>
              </w:rPr>
              <w:t>水质良好，占据主导地位</w:t>
            </w:r>
          </w:p>
        </w:tc>
      </w:tr>
      <w:tr w14:paraId="5755F161">
        <w:trPr>
          <w:cantSplit/>
          <w:tblCellSpacing w:w="0" w:type="dxa"/>
          <w:jc w:val="center"/>
        </w:trPr>
        <w:tc>
          <w:tcPr>
            <w:tcBorders>
              <w:top w:val="single" w:color="000000" w:sz="0" w:space="0"/>
              <w:bottom w:val="single" w:color="000000" w:sz="0" w:space="0"/>
            </w:tcBorders>
          </w:tcPr>
          <w:p w14:paraId="646E4D67">
            <w:pPr>
              <w:spacing w:after="0" w:line="240" w:lineRule="auto"/>
            </w:pPr>
            <w:r>
              <w:rPr>
                <w:rFonts w:ascii="Georgia" w:hAnsi="Georgia" w:eastAsia="Georgia" w:cs="Georgia"/>
              </w:rPr>
              <w:t>中 (Moderate)</w:t>
            </w:r>
          </w:p>
        </w:tc>
        <w:tc>
          <w:tcPr>
            <w:tcBorders>
              <w:top w:val="single" w:color="000000" w:sz="0" w:space="0"/>
              <w:left w:val="single" w:color="000000" w:sz="0" w:space="0"/>
              <w:bottom w:val="single" w:color="000000" w:sz="0" w:space="0"/>
            </w:tcBorders>
          </w:tcPr>
          <w:p w14:paraId="36CCB7B2">
            <w:pPr>
              <w:spacing w:after="0" w:line="240" w:lineRule="auto"/>
            </w:pPr>
            <w:r>
              <w:t>3,146</w:t>
            </w:r>
          </w:p>
        </w:tc>
        <w:tc>
          <w:tcPr>
            <w:tcBorders>
              <w:top w:val="single" w:color="000000" w:sz="0" w:space="0"/>
              <w:left w:val="single" w:color="000000" w:sz="0" w:space="0"/>
              <w:bottom w:val="single" w:color="000000" w:sz="0" w:space="0"/>
            </w:tcBorders>
          </w:tcPr>
          <w:p w14:paraId="5424D785">
            <w:pPr>
              <w:spacing w:after="0" w:line="240" w:lineRule="auto"/>
            </w:pPr>
            <w:r>
              <w:t>20.3%</w:t>
            </w:r>
          </w:p>
        </w:tc>
        <w:tc>
          <w:tcPr>
            <w:tcBorders>
              <w:top w:val="single" w:color="000000" w:sz="0" w:space="0"/>
              <w:left w:val="single" w:color="000000" w:sz="0" w:space="0"/>
              <w:bottom w:val="single" w:color="000000" w:sz="0" w:space="0"/>
            </w:tcBorders>
          </w:tcPr>
          <w:p w14:paraId="783BC21B">
            <w:pPr>
              <w:spacing w:after="0" w:line="240" w:lineRule="auto"/>
            </w:pPr>
            <w:r>
              <w:rPr>
                <w:rFonts w:ascii="Georgia" w:hAnsi="Georgia" w:eastAsia="Georgia" w:cs="Georgia"/>
              </w:rPr>
              <w:t>水质中等，需要关注</w:t>
            </w:r>
          </w:p>
        </w:tc>
      </w:tr>
      <w:tr w14:paraId="6CA7B5F9">
        <w:trPr>
          <w:cantSplit/>
          <w:tblCellSpacing w:w="0" w:type="dxa"/>
          <w:jc w:val="center"/>
        </w:trPr>
        <w:tc>
          <w:tcPr>
            <w:tcBorders>
              <w:top w:val="single" w:color="000000" w:sz="0" w:space="0"/>
              <w:bottom w:val="single" w:color="000000" w:sz="0" w:space="0"/>
            </w:tcBorders>
          </w:tcPr>
          <w:p w14:paraId="43C1F880">
            <w:pPr>
              <w:spacing w:after="0" w:line="240" w:lineRule="auto"/>
            </w:pPr>
            <w:r>
              <w:rPr>
                <w:rFonts w:ascii="Georgia" w:hAnsi="Georgia" w:eastAsia="Georgia" w:cs="Georgia"/>
              </w:rPr>
              <w:t>差 (Poor)</w:t>
            </w:r>
          </w:p>
        </w:tc>
        <w:tc>
          <w:tcPr>
            <w:tcBorders>
              <w:top w:val="single" w:color="000000" w:sz="0" w:space="0"/>
              <w:left w:val="single" w:color="000000" w:sz="0" w:space="0"/>
              <w:bottom w:val="single" w:color="000000" w:sz="0" w:space="0"/>
            </w:tcBorders>
          </w:tcPr>
          <w:p w14:paraId="1B2C1067">
            <w:pPr>
              <w:spacing w:after="0" w:line="240" w:lineRule="auto"/>
            </w:pPr>
            <w:r>
              <w:t>534</w:t>
            </w:r>
          </w:p>
        </w:tc>
        <w:tc>
          <w:tcPr>
            <w:tcBorders>
              <w:top w:val="single" w:color="000000" w:sz="0" w:space="0"/>
              <w:left w:val="single" w:color="000000" w:sz="0" w:space="0"/>
              <w:bottom w:val="single" w:color="000000" w:sz="0" w:space="0"/>
            </w:tcBorders>
          </w:tcPr>
          <w:p w14:paraId="315BE34A">
            <w:pPr>
              <w:spacing w:after="0" w:line="240" w:lineRule="auto"/>
            </w:pPr>
            <w:r>
              <w:t>3.4%</w:t>
            </w:r>
          </w:p>
        </w:tc>
        <w:tc>
          <w:tcPr>
            <w:tcBorders>
              <w:top w:val="single" w:color="000000" w:sz="0" w:space="0"/>
              <w:left w:val="single" w:color="000000" w:sz="0" w:space="0"/>
              <w:bottom w:val="single" w:color="000000" w:sz="0" w:space="0"/>
            </w:tcBorders>
          </w:tcPr>
          <w:p w14:paraId="6B995E03">
            <w:pPr>
              <w:spacing w:after="0" w:line="240" w:lineRule="auto"/>
            </w:pPr>
            <w:r>
              <w:rPr>
                <w:rFonts w:ascii="Georgia" w:hAnsi="Georgia" w:eastAsia="Georgia" w:cs="Georgia"/>
              </w:rPr>
              <w:t>水质较差，需要治理</w:t>
            </w:r>
          </w:p>
        </w:tc>
      </w:tr>
      <w:tr w14:paraId="5B721146">
        <w:trPr>
          <w:cantSplit/>
          <w:tblCellSpacing w:w="0" w:type="dxa"/>
          <w:jc w:val="center"/>
        </w:trPr>
        <w:tc>
          <w:tcPr>
            <w:tcBorders>
              <w:top w:val="single" w:color="000000" w:sz="0" w:space="0"/>
              <w:bottom w:val="single" w:color="000000" w:sz="0" w:space="0"/>
            </w:tcBorders>
          </w:tcPr>
          <w:p w14:paraId="122542A8">
            <w:pPr>
              <w:spacing w:after="0" w:line="240" w:lineRule="auto"/>
            </w:pPr>
            <w:r>
              <w:rPr>
                <w:rFonts w:ascii="Georgia" w:hAnsi="Georgia" w:eastAsia="Georgia" w:cs="Georgia"/>
              </w:rPr>
              <w:t>极差 (Very Poor)</w:t>
            </w:r>
          </w:p>
        </w:tc>
        <w:tc>
          <w:tcPr>
            <w:tcBorders>
              <w:top w:val="single" w:color="000000" w:sz="0" w:space="0"/>
              <w:left w:val="single" w:color="000000" w:sz="0" w:space="0"/>
              <w:bottom w:val="single" w:color="000000" w:sz="0" w:space="0"/>
            </w:tcBorders>
          </w:tcPr>
          <w:p w14:paraId="56F04890">
            <w:pPr>
              <w:spacing w:after="0" w:line="240" w:lineRule="auto"/>
            </w:pPr>
            <w:r>
              <w:t>549</w:t>
            </w:r>
          </w:p>
        </w:tc>
        <w:tc>
          <w:tcPr>
            <w:tcBorders>
              <w:top w:val="single" w:color="000000" w:sz="0" w:space="0"/>
              <w:left w:val="single" w:color="000000" w:sz="0" w:space="0"/>
              <w:bottom w:val="single" w:color="000000" w:sz="0" w:space="0"/>
            </w:tcBorders>
          </w:tcPr>
          <w:p w14:paraId="7A38DAF0">
            <w:pPr>
              <w:spacing w:after="0" w:line="240" w:lineRule="auto"/>
            </w:pPr>
            <w:r>
              <w:t>3.5%</w:t>
            </w:r>
          </w:p>
        </w:tc>
        <w:tc>
          <w:tcPr>
            <w:tcBorders>
              <w:top w:val="single" w:color="000000" w:sz="0" w:space="0"/>
              <w:left w:val="single" w:color="000000" w:sz="0" w:space="0"/>
              <w:bottom w:val="single" w:color="000000" w:sz="0" w:space="0"/>
            </w:tcBorders>
          </w:tcPr>
          <w:p w14:paraId="271AC852">
            <w:pPr>
              <w:spacing w:after="0" w:line="240" w:lineRule="auto"/>
            </w:pPr>
            <w:r>
              <w:rPr>
                <w:rFonts w:ascii="Georgia" w:hAnsi="Georgia" w:eastAsia="Georgia" w:cs="Georgia"/>
              </w:rPr>
              <w:t>水质极差，重度污染</w:t>
            </w:r>
          </w:p>
        </w:tc>
      </w:tr>
      <w:tr w14:paraId="3ACFAADB">
        <w:trPr>
          <w:cantSplit/>
          <w:tblCellSpacing w:w="0" w:type="dxa"/>
          <w:jc w:val="center"/>
        </w:trPr>
        <w:tc>
          <w:tcPr>
            <w:tcBorders>
              <w:top w:val="single" w:color="000000" w:sz="0" w:space="0"/>
              <w:bottom w:val="single" w:color="000000" w:sz="0" w:space="0"/>
            </w:tcBorders>
          </w:tcPr>
          <w:p w14:paraId="7E4817D0">
            <w:pPr>
              <w:spacing w:after="0" w:line="240" w:lineRule="auto"/>
            </w:pPr>
            <w:r>
              <w:rPr>
                <w:rFonts w:ascii="Georgia" w:hAnsi="Georgia" w:eastAsia="Georgia" w:cs="Georgia"/>
              </w:rPr>
              <w:t>合计</w:t>
            </w:r>
          </w:p>
        </w:tc>
        <w:tc>
          <w:tcPr>
            <w:tcBorders>
              <w:top w:val="single" w:color="000000" w:sz="0" w:space="0"/>
              <w:left w:val="single" w:color="000000" w:sz="0" w:space="0"/>
              <w:bottom w:val="single" w:color="000000" w:sz="0" w:space="0"/>
            </w:tcBorders>
          </w:tcPr>
          <w:p w14:paraId="10F79EA5">
            <w:pPr>
              <w:spacing w:after="0" w:line="240" w:lineRule="auto"/>
            </w:pPr>
            <w:r>
              <w:rPr>
                <w:rFonts w:ascii="Georgia" w:hAnsi="Georgia" w:eastAsia="Georgia" w:cs="Georgia"/>
              </w:rPr>
              <w:t>15，524</w:t>
            </w:r>
          </w:p>
        </w:tc>
        <w:tc>
          <w:tcPr>
            <w:tcBorders>
              <w:top w:val="single" w:color="000000" w:sz="0" w:space="0"/>
              <w:left w:val="single" w:color="000000" w:sz="0" w:space="0"/>
              <w:bottom w:val="single" w:color="000000" w:sz="0" w:space="0"/>
            </w:tcBorders>
          </w:tcPr>
          <w:p w14:paraId="50BF6081">
            <w:pPr>
              <w:spacing w:after="0" w:line="240" w:lineRule="auto"/>
            </w:pPr>
            <w:r>
              <w:t>100%</w:t>
            </w:r>
          </w:p>
        </w:tc>
        <w:tc>
          <w:tcPr>
            <w:tcBorders>
              <w:top w:val="single" w:color="000000" w:sz="0" w:space="0"/>
              <w:left w:val="single" w:color="000000" w:sz="0" w:space="0"/>
              <w:bottom w:val="single" w:color="000000" w:sz="0" w:space="0"/>
            </w:tcBorders>
          </w:tcPr>
          <w:p w14:paraId="006CABB6">
            <w:pPr>
              <w:spacing w:after="0" w:line="240" w:lineRule="auto"/>
            </w:pPr>
            <w:r>
              <w:rPr>
                <w:rFonts w:ascii="Georgia" w:hAnsi="Georgia" w:eastAsia="Georgia" w:cs="Georgia"/>
              </w:rPr>
              <w:t>—</w:t>
            </w:r>
          </w:p>
        </w:tc>
      </w:tr>
    </w:tbl>
    <w:p w14:paraId="3B7341A9">
      <w:pPr>
        <w:snapToGrid/>
        <w:spacing w:beforeAutospacing="0" w:after="0" w:afterAutospacing="0" w:line="400" w:lineRule="exact"/>
        <w:ind w:left="0" w:leftChars="0" w:right="0" w:rightChars="0" w:firstLine="480" w:firstLineChars="200"/>
        <w:jc w:val="both"/>
        <w:rPr>
          <w:rFonts w:ascii="Times New Roman" w:eastAsia="宋体"/>
          <w:sz w:val="24"/>
        </w:rPr>
      </w:pPr>
    </w:p>
    <w:p w14:paraId="1179FF86">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从表3可以看出，"良"等级样本占据主导地位，共8，280条记录，占总量的53.3%，表明大部分监测站点的水质整体处于可接受水平。"优"等级样本3，015条（19.4%）和"中"等级样本3，146条（20.3%）的占比相近，两者合计约占四成。相比之下，污染较严重的"差"和"极差"等级样本较少，分别为534条（3.4%）和549条（3.5%），合计不足7%。这种分布特征反映了中国水环境治理的阶段性成果，即大多数监测点位的水质已得到有效控制，但仍存在少数重污染区域需要重点关注。</w:t>
      </w:r>
    </w:p>
    <w:p w14:paraId="043E235A">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图6直观展示了表3中的污染等级分布情况。</w:t>
      </w:r>
    </w:p>
    <w:p w14:paraId="7CEE5A9F">
      <w:pPr>
        <w:snapToGrid/>
        <w:spacing w:beforeAutospacing="0" w:after="0" w:afterAutospacing="0" w:line="400" w:lineRule="exact"/>
        <w:ind w:left="0" w:leftChars="0" w:right="0" w:rightChars="0" w:firstLine="480" w:firstLineChars="200"/>
        <w:jc w:val="both"/>
        <w:rPr>
          <w:rFonts w:ascii="Times New Roman" w:eastAsia="宋体"/>
          <w:sz w:val="24"/>
        </w:rPr>
      </w:pPr>
    </w:p>
    <w:p w14:paraId="7CF3C74F">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6以柱状图或饼图形式展示了五个污染等级的样本分布。"良"等级占据绝对主导（53.3%），"优"和"中"等级合计约40%，而"差"和"极差"等级合计不足7%。这种严重的类别不均衡问题在后续的分类模型训练中需要通过类别权重调整等技术手段加以解决。</w:t>
      </w:r>
    </w:p>
    <w:p w14:paraId="3FD6C402">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从省份维度来看，各地区的水质状况存在一定差异。表4列出了各省份的平均水质指数及其排名。</w:t>
      </w:r>
    </w:p>
    <w:p w14:paraId="1F920BB8">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表4 各省份平均水质指数</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765"/>
        <w:gridCol w:w="760"/>
        <w:gridCol w:w="1640"/>
        <w:gridCol w:w="1645"/>
      </w:tblGrid>
      <w:tr w14:paraId="0105198A">
        <w:trPr>
          <w:cantSplit/>
          <w:tblCellSpacing w:w="0" w:type="dxa"/>
          <w:jc w:val="center"/>
        </w:trPr>
        <w:tc>
          <w:tcPr>
            <w:tcBorders>
              <w:top w:val="single" w:color="000000" w:sz="0" w:space="0"/>
              <w:bottom w:val="single" w:color="000000" w:sz="0" w:space="0"/>
            </w:tcBorders>
          </w:tcPr>
          <w:p w14:paraId="2652E776">
            <w:pPr>
              <w:spacing w:after="0" w:line="240" w:lineRule="auto"/>
            </w:pPr>
            <w:r>
              <w:rPr>
                <w:rFonts w:ascii="Georgia" w:hAnsi="Georgia" w:eastAsia="Georgia" w:cs="Georgia"/>
              </w:rPr>
              <w:t>排名</w:t>
            </w:r>
          </w:p>
        </w:tc>
        <w:tc>
          <w:tcPr>
            <w:tcBorders>
              <w:top w:val="single" w:color="000000" w:sz="0" w:space="0"/>
              <w:left w:val="single" w:color="000000" w:sz="0" w:space="0"/>
              <w:bottom w:val="single" w:color="000000" w:sz="0" w:space="0"/>
            </w:tcBorders>
          </w:tcPr>
          <w:p w14:paraId="149DD517">
            <w:pPr>
              <w:spacing w:after="0" w:line="240" w:lineRule="auto"/>
            </w:pPr>
            <w:r>
              <w:rPr>
                <w:rFonts w:ascii="Georgia" w:hAnsi="Georgia" w:eastAsia="Georgia" w:cs="Georgia"/>
              </w:rPr>
              <w:t>省份</w:t>
            </w:r>
          </w:p>
        </w:tc>
        <w:tc>
          <w:tcPr>
            <w:tcBorders>
              <w:top w:val="single" w:color="000000" w:sz="0" w:space="0"/>
              <w:left w:val="single" w:color="000000" w:sz="0" w:space="0"/>
              <w:bottom w:val="single" w:color="000000" w:sz="0" w:space="0"/>
            </w:tcBorders>
          </w:tcPr>
          <w:p w14:paraId="4141F705">
            <w:pPr>
              <w:spacing w:after="0" w:line="240" w:lineRule="auto"/>
            </w:pPr>
            <w:r>
              <w:rPr>
                <w:rFonts w:ascii="Georgia" w:hAnsi="Georgia" w:eastAsia="Georgia" w:cs="Georgia"/>
              </w:rPr>
              <w:t>平均水质指数</w:t>
            </w:r>
          </w:p>
        </w:tc>
        <w:tc>
          <w:tcPr>
            <w:tcBorders>
              <w:top w:val="single" w:color="000000" w:sz="0" w:space="0"/>
              <w:left w:val="single" w:color="000000" w:sz="0" w:space="0"/>
              <w:bottom w:val="single" w:color="000000" w:sz="0" w:space="0"/>
            </w:tcBorders>
          </w:tcPr>
          <w:p w14:paraId="6ABA8439">
            <w:pPr>
              <w:spacing w:after="0" w:line="240" w:lineRule="auto"/>
            </w:pPr>
            <w:r>
              <w:rPr>
                <w:rFonts w:ascii="Georgia" w:hAnsi="Georgia" w:eastAsia="Georgia" w:cs="Georgia"/>
              </w:rPr>
              <w:t>水质状况评价</w:t>
            </w:r>
          </w:p>
        </w:tc>
      </w:tr>
      <w:tr w14:paraId="5F6FE10E">
        <w:trPr>
          <w:cantSplit/>
          <w:tblCellSpacing w:w="0" w:type="dxa"/>
          <w:jc w:val="center"/>
        </w:trPr>
        <w:tc>
          <w:tcPr>
            <w:tcBorders>
              <w:top w:val="single" w:color="000000" w:sz="0" w:space="0"/>
              <w:bottom w:val="single" w:color="000000" w:sz="0" w:space="0"/>
            </w:tcBorders>
          </w:tcPr>
          <w:p w14:paraId="6F511988">
            <w:pPr>
              <w:spacing w:after="0" w:line="240" w:lineRule="auto"/>
            </w:pPr>
            <w:r>
              <w:t>1</w:t>
            </w:r>
          </w:p>
        </w:tc>
        <w:tc>
          <w:tcPr>
            <w:tcBorders>
              <w:top w:val="single" w:color="000000" w:sz="0" w:space="0"/>
              <w:left w:val="single" w:color="000000" w:sz="0" w:space="0"/>
              <w:bottom w:val="single" w:color="000000" w:sz="0" w:space="0"/>
            </w:tcBorders>
          </w:tcPr>
          <w:p w14:paraId="30162B66">
            <w:pPr>
              <w:spacing w:after="0" w:line="240" w:lineRule="auto"/>
            </w:pPr>
            <w:r>
              <w:rPr>
                <w:rFonts w:ascii="Georgia" w:hAnsi="Georgia" w:eastAsia="Georgia" w:cs="Georgia"/>
              </w:rPr>
              <w:t>上海</w:t>
            </w:r>
          </w:p>
        </w:tc>
        <w:tc>
          <w:tcPr>
            <w:tcBorders>
              <w:top w:val="single" w:color="000000" w:sz="0" w:space="0"/>
              <w:left w:val="single" w:color="000000" w:sz="0" w:space="0"/>
              <w:bottom w:val="single" w:color="000000" w:sz="0" w:space="0"/>
            </w:tcBorders>
          </w:tcPr>
          <w:p w14:paraId="64675EF2">
            <w:pPr>
              <w:spacing w:after="0" w:line="240" w:lineRule="auto"/>
            </w:pPr>
            <w:r>
              <w:t>34.51</w:t>
            </w:r>
          </w:p>
        </w:tc>
        <w:tc>
          <w:tcPr>
            <w:tcBorders>
              <w:top w:val="single" w:color="000000" w:sz="0" w:space="0"/>
              <w:left w:val="single" w:color="000000" w:sz="0" w:space="0"/>
              <w:bottom w:val="single" w:color="000000" w:sz="0" w:space="0"/>
            </w:tcBorders>
          </w:tcPr>
          <w:p w14:paraId="46FDC1EE">
            <w:pPr>
              <w:spacing w:after="0" w:line="240" w:lineRule="auto"/>
            </w:pPr>
            <w:r>
              <w:rPr>
                <w:rFonts w:ascii="Georgia" w:hAnsi="Georgia" w:eastAsia="Georgia" w:cs="Georgia"/>
              </w:rPr>
              <w:t>最优</w:t>
            </w:r>
          </w:p>
        </w:tc>
      </w:tr>
      <w:tr w14:paraId="7E3D8C3E">
        <w:trPr>
          <w:cantSplit/>
          <w:tblCellSpacing w:w="0" w:type="dxa"/>
          <w:jc w:val="center"/>
        </w:trPr>
        <w:tc>
          <w:tcPr>
            <w:tcBorders>
              <w:top w:val="single" w:color="000000" w:sz="0" w:space="0"/>
              <w:bottom w:val="single" w:color="000000" w:sz="0" w:space="0"/>
            </w:tcBorders>
          </w:tcPr>
          <w:p w14:paraId="5E7FE51C">
            <w:pPr>
              <w:spacing w:after="0" w:line="240" w:lineRule="auto"/>
            </w:pPr>
            <w:r>
              <w:t>2</w:t>
            </w:r>
          </w:p>
        </w:tc>
        <w:tc>
          <w:tcPr>
            <w:tcBorders>
              <w:top w:val="single" w:color="000000" w:sz="0" w:space="0"/>
              <w:left w:val="single" w:color="000000" w:sz="0" w:space="0"/>
              <w:bottom w:val="single" w:color="000000" w:sz="0" w:space="0"/>
            </w:tcBorders>
          </w:tcPr>
          <w:p w14:paraId="6C2F9258">
            <w:pPr>
              <w:spacing w:after="0" w:line="240" w:lineRule="auto"/>
            </w:pPr>
            <w:r>
              <w:rPr>
                <w:rFonts w:ascii="Georgia" w:hAnsi="Georgia" w:eastAsia="Georgia" w:cs="Georgia"/>
              </w:rPr>
              <w:t>江苏</w:t>
            </w:r>
          </w:p>
        </w:tc>
        <w:tc>
          <w:tcPr>
            <w:tcBorders>
              <w:top w:val="single" w:color="000000" w:sz="0" w:space="0"/>
              <w:left w:val="single" w:color="000000" w:sz="0" w:space="0"/>
              <w:bottom w:val="single" w:color="000000" w:sz="0" w:space="0"/>
            </w:tcBorders>
          </w:tcPr>
          <w:p w14:paraId="250880D5">
            <w:pPr>
              <w:spacing w:after="0" w:line="240" w:lineRule="auto"/>
            </w:pPr>
            <w:r>
              <w:t>34.69</w:t>
            </w:r>
          </w:p>
        </w:tc>
        <w:tc>
          <w:tcPr>
            <w:tcBorders>
              <w:top w:val="single" w:color="000000" w:sz="0" w:space="0"/>
              <w:left w:val="single" w:color="000000" w:sz="0" w:space="0"/>
              <w:bottom w:val="single" w:color="000000" w:sz="0" w:space="0"/>
            </w:tcBorders>
          </w:tcPr>
          <w:p w14:paraId="6EADE044">
            <w:pPr>
              <w:spacing w:after="0" w:line="240" w:lineRule="auto"/>
            </w:pPr>
            <w:r>
              <w:rPr>
                <w:rFonts w:ascii="Georgia" w:hAnsi="Georgia" w:eastAsia="Georgia" w:cs="Georgia"/>
              </w:rPr>
              <w:t>优秀</w:t>
            </w:r>
          </w:p>
        </w:tc>
      </w:tr>
      <w:tr w14:paraId="0AFEBB3A">
        <w:trPr>
          <w:cantSplit/>
          <w:tblCellSpacing w:w="0" w:type="dxa"/>
          <w:jc w:val="center"/>
        </w:trPr>
        <w:tc>
          <w:tcPr>
            <w:tcBorders>
              <w:top w:val="single" w:color="000000" w:sz="0" w:space="0"/>
              <w:bottom w:val="single" w:color="000000" w:sz="0" w:space="0"/>
            </w:tcBorders>
          </w:tcPr>
          <w:p w14:paraId="11FAC54A">
            <w:pPr>
              <w:spacing w:after="0" w:line="240" w:lineRule="auto"/>
            </w:pPr>
            <w:r>
              <w:t>3</w:t>
            </w:r>
          </w:p>
        </w:tc>
        <w:tc>
          <w:tcPr>
            <w:tcBorders>
              <w:top w:val="single" w:color="000000" w:sz="0" w:space="0"/>
              <w:left w:val="single" w:color="000000" w:sz="0" w:space="0"/>
              <w:bottom w:val="single" w:color="000000" w:sz="0" w:space="0"/>
            </w:tcBorders>
          </w:tcPr>
          <w:p w14:paraId="71B4AF70">
            <w:pPr>
              <w:spacing w:after="0" w:line="240" w:lineRule="auto"/>
            </w:pPr>
            <w:r>
              <w:rPr>
                <w:rFonts w:ascii="Georgia" w:hAnsi="Georgia" w:eastAsia="Georgia" w:cs="Georgia"/>
              </w:rPr>
              <w:t>浙江</w:t>
            </w:r>
          </w:p>
        </w:tc>
        <w:tc>
          <w:tcPr>
            <w:tcBorders>
              <w:top w:val="single" w:color="000000" w:sz="0" w:space="0"/>
              <w:left w:val="single" w:color="000000" w:sz="0" w:space="0"/>
              <w:bottom w:val="single" w:color="000000" w:sz="0" w:space="0"/>
            </w:tcBorders>
          </w:tcPr>
          <w:p w14:paraId="42A0237E">
            <w:pPr>
              <w:spacing w:after="0" w:line="240" w:lineRule="auto"/>
            </w:pPr>
            <w:r>
              <w:t>34.75</w:t>
            </w:r>
          </w:p>
        </w:tc>
        <w:tc>
          <w:tcPr>
            <w:tcBorders>
              <w:top w:val="single" w:color="000000" w:sz="0" w:space="0"/>
              <w:left w:val="single" w:color="000000" w:sz="0" w:space="0"/>
              <w:bottom w:val="single" w:color="000000" w:sz="0" w:space="0"/>
            </w:tcBorders>
          </w:tcPr>
          <w:p w14:paraId="60234E59">
            <w:pPr>
              <w:spacing w:after="0" w:line="240" w:lineRule="auto"/>
            </w:pPr>
            <w:r>
              <w:rPr>
                <w:rFonts w:ascii="Georgia" w:hAnsi="Georgia" w:eastAsia="Georgia" w:cs="Georgia"/>
              </w:rPr>
              <w:t>优秀</w:t>
            </w:r>
          </w:p>
        </w:tc>
      </w:tr>
      <w:tr w14:paraId="270FC59C">
        <w:trPr>
          <w:cantSplit/>
          <w:tblCellSpacing w:w="0" w:type="dxa"/>
          <w:jc w:val="center"/>
        </w:trPr>
        <w:tc>
          <w:tcPr>
            <w:tcBorders>
              <w:top w:val="single" w:color="000000" w:sz="0" w:space="0"/>
              <w:bottom w:val="single" w:color="000000" w:sz="0" w:space="0"/>
            </w:tcBorders>
          </w:tcPr>
          <w:p w14:paraId="33D7673E">
            <w:pPr>
              <w:spacing w:after="0" w:line="240" w:lineRule="auto"/>
            </w:pPr>
            <w:r>
              <w:t>4</w:t>
            </w:r>
          </w:p>
        </w:tc>
        <w:tc>
          <w:tcPr>
            <w:tcBorders>
              <w:top w:val="single" w:color="000000" w:sz="0" w:space="0"/>
              <w:left w:val="single" w:color="000000" w:sz="0" w:space="0"/>
              <w:bottom w:val="single" w:color="000000" w:sz="0" w:space="0"/>
            </w:tcBorders>
          </w:tcPr>
          <w:p w14:paraId="0C93E977">
            <w:pPr>
              <w:spacing w:after="0" w:line="240" w:lineRule="auto"/>
            </w:pPr>
            <w:r>
              <w:rPr>
                <w:rFonts w:ascii="Georgia" w:hAnsi="Georgia" w:eastAsia="Georgia" w:cs="Georgia"/>
              </w:rPr>
              <w:t>河南</w:t>
            </w:r>
          </w:p>
        </w:tc>
        <w:tc>
          <w:tcPr>
            <w:tcBorders>
              <w:top w:val="single" w:color="000000" w:sz="0" w:space="0"/>
              <w:left w:val="single" w:color="000000" w:sz="0" w:space="0"/>
              <w:bottom w:val="single" w:color="000000" w:sz="0" w:space="0"/>
            </w:tcBorders>
          </w:tcPr>
          <w:p w14:paraId="442D689E">
            <w:pPr>
              <w:spacing w:after="0" w:line="240" w:lineRule="auto"/>
            </w:pPr>
            <w:r>
              <w:t>34.97</w:t>
            </w:r>
          </w:p>
        </w:tc>
        <w:tc>
          <w:tcPr>
            <w:tcBorders>
              <w:top w:val="single" w:color="000000" w:sz="0" w:space="0"/>
              <w:left w:val="single" w:color="000000" w:sz="0" w:space="0"/>
              <w:bottom w:val="single" w:color="000000" w:sz="0" w:space="0"/>
            </w:tcBorders>
          </w:tcPr>
          <w:p w14:paraId="5CC96442">
            <w:pPr>
              <w:spacing w:after="0" w:line="240" w:lineRule="auto"/>
            </w:pPr>
            <w:r>
              <w:rPr>
                <w:rFonts w:ascii="Georgia" w:hAnsi="Georgia" w:eastAsia="Georgia" w:cs="Georgia"/>
              </w:rPr>
              <w:t>良好</w:t>
            </w:r>
          </w:p>
        </w:tc>
      </w:tr>
      <w:tr w14:paraId="691A88DD">
        <w:trPr>
          <w:cantSplit/>
          <w:tblCellSpacing w:w="0" w:type="dxa"/>
          <w:jc w:val="center"/>
        </w:trPr>
        <w:tc>
          <w:tcPr>
            <w:tcBorders>
              <w:top w:val="single" w:color="000000" w:sz="0" w:space="0"/>
              <w:bottom w:val="single" w:color="000000" w:sz="0" w:space="0"/>
            </w:tcBorders>
          </w:tcPr>
          <w:p w14:paraId="7F29E2E0">
            <w:pPr>
              <w:spacing w:after="0" w:line="240" w:lineRule="auto"/>
            </w:pPr>
            <w:r>
              <w:t>5</w:t>
            </w:r>
          </w:p>
        </w:tc>
        <w:tc>
          <w:tcPr>
            <w:tcBorders>
              <w:top w:val="single" w:color="000000" w:sz="0" w:space="0"/>
              <w:left w:val="single" w:color="000000" w:sz="0" w:space="0"/>
              <w:bottom w:val="single" w:color="000000" w:sz="0" w:space="0"/>
            </w:tcBorders>
          </w:tcPr>
          <w:p w14:paraId="5B1FA539">
            <w:pPr>
              <w:spacing w:after="0" w:line="240" w:lineRule="auto"/>
            </w:pPr>
            <w:r>
              <w:rPr>
                <w:rFonts w:ascii="Georgia" w:hAnsi="Georgia" w:eastAsia="Georgia" w:cs="Georgia"/>
              </w:rPr>
              <w:t>山东</w:t>
            </w:r>
          </w:p>
        </w:tc>
        <w:tc>
          <w:tcPr>
            <w:tcBorders>
              <w:top w:val="single" w:color="000000" w:sz="0" w:space="0"/>
              <w:left w:val="single" w:color="000000" w:sz="0" w:space="0"/>
              <w:bottom w:val="single" w:color="000000" w:sz="0" w:space="0"/>
            </w:tcBorders>
          </w:tcPr>
          <w:p w14:paraId="0B90EE23">
            <w:pPr>
              <w:spacing w:after="0" w:line="240" w:lineRule="auto"/>
            </w:pPr>
            <w:r>
              <w:t>35.02</w:t>
            </w:r>
          </w:p>
        </w:tc>
        <w:tc>
          <w:tcPr>
            <w:tcBorders>
              <w:top w:val="single" w:color="000000" w:sz="0" w:space="0"/>
              <w:left w:val="single" w:color="000000" w:sz="0" w:space="0"/>
              <w:bottom w:val="single" w:color="000000" w:sz="0" w:space="0"/>
            </w:tcBorders>
          </w:tcPr>
          <w:p w14:paraId="3E2217F0">
            <w:pPr>
              <w:spacing w:after="0" w:line="240" w:lineRule="auto"/>
            </w:pPr>
            <w:r>
              <w:rPr>
                <w:rFonts w:ascii="Georgia" w:hAnsi="Georgia" w:eastAsia="Georgia" w:cs="Georgia"/>
              </w:rPr>
              <w:t>良好</w:t>
            </w:r>
          </w:p>
        </w:tc>
      </w:tr>
      <w:tr w14:paraId="08D3A96D">
        <w:trPr>
          <w:cantSplit/>
          <w:tblCellSpacing w:w="0" w:type="dxa"/>
          <w:jc w:val="center"/>
        </w:trPr>
        <w:tc>
          <w:tcPr>
            <w:tcBorders>
              <w:top w:val="single" w:color="000000" w:sz="0" w:space="0"/>
              <w:bottom w:val="single" w:color="000000" w:sz="0" w:space="0"/>
            </w:tcBorders>
          </w:tcPr>
          <w:p w14:paraId="27CF7C0F">
            <w:pPr>
              <w:spacing w:after="0" w:line="240" w:lineRule="auto"/>
            </w:pPr>
            <w:r>
              <w:t>6</w:t>
            </w:r>
          </w:p>
        </w:tc>
        <w:tc>
          <w:tcPr>
            <w:tcBorders>
              <w:top w:val="single" w:color="000000" w:sz="0" w:space="0"/>
              <w:left w:val="single" w:color="000000" w:sz="0" w:space="0"/>
              <w:bottom w:val="single" w:color="000000" w:sz="0" w:space="0"/>
            </w:tcBorders>
          </w:tcPr>
          <w:p w14:paraId="22E39E1A">
            <w:pPr>
              <w:spacing w:after="0" w:line="240" w:lineRule="auto"/>
            </w:pPr>
            <w:r>
              <w:rPr>
                <w:rFonts w:ascii="Georgia" w:hAnsi="Georgia" w:eastAsia="Georgia" w:cs="Georgia"/>
              </w:rPr>
              <w:t>四川</w:t>
            </w:r>
          </w:p>
        </w:tc>
        <w:tc>
          <w:tcPr>
            <w:tcBorders>
              <w:top w:val="single" w:color="000000" w:sz="0" w:space="0"/>
              <w:left w:val="single" w:color="000000" w:sz="0" w:space="0"/>
              <w:bottom w:val="single" w:color="000000" w:sz="0" w:space="0"/>
            </w:tcBorders>
          </w:tcPr>
          <w:p w14:paraId="311F6C04">
            <w:pPr>
              <w:spacing w:after="0" w:line="240" w:lineRule="auto"/>
            </w:pPr>
            <w:r>
              <w:t>35.19</w:t>
            </w:r>
          </w:p>
        </w:tc>
        <w:tc>
          <w:tcPr>
            <w:tcBorders>
              <w:top w:val="single" w:color="000000" w:sz="0" w:space="0"/>
              <w:left w:val="single" w:color="000000" w:sz="0" w:space="0"/>
              <w:bottom w:val="single" w:color="000000" w:sz="0" w:space="0"/>
            </w:tcBorders>
          </w:tcPr>
          <w:p w14:paraId="43A4AF31">
            <w:pPr>
              <w:spacing w:after="0" w:line="240" w:lineRule="auto"/>
            </w:pPr>
            <w:r>
              <w:rPr>
                <w:rFonts w:ascii="Georgia" w:hAnsi="Georgia" w:eastAsia="Georgia" w:cs="Georgia"/>
              </w:rPr>
              <w:t>良好</w:t>
            </w:r>
          </w:p>
        </w:tc>
      </w:tr>
      <w:tr w14:paraId="3A7B3B31">
        <w:trPr>
          <w:cantSplit/>
          <w:tblCellSpacing w:w="0" w:type="dxa"/>
          <w:jc w:val="center"/>
        </w:trPr>
        <w:tc>
          <w:tcPr>
            <w:tcBorders>
              <w:top w:val="single" w:color="000000" w:sz="0" w:space="0"/>
              <w:bottom w:val="single" w:color="000000" w:sz="0" w:space="0"/>
            </w:tcBorders>
          </w:tcPr>
          <w:p w14:paraId="2095A422">
            <w:pPr>
              <w:spacing w:after="0" w:line="240" w:lineRule="auto"/>
            </w:pPr>
            <w:r>
              <w:t>7</w:t>
            </w:r>
          </w:p>
        </w:tc>
        <w:tc>
          <w:tcPr>
            <w:tcBorders>
              <w:top w:val="single" w:color="000000" w:sz="0" w:space="0"/>
              <w:left w:val="single" w:color="000000" w:sz="0" w:space="0"/>
              <w:bottom w:val="single" w:color="000000" w:sz="0" w:space="0"/>
            </w:tcBorders>
          </w:tcPr>
          <w:p w14:paraId="528E405B">
            <w:pPr>
              <w:spacing w:after="0" w:line="240" w:lineRule="auto"/>
            </w:pPr>
            <w:r>
              <w:rPr>
                <w:rFonts w:ascii="Georgia" w:hAnsi="Georgia" w:eastAsia="Georgia" w:cs="Georgia"/>
              </w:rPr>
              <w:t>云南</w:t>
            </w:r>
          </w:p>
        </w:tc>
        <w:tc>
          <w:tcPr>
            <w:tcBorders>
              <w:top w:val="single" w:color="000000" w:sz="0" w:space="0"/>
              <w:left w:val="single" w:color="000000" w:sz="0" w:space="0"/>
              <w:bottom w:val="single" w:color="000000" w:sz="0" w:space="0"/>
            </w:tcBorders>
          </w:tcPr>
          <w:p w14:paraId="440B0C70">
            <w:pPr>
              <w:spacing w:after="0" w:line="240" w:lineRule="auto"/>
            </w:pPr>
            <w:r>
              <w:t>35.24</w:t>
            </w:r>
          </w:p>
        </w:tc>
        <w:tc>
          <w:tcPr>
            <w:tcBorders>
              <w:top w:val="single" w:color="000000" w:sz="0" w:space="0"/>
              <w:left w:val="single" w:color="000000" w:sz="0" w:space="0"/>
              <w:bottom w:val="single" w:color="000000" w:sz="0" w:space="0"/>
            </w:tcBorders>
          </w:tcPr>
          <w:p w14:paraId="3E2CA1D8">
            <w:pPr>
              <w:spacing w:after="0" w:line="240" w:lineRule="auto"/>
            </w:pPr>
            <w:r>
              <w:rPr>
                <w:rFonts w:ascii="Georgia" w:hAnsi="Georgia" w:eastAsia="Georgia" w:cs="Georgia"/>
              </w:rPr>
              <w:t>良好</w:t>
            </w:r>
          </w:p>
        </w:tc>
      </w:tr>
      <w:tr w14:paraId="13844184">
        <w:trPr>
          <w:cantSplit/>
          <w:tblCellSpacing w:w="0" w:type="dxa"/>
          <w:jc w:val="center"/>
        </w:trPr>
        <w:tc>
          <w:tcPr>
            <w:tcBorders>
              <w:top w:val="single" w:color="000000" w:sz="0" w:space="0"/>
              <w:bottom w:val="single" w:color="000000" w:sz="0" w:space="0"/>
            </w:tcBorders>
          </w:tcPr>
          <w:p w14:paraId="67B906E2">
            <w:pPr>
              <w:spacing w:after="0" w:line="240" w:lineRule="auto"/>
            </w:pPr>
            <w:r>
              <w:t>8</w:t>
            </w:r>
          </w:p>
        </w:tc>
        <w:tc>
          <w:tcPr>
            <w:tcBorders>
              <w:top w:val="single" w:color="000000" w:sz="0" w:space="0"/>
              <w:left w:val="single" w:color="000000" w:sz="0" w:space="0"/>
              <w:bottom w:val="single" w:color="000000" w:sz="0" w:space="0"/>
            </w:tcBorders>
          </w:tcPr>
          <w:p w14:paraId="4C3FA692">
            <w:pPr>
              <w:spacing w:after="0" w:line="240" w:lineRule="auto"/>
            </w:pPr>
            <w:r>
              <w:rPr>
                <w:rFonts w:ascii="Georgia" w:hAnsi="Georgia" w:eastAsia="Georgia" w:cs="Georgia"/>
              </w:rPr>
              <w:t>湖北</w:t>
            </w:r>
          </w:p>
        </w:tc>
        <w:tc>
          <w:tcPr>
            <w:tcBorders>
              <w:top w:val="single" w:color="000000" w:sz="0" w:space="0"/>
              <w:left w:val="single" w:color="000000" w:sz="0" w:space="0"/>
              <w:bottom w:val="single" w:color="000000" w:sz="0" w:space="0"/>
            </w:tcBorders>
          </w:tcPr>
          <w:p w14:paraId="17D4BF40">
            <w:pPr>
              <w:spacing w:after="0" w:line="240" w:lineRule="auto"/>
            </w:pPr>
            <w:r>
              <w:t>35.59</w:t>
            </w:r>
          </w:p>
        </w:tc>
        <w:tc>
          <w:tcPr>
            <w:tcBorders>
              <w:top w:val="single" w:color="000000" w:sz="0" w:space="0"/>
              <w:left w:val="single" w:color="000000" w:sz="0" w:space="0"/>
              <w:bottom w:val="single" w:color="000000" w:sz="0" w:space="0"/>
            </w:tcBorders>
          </w:tcPr>
          <w:p w14:paraId="7F1BDBE3">
            <w:pPr>
              <w:spacing w:after="0" w:line="240" w:lineRule="auto"/>
            </w:pPr>
            <w:r>
              <w:rPr>
                <w:rFonts w:ascii="Georgia" w:hAnsi="Georgia" w:eastAsia="Georgia" w:cs="Georgia"/>
              </w:rPr>
              <w:t>中等</w:t>
            </w:r>
          </w:p>
        </w:tc>
      </w:tr>
      <w:tr w14:paraId="0A04002F">
        <w:trPr>
          <w:cantSplit/>
          <w:tblCellSpacing w:w="0" w:type="dxa"/>
          <w:jc w:val="center"/>
        </w:trPr>
        <w:tc>
          <w:tcPr>
            <w:tcBorders>
              <w:top w:val="single" w:color="000000" w:sz="0" w:space="0"/>
              <w:bottom w:val="single" w:color="000000" w:sz="0" w:space="0"/>
            </w:tcBorders>
          </w:tcPr>
          <w:p w14:paraId="7EE31691">
            <w:pPr>
              <w:spacing w:after="0" w:line="240" w:lineRule="auto"/>
            </w:pPr>
            <w:r>
              <w:t>9</w:t>
            </w:r>
          </w:p>
        </w:tc>
        <w:tc>
          <w:tcPr>
            <w:tcBorders>
              <w:top w:val="single" w:color="000000" w:sz="0" w:space="0"/>
              <w:left w:val="single" w:color="000000" w:sz="0" w:space="0"/>
              <w:bottom w:val="single" w:color="000000" w:sz="0" w:space="0"/>
            </w:tcBorders>
          </w:tcPr>
          <w:p w14:paraId="00FE6DFE">
            <w:pPr>
              <w:spacing w:after="0" w:line="240" w:lineRule="auto"/>
            </w:pPr>
            <w:r>
              <w:rPr>
                <w:rFonts w:ascii="Georgia" w:hAnsi="Georgia" w:eastAsia="Georgia" w:cs="Georgia"/>
              </w:rPr>
              <w:t>北京</w:t>
            </w:r>
          </w:p>
        </w:tc>
        <w:tc>
          <w:tcPr>
            <w:tcBorders>
              <w:top w:val="single" w:color="000000" w:sz="0" w:space="0"/>
              <w:left w:val="single" w:color="000000" w:sz="0" w:space="0"/>
              <w:bottom w:val="single" w:color="000000" w:sz="0" w:space="0"/>
            </w:tcBorders>
          </w:tcPr>
          <w:p w14:paraId="359FC053">
            <w:pPr>
              <w:spacing w:after="0" w:line="240" w:lineRule="auto"/>
            </w:pPr>
            <w:r>
              <w:t>35.64</w:t>
            </w:r>
          </w:p>
        </w:tc>
        <w:tc>
          <w:tcPr>
            <w:tcBorders>
              <w:top w:val="single" w:color="000000" w:sz="0" w:space="0"/>
              <w:left w:val="single" w:color="000000" w:sz="0" w:space="0"/>
              <w:bottom w:val="single" w:color="000000" w:sz="0" w:space="0"/>
            </w:tcBorders>
          </w:tcPr>
          <w:p w14:paraId="5F82BBA4">
            <w:pPr>
              <w:spacing w:after="0" w:line="240" w:lineRule="auto"/>
            </w:pPr>
            <w:r>
              <w:rPr>
                <w:rFonts w:ascii="Georgia" w:hAnsi="Georgia" w:eastAsia="Georgia" w:cs="Georgia"/>
              </w:rPr>
              <w:t>中等</w:t>
            </w:r>
          </w:p>
        </w:tc>
      </w:tr>
      <w:tr w14:paraId="6DAD4C82">
        <w:trPr>
          <w:cantSplit/>
          <w:tblCellSpacing w:w="0" w:type="dxa"/>
          <w:jc w:val="center"/>
        </w:trPr>
        <w:tc>
          <w:tcPr>
            <w:tcBorders>
              <w:top w:val="single" w:color="000000" w:sz="0" w:space="0"/>
              <w:bottom w:val="single" w:color="000000" w:sz="0" w:space="0"/>
            </w:tcBorders>
          </w:tcPr>
          <w:p w14:paraId="549BCAA0">
            <w:pPr>
              <w:spacing w:after="0" w:line="240" w:lineRule="auto"/>
            </w:pPr>
            <w:r>
              <w:t>10</w:t>
            </w:r>
          </w:p>
        </w:tc>
        <w:tc>
          <w:tcPr>
            <w:tcBorders>
              <w:top w:val="single" w:color="000000" w:sz="0" w:space="0"/>
              <w:left w:val="single" w:color="000000" w:sz="0" w:space="0"/>
              <w:bottom w:val="single" w:color="000000" w:sz="0" w:space="0"/>
            </w:tcBorders>
          </w:tcPr>
          <w:p w14:paraId="545FB67F">
            <w:pPr>
              <w:spacing w:after="0" w:line="240" w:lineRule="auto"/>
            </w:pPr>
            <w:r>
              <w:rPr>
                <w:rFonts w:ascii="Georgia" w:hAnsi="Georgia" w:eastAsia="Georgia" w:cs="Georgia"/>
              </w:rPr>
              <w:t>广东</w:t>
            </w:r>
          </w:p>
        </w:tc>
        <w:tc>
          <w:tcPr>
            <w:tcBorders>
              <w:top w:val="single" w:color="000000" w:sz="0" w:space="0"/>
              <w:left w:val="single" w:color="000000" w:sz="0" w:space="0"/>
              <w:bottom w:val="single" w:color="000000" w:sz="0" w:space="0"/>
            </w:tcBorders>
          </w:tcPr>
          <w:p w14:paraId="3DDE8687">
            <w:pPr>
              <w:spacing w:after="0" w:line="240" w:lineRule="auto"/>
            </w:pPr>
            <w:r>
              <w:t>35.78</w:t>
            </w:r>
          </w:p>
        </w:tc>
        <w:tc>
          <w:tcPr>
            <w:tcBorders>
              <w:top w:val="single" w:color="000000" w:sz="0" w:space="0"/>
              <w:left w:val="single" w:color="000000" w:sz="0" w:space="0"/>
              <w:bottom w:val="single" w:color="000000" w:sz="0" w:space="0"/>
            </w:tcBorders>
          </w:tcPr>
          <w:p w14:paraId="0A84EAD6">
            <w:pPr>
              <w:spacing w:after="0" w:line="240" w:lineRule="auto"/>
            </w:pPr>
            <w:r>
              <w:rPr>
                <w:rFonts w:ascii="Georgia" w:hAnsi="Georgia" w:eastAsia="Georgia" w:cs="Georgia"/>
              </w:rPr>
              <w:t>中等</w:t>
            </w:r>
          </w:p>
        </w:tc>
      </w:tr>
    </w:tbl>
    <w:p w14:paraId="238A1A70">
      <w:pPr>
        <w:snapToGrid/>
        <w:spacing w:beforeAutospacing="0" w:after="0" w:afterAutospacing="0" w:line="400" w:lineRule="exact"/>
        <w:ind w:left="0" w:leftChars="0" w:right="0" w:rightChars="0" w:firstLine="480" w:firstLineChars="200"/>
        <w:jc w:val="both"/>
        <w:rPr>
          <w:rFonts w:ascii="Times New Roman" w:eastAsia="宋体"/>
          <w:sz w:val="24"/>
        </w:rPr>
      </w:pPr>
    </w:p>
    <w:p w14:paraId="116D95A2">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从表4可以看出，上海、江苏和浙江三个东部沿海省份的水质指数相对较低（分别为34.5、34.7和34.8），显示出较好的水环境质量。四川和云南两个西部省份的水质指数居中（35.2和35.2），与河南、山东等中部省份接近。北京和广东的平均水质指数略高（分别为35.6和35.8），可能与城市化水平和人口密度相关。值得注意的是，各省份的水质指数差异并不显著，整体范围在34.5至35.8之间，表明不同地区的水质状况总体上处于相近水平，区域性的水环境治理措施取得了一定成效。</w:t>
      </w:r>
    </w:p>
    <w:p w14:paraId="10DF82D8">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图7以柱状图形式展示了各省份平均水质指数的对比。</w:t>
      </w:r>
    </w:p>
    <w:p w14:paraId="0F6DFFB3">
      <w:pPr>
        <w:snapToGrid/>
        <w:spacing w:beforeAutospacing="0" w:after="0" w:afterAutospacing="0" w:line="400" w:lineRule="exact"/>
        <w:ind w:left="0" w:leftChars="0" w:right="0" w:rightChars="0" w:firstLine="480" w:firstLineChars="200"/>
        <w:jc w:val="both"/>
        <w:rPr>
          <w:rFonts w:ascii="Times New Roman" w:eastAsia="宋体"/>
          <w:sz w:val="24"/>
        </w:rPr>
      </w:pPr>
    </w:p>
    <w:p w14:paraId="2CF2B5ED">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7清晰展示了10个省份的水质指数排名。上海、江苏、浙江位列前三，水质指数在34.5-34.8之间，显示出东部沿海地区在水环境治理方面的优势。中部省份（河南、山东）和西部省份（四川、云南）的水质指数在34.9-35.3之间，处于中等水平。北京和广东的水质指数略高（35.6-35.8），可能与城市化进程和人口密度相关。从整体来看，各省份的差异相对温和（极差仅1.3），说明全国范围的水环境治理取得了一定的均衡发展。</w:t>
      </w:r>
    </w:p>
    <w:p w14:paraId="2BAC6FB3">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47" w:name="bm_3_5_主要指标的统计特征与相关性"/>
      <w:bookmarkStart w:id="48" w:name="_Toc579420675"/>
      <w:r>
        <w:rPr>
          <w:rFonts w:ascii="黑体" w:hAnsi="Georgia" w:eastAsia="黑体" w:cs="Georgia"/>
          <w:b w:val="0"/>
          <w:sz w:val="28"/>
        </w:rPr>
        <w:t>3.5 主要指标的统计特征与相关性</w:t>
      </w:r>
      <w:bookmarkEnd w:id="47"/>
      <w:bookmarkEnd w:id="48"/>
    </w:p>
    <w:p w14:paraId="30C4DD76">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主要水质指标的分布特征各有不同。表5展示了10个关键指标的描述性统计。</w:t>
      </w:r>
    </w:p>
    <w:p w14:paraId="4EED362A">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表5 主要水质指标描述性统计</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851"/>
        <w:gridCol w:w="1000"/>
        <w:gridCol w:w="990"/>
        <w:gridCol w:w="980"/>
        <w:gridCol w:w="1014"/>
        <w:gridCol w:w="860"/>
      </w:tblGrid>
      <w:tr w14:paraId="0D2BFF45">
        <w:trPr>
          <w:cantSplit/>
          <w:tblCellSpacing w:w="0" w:type="dxa"/>
          <w:jc w:val="center"/>
        </w:trPr>
        <w:tc>
          <w:tcPr>
            <w:tcBorders>
              <w:top w:val="single" w:color="000000" w:sz="0" w:space="0"/>
              <w:bottom w:val="single" w:color="000000" w:sz="0" w:space="0"/>
            </w:tcBorders>
          </w:tcPr>
          <w:p w14:paraId="4586786D">
            <w:pPr>
              <w:spacing w:after="0" w:line="240" w:lineRule="auto"/>
            </w:pPr>
            <w:r>
              <w:rPr>
                <w:rFonts w:ascii="Georgia" w:hAnsi="Georgia" w:eastAsia="Georgia" w:cs="Georgia"/>
              </w:rPr>
              <w:t>指标</w:t>
            </w:r>
          </w:p>
        </w:tc>
        <w:tc>
          <w:tcPr>
            <w:tcBorders>
              <w:top w:val="single" w:color="000000" w:sz="0" w:space="0"/>
              <w:left w:val="single" w:color="000000" w:sz="0" w:space="0"/>
              <w:bottom w:val="single" w:color="000000" w:sz="0" w:space="0"/>
            </w:tcBorders>
          </w:tcPr>
          <w:p w14:paraId="4D1DC270">
            <w:pPr>
              <w:spacing w:after="0" w:line="240" w:lineRule="auto"/>
            </w:pPr>
            <w:r>
              <w:rPr>
                <w:rFonts w:ascii="Georgia" w:hAnsi="Georgia" w:eastAsia="Georgia" w:cs="Georgia"/>
              </w:rPr>
              <w:t>均值</w:t>
            </w:r>
          </w:p>
        </w:tc>
        <w:tc>
          <w:tcPr>
            <w:tcBorders>
              <w:top w:val="single" w:color="000000" w:sz="0" w:space="0"/>
              <w:left w:val="single" w:color="000000" w:sz="0" w:space="0"/>
              <w:bottom w:val="single" w:color="000000" w:sz="0" w:space="0"/>
            </w:tcBorders>
          </w:tcPr>
          <w:p w14:paraId="53F0C1EE">
            <w:pPr>
              <w:spacing w:after="0" w:line="240" w:lineRule="auto"/>
            </w:pPr>
            <w:r>
              <w:rPr>
                <w:rFonts w:ascii="Georgia" w:hAnsi="Georgia" w:eastAsia="Georgia" w:cs="Georgia"/>
              </w:rPr>
              <w:t>标准差</w:t>
            </w:r>
          </w:p>
        </w:tc>
        <w:tc>
          <w:tcPr>
            <w:tcBorders>
              <w:top w:val="single" w:color="000000" w:sz="0" w:space="0"/>
              <w:left w:val="single" w:color="000000" w:sz="0" w:space="0"/>
              <w:bottom w:val="single" w:color="000000" w:sz="0" w:space="0"/>
            </w:tcBorders>
          </w:tcPr>
          <w:p w14:paraId="44205929">
            <w:pPr>
              <w:spacing w:after="0" w:line="240" w:lineRule="auto"/>
            </w:pPr>
            <w:r>
              <w:rPr>
                <w:rFonts w:ascii="Georgia" w:hAnsi="Georgia" w:eastAsia="Georgia" w:cs="Georgia"/>
              </w:rPr>
              <w:t>最小值</w:t>
            </w:r>
          </w:p>
        </w:tc>
        <w:tc>
          <w:tcPr>
            <w:tcBorders>
              <w:top w:val="single" w:color="000000" w:sz="0" w:space="0"/>
              <w:left w:val="single" w:color="000000" w:sz="0" w:space="0"/>
              <w:bottom w:val="single" w:color="000000" w:sz="0" w:space="0"/>
            </w:tcBorders>
          </w:tcPr>
          <w:p w14:paraId="06698D76">
            <w:pPr>
              <w:spacing w:after="0" w:line="240" w:lineRule="auto"/>
            </w:pPr>
            <w:r>
              <w:rPr>
                <w:rFonts w:ascii="Georgia" w:hAnsi="Georgia" w:eastAsia="Georgia" w:cs="Georgia"/>
              </w:rPr>
              <w:t>最大值</w:t>
            </w:r>
          </w:p>
        </w:tc>
        <w:tc>
          <w:tcPr>
            <w:tcBorders>
              <w:top w:val="single" w:color="000000" w:sz="0" w:space="0"/>
              <w:left w:val="single" w:color="000000" w:sz="0" w:space="0"/>
              <w:bottom w:val="single" w:color="000000" w:sz="0" w:space="0"/>
            </w:tcBorders>
          </w:tcPr>
          <w:p w14:paraId="3ADA5D46">
            <w:pPr>
              <w:spacing w:after="0" w:line="240" w:lineRule="auto"/>
            </w:pPr>
            <w:r>
              <w:rPr>
                <w:rFonts w:ascii="Georgia" w:hAnsi="Georgia" w:eastAsia="Georgia" w:cs="Georgia"/>
              </w:rPr>
              <w:t>偏度</w:t>
            </w:r>
          </w:p>
        </w:tc>
      </w:tr>
      <w:tr w14:paraId="489BE5EF">
        <w:trPr>
          <w:cantSplit/>
          <w:tblCellSpacing w:w="0" w:type="dxa"/>
          <w:jc w:val="center"/>
        </w:trPr>
        <w:tc>
          <w:tcPr>
            <w:tcBorders>
              <w:top w:val="single" w:color="000000" w:sz="0" w:space="0"/>
              <w:bottom w:val="single" w:color="000000" w:sz="0" w:space="0"/>
            </w:tcBorders>
          </w:tcPr>
          <w:p w14:paraId="7E6505CA">
            <w:pPr>
              <w:spacing w:after="0" w:line="240" w:lineRule="auto"/>
            </w:pPr>
            <w:r>
              <w:rPr>
                <w:rFonts w:ascii="Georgia" w:hAnsi="Georgia" w:eastAsia="Georgia" w:cs="Georgia"/>
              </w:rPr>
              <w:t>水温 (°C)</w:t>
            </w:r>
          </w:p>
        </w:tc>
        <w:tc>
          <w:tcPr>
            <w:tcBorders>
              <w:top w:val="single" w:color="000000" w:sz="0" w:space="0"/>
              <w:left w:val="single" w:color="000000" w:sz="0" w:space="0"/>
              <w:bottom w:val="single" w:color="000000" w:sz="0" w:space="0"/>
            </w:tcBorders>
          </w:tcPr>
          <w:p w14:paraId="7BD6A10A">
            <w:pPr>
              <w:spacing w:after="0" w:line="240" w:lineRule="auto"/>
            </w:pPr>
            <w:r>
              <w:t>20.16</w:t>
            </w:r>
          </w:p>
        </w:tc>
        <w:tc>
          <w:tcPr>
            <w:tcBorders>
              <w:top w:val="single" w:color="000000" w:sz="0" w:space="0"/>
              <w:left w:val="single" w:color="000000" w:sz="0" w:space="0"/>
              <w:bottom w:val="single" w:color="000000" w:sz="0" w:space="0"/>
            </w:tcBorders>
          </w:tcPr>
          <w:p w14:paraId="311AC6EB">
            <w:pPr>
              <w:spacing w:after="0" w:line="240" w:lineRule="auto"/>
            </w:pPr>
            <w:r>
              <w:t>4.87</w:t>
            </w:r>
          </w:p>
        </w:tc>
        <w:tc>
          <w:tcPr>
            <w:tcBorders>
              <w:top w:val="single" w:color="000000" w:sz="0" w:space="0"/>
              <w:left w:val="single" w:color="000000" w:sz="0" w:space="0"/>
              <w:bottom w:val="single" w:color="000000" w:sz="0" w:space="0"/>
            </w:tcBorders>
          </w:tcPr>
          <w:p w14:paraId="172DA30A">
            <w:pPr>
              <w:spacing w:after="0" w:line="240" w:lineRule="auto"/>
            </w:pPr>
            <w:r>
              <w:t>5.40</w:t>
            </w:r>
          </w:p>
        </w:tc>
        <w:tc>
          <w:tcPr>
            <w:tcBorders>
              <w:top w:val="single" w:color="000000" w:sz="0" w:space="0"/>
              <w:left w:val="single" w:color="000000" w:sz="0" w:space="0"/>
              <w:bottom w:val="single" w:color="000000" w:sz="0" w:space="0"/>
            </w:tcBorders>
          </w:tcPr>
          <w:p w14:paraId="7C986578">
            <w:pPr>
              <w:spacing w:after="0" w:line="240" w:lineRule="auto"/>
            </w:pPr>
            <w:r>
              <w:t>34.91</w:t>
            </w:r>
          </w:p>
        </w:tc>
        <w:tc>
          <w:tcPr>
            <w:tcBorders>
              <w:top w:val="single" w:color="000000" w:sz="0" w:space="0"/>
              <w:left w:val="single" w:color="000000" w:sz="0" w:space="0"/>
              <w:bottom w:val="single" w:color="000000" w:sz="0" w:space="0"/>
            </w:tcBorders>
          </w:tcPr>
          <w:p w14:paraId="013346D3">
            <w:pPr>
              <w:spacing w:after="0" w:line="240" w:lineRule="auto"/>
            </w:pPr>
            <w:r>
              <w:t>-0.01</w:t>
            </w:r>
          </w:p>
        </w:tc>
      </w:tr>
      <w:tr w14:paraId="4CA0DBF8">
        <w:trPr>
          <w:cantSplit/>
          <w:tblCellSpacing w:w="0" w:type="dxa"/>
          <w:jc w:val="center"/>
        </w:trPr>
        <w:tc>
          <w:tcPr>
            <w:tcBorders>
              <w:top w:val="single" w:color="000000" w:sz="0" w:space="0"/>
              <w:bottom w:val="single" w:color="000000" w:sz="0" w:space="0"/>
            </w:tcBorders>
          </w:tcPr>
          <w:p w14:paraId="1D20878C">
            <w:pPr>
              <w:spacing w:after="0" w:line="240" w:lineRule="auto"/>
            </w:pPr>
            <w:r>
              <w:t>pH</w:t>
            </w:r>
          </w:p>
        </w:tc>
        <w:tc>
          <w:tcPr>
            <w:tcBorders>
              <w:top w:val="single" w:color="000000" w:sz="0" w:space="0"/>
              <w:left w:val="single" w:color="000000" w:sz="0" w:space="0"/>
              <w:bottom w:val="single" w:color="000000" w:sz="0" w:space="0"/>
            </w:tcBorders>
          </w:tcPr>
          <w:p w14:paraId="1AAAA91C">
            <w:pPr>
              <w:spacing w:after="0" w:line="240" w:lineRule="auto"/>
            </w:pPr>
            <w:r>
              <w:t>7.01</w:t>
            </w:r>
          </w:p>
        </w:tc>
        <w:tc>
          <w:tcPr>
            <w:tcBorders>
              <w:top w:val="single" w:color="000000" w:sz="0" w:space="0"/>
              <w:left w:val="single" w:color="000000" w:sz="0" w:space="0"/>
              <w:bottom w:val="single" w:color="000000" w:sz="0" w:space="0"/>
            </w:tcBorders>
          </w:tcPr>
          <w:p w14:paraId="4AC80BF7">
            <w:pPr>
              <w:spacing w:after="0" w:line="240" w:lineRule="auto"/>
            </w:pPr>
            <w:r>
              <w:t>0.49</w:t>
            </w:r>
          </w:p>
        </w:tc>
        <w:tc>
          <w:tcPr>
            <w:tcBorders>
              <w:top w:val="single" w:color="000000" w:sz="0" w:space="0"/>
              <w:left w:val="single" w:color="000000" w:sz="0" w:space="0"/>
              <w:bottom w:val="single" w:color="000000" w:sz="0" w:space="0"/>
            </w:tcBorders>
          </w:tcPr>
          <w:p w14:paraId="26F64283">
            <w:pPr>
              <w:spacing w:after="0" w:line="240" w:lineRule="auto"/>
            </w:pPr>
            <w:r>
              <w:t>5.56</w:t>
            </w:r>
          </w:p>
        </w:tc>
        <w:tc>
          <w:tcPr>
            <w:tcBorders>
              <w:top w:val="single" w:color="000000" w:sz="0" w:space="0"/>
              <w:left w:val="single" w:color="000000" w:sz="0" w:space="0"/>
              <w:bottom w:val="single" w:color="000000" w:sz="0" w:space="0"/>
            </w:tcBorders>
          </w:tcPr>
          <w:p w14:paraId="6CD05270">
            <w:pPr>
              <w:spacing w:after="0" w:line="240" w:lineRule="auto"/>
            </w:pPr>
            <w:r>
              <w:t>8.48</w:t>
            </w:r>
          </w:p>
        </w:tc>
        <w:tc>
          <w:tcPr>
            <w:tcBorders>
              <w:top w:val="single" w:color="000000" w:sz="0" w:space="0"/>
              <w:left w:val="single" w:color="000000" w:sz="0" w:space="0"/>
              <w:bottom w:val="single" w:color="000000" w:sz="0" w:space="0"/>
            </w:tcBorders>
          </w:tcPr>
          <w:p w14:paraId="48BC1656">
            <w:pPr>
              <w:spacing w:after="0" w:line="240" w:lineRule="auto"/>
            </w:pPr>
            <w:r>
              <w:t>0.02</w:t>
            </w:r>
          </w:p>
        </w:tc>
      </w:tr>
      <w:tr w14:paraId="47338EE7">
        <w:trPr>
          <w:cantSplit/>
          <w:tblCellSpacing w:w="0" w:type="dxa"/>
          <w:jc w:val="center"/>
        </w:trPr>
        <w:tc>
          <w:tcPr>
            <w:tcBorders>
              <w:top w:val="single" w:color="000000" w:sz="0" w:space="0"/>
              <w:bottom w:val="single" w:color="000000" w:sz="0" w:space="0"/>
            </w:tcBorders>
          </w:tcPr>
          <w:p w14:paraId="61838ED1">
            <w:pPr>
              <w:spacing w:after="0" w:line="240" w:lineRule="auto"/>
            </w:pPr>
            <w:r>
              <w:rPr>
                <w:rFonts w:ascii="Georgia" w:hAnsi="Georgia" w:eastAsia="Georgia" w:cs="Georgia"/>
              </w:rPr>
              <w:t>溶解氧 (mg/L)</w:t>
            </w:r>
          </w:p>
        </w:tc>
        <w:tc>
          <w:tcPr>
            <w:tcBorders>
              <w:top w:val="single" w:color="000000" w:sz="0" w:space="0"/>
              <w:left w:val="single" w:color="000000" w:sz="0" w:space="0"/>
              <w:bottom w:val="single" w:color="000000" w:sz="0" w:space="0"/>
            </w:tcBorders>
          </w:tcPr>
          <w:p w14:paraId="675AF9F3">
            <w:pPr>
              <w:spacing w:after="0" w:line="240" w:lineRule="auto"/>
            </w:pPr>
            <w:r>
              <w:t>8.02</w:t>
            </w:r>
          </w:p>
        </w:tc>
        <w:tc>
          <w:tcPr>
            <w:tcBorders>
              <w:top w:val="single" w:color="000000" w:sz="0" w:space="0"/>
              <w:left w:val="single" w:color="000000" w:sz="0" w:space="0"/>
              <w:bottom w:val="single" w:color="000000" w:sz="0" w:space="0"/>
            </w:tcBorders>
          </w:tcPr>
          <w:p w14:paraId="52B1EAE9">
            <w:pPr>
              <w:spacing w:after="0" w:line="240" w:lineRule="auto"/>
            </w:pPr>
            <w:r>
              <w:t>1.98</w:t>
            </w:r>
          </w:p>
        </w:tc>
        <w:tc>
          <w:tcPr>
            <w:tcBorders>
              <w:top w:val="single" w:color="000000" w:sz="0" w:space="0"/>
              <w:left w:val="single" w:color="000000" w:sz="0" w:space="0"/>
              <w:bottom w:val="single" w:color="000000" w:sz="0" w:space="0"/>
            </w:tcBorders>
          </w:tcPr>
          <w:p w14:paraId="13FA8E27">
            <w:pPr>
              <w:spacing w:after="0" w:line="240" w:lineRule="auto"/>
            </w:pPr>
            <w:r>
              <w:t>2.15</w:t>
            </w:r>
          </w:p>
        </w:tc>
        <w:tc>
          <w:tcPr>
            <w:tcBorders>
              <w:top w:val="single" w:color="000000" w:sz="0" w:space="0"/>
              <w:left w:val="single" w:color="000000" w:sz="0" w:space="0"/>
              <w:bottom w:val="single" w:color="000000" w:sz="0" w:space="0"/>
            </w:tcBorders>
          </w:tcPr>
          <w:p w14:paraId="09F1ABCB">
            <w:pPr>
              <w:spacing w:after="0" w:line="240" w:lineRule="auto"/>
            </w:pPr>
            <w:r>
              <w:t>14.02</w:t>
            </w:r>
          </w:p>
        </w:tc>
        <w:tc>
          <w:tcPr>
            <w:tcBorders>
              <w:top w:val="single" w:color="000000" w:sz="0" w:space="0"/>
              <w:left w:val="single" w:color="000000" w:sz="0" w:space="0"/>
              <w:bottom w:val="single" w:color="000000" w:sz="0" w:space="0"/>
            </w:tcBorders>
          </w:tcPr>
          <w:p w14:paraId="6CB1F7A9">
            <w:pPr>
              <w:spacing w:after="0" w:line="240" w:lineRule="auto"/>
            </w:pPr>
            <w:r>
              <w:t>-0.02</w:t>
            </w:r>
          </w:p>
        </w:tc>
      </w:tr>
      <w:tr w14:paraId="002FBCE5">
        <w:trPr>
          <w:cantSplit/>
          <w:tblCellSpacing w:w="0" w:type="dxa"/>
          <w:jc w:val="center"/>
        </w:trPr>
        <w:tc>
          <w:tcPr>
            <w:tcBorders>
              <w:top w:val="single" w:color="000000" w:sz="0" w:space="0"/>
              <w:bottom w:val="single" w:color="000000" w:sz="0" w:space="0"/>
            </w:tcBorders>
          </w:tcPr>
          <w:p w14:paraId="487D428B">
            <w:pPr>
              <w:spacing w:after="0" w:line="240" w:lineRule="auto"/>
            </w:pPr>
            <w:r>
              <w:rPr>
                <w:rFonts w:ascii="Georgia" w:hAnsi="Georgia" w:eastAsia="Georgia" w:cs="Georgia"/>
              </w:rPr>
              <w:t>电导率 (μS/cm)</w:t>
            </w:r>
          </w:p>
        </w:tc>
        <w:tc>
          <w:tcPr>
            <w:tcBorders>
              <w:top w:val="single" w:color="000000" w:sz="0" w:space="0"/>
              <w:left w:val="single" w:color="000000" w:sz="0" w:space="0"/>
              <w:bottom w:val="single" w:color="000000" w:sz="0" w:space="0"/>
            </w:tcBorders>
          </w:tcPr>
          <w:p w14:paraId="4FE78EDD">
            <w:pPr>
              <w:spacing w:after="0" w:line="240" w:lineRule="auto"/>
            </w:pPr>
            <w:r>
              <w:t>499.42</w:t>
            </w:r>
          </w:p>
        </w:tc>
        <w:tc>
          <w:tcPr>
            <w:tcBorders>
              <w:top w:val="single" w:color="000000" w:sz="0" w:space="0"/>
              <w:left w:val="single" w:color="000000" w:sz="0" w:space="0"/>
              <w:bottom w:val="single" w:color="000000" w:sz="0" w:space="0"/>
            </w:tcBorders>
          </w:tcPr>
          <w:p w14:paraId="1E242A21">
            <w:pPr>
              <w:spacing w:after="0" w:line="240" w:lineRule="auto"/>
            </w:pPr>
            <w:r>
              <w:t>100.70</w:t>
            </w:r>
          </w:p>
        </w:tc>
        <w:tc>
          <w:tcPr>
            <w:tcBorders>
              <w:top w:val="single" w:color="000000" w:sz="0" w:space="0"/>
              <w:left w:val="single" w:color="000000" w:sz="0" w:space="0"/>
              <w:bottom w:val="single" w:color="000000" w:sz="0" w:space="0"/>
            </w:tcBorders>
          </w:tcPr>
          <w:p w14:paraId="41B0CC80">
            <w:pPr>
              <w:spacing w:after="0" w:line="240" w:lineRule="auto"/>
            </w:pPr>
            <w:r>
              <w:t>153.72</w:t>
            </w:r>
          </w:p>
        </w:tc>
        <w:tc>
          <w:tcPr>
            <w:tcBorders>
              <w:top w:val="single" w:color="000000" w:sz="0" w:space="0"/>
              <w:left w:val="single" w:color="000000" w:sz="0" w:space="0"/>
              <w:bottom w:val="single" w:color="000000" w:sz="0" w:space="0"/>
            </w:tcBorders>
          </w:tcPr>
          <w:p w14:paraId="5AFBFCD5">
            <w:pPr>
              <w:spacing w:after="0" w:line="240" w:lineRule="auto"/>
            </w:pPr>
            <w:r>
              <w:t>842.89</w:t>
            </w:r>
          </w:p>
        </w:tc>
        <w:tc>
          <w:tcPr>
            <w:tcBorders>
              <w:top w:val="single" w:color="000000" w:sz="0" w:space="0"/>
              <w:left w:val="single" w:color="000000" w:sz="0" w:space="0"/>
              <w:bottom w:val="single" w:color="000000" w:sz="0" w:space="0"/>
            </w:tcBorders>
          </w:tcPr>
          <w:p w14:paraId="79EEF62B">
            <w:pPr>
              <w:spacing w:after="0" w:line="240" w:lineRule="auto"/>
            </w:pPr>
            <w:r>
              <w:t>-0.07</w:t>
            </w:r>
          </w:p>
        </w:tc>
      </w:tr>
      <w:tr w14:paraId="4AD25621">
        <w:trPr>
          <w:cantSplit/>
          <w:tblCellSpacing w:w="0" w:type="dxa"/>
          <w:jc w:val="center"/>
        </w:trPr>
        <w:tc>
          <w:tcPr>
            <w:tcBorders>
              <w:top w:val="single" w:color="000000" w:sz="0" w:space="0"/>
              <w:bottom w:val="single" w:color="000000" w:sz="0" w:space="0"/>
            </w:tcBorders>
          </w:tcPr>
          <w:p w14:paraId="4B3D7B6F">
            <w:pPr>
              <w:spacing w:after="0" w:line="240" w:lineRule="auto"/>
            </w:pPr>
            <w:r>
              <w:rPr>
                <w:rFonts w:ascii="Georgia" w:hAnsi="Georgia" w:eastAsia="Georgia" w:cs="Georgia"/>
              </w:rPr>
              <w:t>浊度 (NTU)</w:t>
            </w:r>
          </w:p>
        </w:tc>
        <w:tc>
          <w:tcPr>
            <w:tcBorders>
              <w:top w:val="single" w:color="000000" w:sz="0" w:space="0"/>
              <w:left w:val="single" w:color="000000" w:sz="0" w:space="0"/>
              <w:bottom w:val="single" w:color="000000" w:sz="0" w:space="0"/>
            </w:tcBorders>
          </w:tcPr>
          <w:p w14:paraId="1E51E0EC">
            <w:pPr>
              <w:spacing w:after="0" w:line="240" w:lineRule="auto"/>
            </w:pPr>
            <w:r>
              <w:t>5.29</w:t>
            </w:r>
          </w:p>
        </w:tc>
        <w:tc>
          <w:tcPr>
            <w:tcBorders>
              <w:top w:val="single" w:color="000000" w:sz="0" w:space="0"/>
              <w:left w:val="single" w:color="000000" w:sz="0" w:space="0"/>
              <w:bottom w:val="single" w:color="000000" w:sz="0" w:space="0"/>
            </w:tcBorders>
          </w:tcPr>
          <w:p w14:paraId="7D923B16">
            <w:pPr>
              <w:spacing w:after="0" w:line="240" w:lineRule="auto"/>
            </w:pPr>
            <w:r>
              <w:t>4.39</w:t>
            </w:r>
          </w:p>
        </w:tc>
        <w:tc>
          <w:tcPr>
            <w:tcBorders>
              <w:top w:val="single" w:color="000000" w:sz="0" w:space="0"/>
              <w:left w:val="single" w:color="000000" w:sz="0" w:space="0"/>
              <w:bottom w:val="single" w:color="000000" w:sz="0" w:space="0"/>
            </w:tcBorders>
          </w:tcPr>
          <w:p w14:paraId="649C216A">
            <w:pPr>
              <w:spacing w:after="0" w:line="240" w:lineRule="auto"/>
            </w:pPr>
            <w:r>
              <w:t>0.00</w:t>
            </w:r>
          </w:p>
        </w:tc>
        <w:tc>
          <w:tcPr>
            <w:tcBorders>
              <w:top w:val="single" w:color="000000" w:sz="0" w:space="0"/>
              <w:left w:val="single" w:color="000000" w:sz="0" w:space="0"/>
              <w:bottom w:val="single" w:color="000000" w:sz="0" w:space="0"/>
            </w:tcBorders>
          </w:tcPr>
          <w:p w14:paraId="1B01A6B7">
            <w:pPr>
              <w:spacing w:after="0" w:line="240" w:lineRule="auto"/>
            </w:pPr>
            <w:r>
              <w:t>26.57</w:t>
            </w:r>
          </w:p>
        </w:tc>
        <w:tc>
          <w:tcPr>
            <w:tcBorders>
              <w:top w:val="single" w:color="000000" w:sz="0" w:space="0"/>
              <w:left w:val="single" w:color="000000" w:sz="0" w:space="0"/>
              <w:bottom w:val="single" w:color="000000" w:sz="0" w:space="0"/>
            </w:tcBorders>
          </w:tcPr>
          <w:p w14:paraId="0D6F79BE">
            <w:pPr>
              <w:spacing w:after="0" w:line="240" w:lineRule="auto"/>
            </w:pPr>
            <w:r>
              <w:t>0.77</w:t>
            </w:r>
          </w:p>
        </w:tc>
      </w:tr>
      <w:tr w14:paraId="683224FC">
        <w:trPr>
          <w:cantSplit/>
          <w:tblCellSpacing w:w="0" w:type="dxa"/>
          <w:jc w:val="center"/>
        </w:trPr>
        <w:tc>
          <w:tcPr>
            <w:tcBorders>
              <w:top w:val="single" w:color="000000" w:sz="0" w:space="0"/>
              <w:bottom w:val="single" w:color="000000" w:sz="0" w:space="0"/>
            </w:tcBorders>
          </w:tcPr>
          <w:p w14:paraId="25BC223C">
            <w:pPr>
              <w:spacing w:after="0" w:line="240" w:lineRule="auto"/>
            </w:pPr>
            <w:r>
              <w:rPr>
                <w:rFonts w:ascii="Georgia" w:hAnsi="Georgia" w:eastAsia="Georgia" w:cs="Georgia"/>
              </w:rPr>
              <w:t>氨氮 (mg/L)</w:t>
            </w:r>
          </w:p>
        </w:tc>
        <w:tc>
          <w:tcPr>
            <w:tcBorders>
              <w:top w:val="single" w:color="000000" w:sz="0" w:space="0"/>
              <w:left w:val="single" w:color="000000" w:sz="0" w:space="0"/>
              <w:bottom w:val="single" w:color="000000" w:sz="0" w:space="0"/>
            </w:tcBorders>
          </w:tcPr>
          <w:p w14:paraId="090E1B23">
            <w:pPr>
              <w:spacing w:after="0" w:line="240" w:lineRule="auto"/>
            </w:pPr>
            <w:r>
              <w:t>0.50</w:t>
            </w:r>
          </w:p>
        </w:tc>
        <w:tc>
          <w:tcPr>
            <w:tcBorders>
              <w:top w:val="single" w:color="000000" w:sz="0" w:space="0"/>
              <w:left w:val="single" w:color="000000" w:sz="0" w:space="0"/>
              <w:bottom w:val="single" w:color="000000" w:sz="0" w:space="0"/>
            </w:tcBorders>
          </w:tcPr>
          <w:p w14:paraId="0A311695">
            <w:pPr>
              <w:spacing w:after="0" w:line="240" w:lineRule="auto"/>
            </w:pPr>
            <w:r>
              <w:t>0.20</w:t>
            </w:r>
          </w:p>
        </w:tc>
        <w:tc>
          <w:tcPr>
            <w:tcBorders>
              <w:top w:val="single" w:color="000000" w:sz="0" w:space="0"/>
              <w:left w:val="single" w:color="000000" w:sz="0" w:space="0"/>
              <w:bottom w:val="single" w:color="000000" w:sz="0" w:space="0"/>
            </w:tcBorders>
          </w:tcPr>
          <w:p w14:paraId="3D1E9DEA">
            <w:pPr>
              <w:spacing w:after="0" w:line="240" w:lineRule="auto"/>
            </w:pPr>
            <w:r>
              <w:t>0.00</w:t>
            </w:r>
          </w:p>
        </w:tc>
        <w:tc>
          <w:tcPr>
            <w:tcBorders>
              <w:top w:val="single" w:color="000000" w:sz="0" w:space="0"/>
              <w:left w:val="single" w:color="000000" w:sz="0" w:space="0"/>
              <w:bottom w:val="single" w:color="000000" w:sz="0" w:space="0"/>
            </w:tcBorders>
          </w:tcPr>
          <w:p w14:paraId="476B5355">
            <w:pPr>
              <w:spacing w:after="0" w:line="240" w:lineRule="auto"/>
            </w:pPr>
            <w:r>
              <w:t>1.25</w:t>
            </w:r>
          </w:p>
        </w:tc>
        <w:tc>
          <w:tcPr>
            <w:tcBorders>
              <w:top w:val="single" w:color="000000" w:sz="0" w:space="0"/>
              <w:left w:val="single" w:color="000000" w:sz="0" w:space="0"/>
              <w:bottom w:val="single" w:color="000000" w:sz="0" w:space="0"/>
            </w:tcBorders>
          </w:tcPr>
          <w:p w14:paraId="27E00D96">
            <w:pPr>
              <w:spacing w:after="0" w:line="240" w:lineRule="auto"/>
            </w:pPr>
            <w:r>
              <w:t>-0.03</w:t>
            </w:r>
          </w:p>
        </w:tc>
      </w:tr>
      <w:tr w14:paraId="03DD49D0">
        <w:trPr>
          <w:cantSplit/>
          <w:tblCellSpacing w:w="0" w:type="dxa"/>
          <w:jc w:val="center"/>
        </w:trPr>
        <w:tc>
          <w:tcPr>
            <w:tcBorders>
              <w:top w:val="single" w:color="000000" w:sz="0" w:space="0"/>
              <w:bottom w:val="single" w:color="000000" w:sz="0" w:space="0"/>
            </w:tcBorders>
          </w:tcPr>
          <w:p w14:paraId="635B9D9A">
            <w:pPr>
              <w:spacing w:after="0" w:line="240" w:lineRule="auto"/>
            </w:pPr>
            <w:r>
              <w:rPr>
                <w:rFonts w:ascii="Georgia" w:hAnsi="Georgia" w:eastAsia="Georgia" w:cs="Georgia"/>
              </w:rPr>
              <w:t>总磷 (mg/L)</w:t>
            </w:r>
          </w:p>
        </w:tc>
        <w:tc>
          <w:tcPr>
            <w:tcBorders>
              <w:top w:val="single" w:color="000000" w:sz="0" w:space="0"/>
              <w:left w:val="single" w:color="000000" w:sz="0" w:space="0"/>
              <w:bottom w:val="single" w:color="000000" w:sz="0" w:space="0"/>
            </w:tcBorders>
          </w:tcPr>
          <w:p w14:paraId="1C89ABD0">
            <w:pPr>
              <w:spacing w:after="0" w:line="240" w:lineRule="auto"/>
            </w:pPr>
            <w:r>
              <w:t>0.10</w:t>
            </w:r>
          </w:p>
        </w:tc>
        <w:tc>
          <w:tcPr>
            <w:tcBorders>
              <w:top w:val="single" w:color="000000" w:sz="0" w:space="0"/>
              <w:left w:val="single" w:color="000000" w:sz="0" w:space="0"/>
              <w:bottom w:val="single" w:color="000000" w:sz="0" w:space="0"/>
            </w:tcBorders>
          </w:tcPr>
          <w:p w14:paraId="12BEE0D4">
            <w:pPr>
              <w:spacing w:after="0" w:line="240" w:lineRule="auto"/>
            </w:pPr>
            <w:r>
              <w:t>0.05</w:t>
            </w:r>
          </w:p>
        </w:tc>
        <w:tc>
          <w:tcPr>
            <w:tcBorders>
              <w:top w:val="single" w:color="000000" w:sz="0" w:space="0"/>
              <w:left w:val="single" w:color="000000" w:sz="0" w:space="0"/>
              <w:bottom w:val="single" w:color="000000" w:sz="0" w:space="0"/>
            </w:tcBorders>
          </w:tcPr>
          <w:p w14:paraId="789782FA">
            <w:pPr>
              <w:spacing w:after="0" w:line="240" w:lineRule="auto"/>
            </w:pPr>
            <w:r>
              <w:t>0.00</w:t>
            </w:r>
          </w:p>
        </w:tc>
        <w:tc>
          <w:tcPr>
            <w:tcBorders>
              <w:top w:val="single" w:color="000000" w:sz="0" w:space="0"/>
              <w:left w:val="single" w:color="000000" w:sz="0" w:space="0"/>
              <w:bottom w:val="single" w:color="000000" w:sz="0" w:space="0"/>
            </w:tcBorders>
          </w:tcPr>
          <w:p w14:paraId="19FC7166">
            <w:pPr>
              <w:spacing w:after="0" w:line="240" w:lineRule="auto"/>
            </w:pPr>
            <w:r>
              <w:t>0.24</w:t>
            </w:r>
          </w:p>
        </w:tc>
        <w:tc>
          <w:tcPr>
            <w:tcBorders>
              <w:top w:val="single" w:color="000000" w:sz="0" w:space="0"/>
              <w:left w:val="single" w:color="000000" w:sz="0" w:space="0"/>
              <w:bottom w:val="single" w:color="000000" w:sz="0" w:space="0"/>
            </w:tcBorders>
          </w:tcPr>
          <w:p w14:paraId="4FFF7788">
            <w:pPr>
              <w:spacing w:after="0" w:line="240" w:lineRule="auto"/>
            </w:pPr>
            <w:r>
              <w:t>0.07</w:t>
            </w:r>
          </w:p>
        </w:tc>
      </w:tr>
      <w:tr w14:paraId="1E764E27">
        <w:trPr>
          <w:cantSplit/>
          <w:tblCellSpacing w:w="0" w:type="dxa"/>
          <w:jc w:val="center"/>
        </w:trPr>
        <w:tc>
          <w:tcPr>
            <w:tcBorders>
              <w:top w:val="single" w:color="000000" w:sz="0" w:space="0"/>
              <w:bottom w:val="single" w:color="000000" w:sz="0" w:space="0"/>
            </w:tcBorders>
          </w:tcPr>
          <w:p w14:paraId="61509322">
            <w:pPr>
              <w:spacing w:after="0" w:line="240" w:lineRule="auto"/>
            </w:pPr>
            <w:r>
              <w:rPr>
                <w:rFonts w:ascii="Georgia" w:hAnsi="Georgia" w:eastAsia="Georgia" w:cs="Georgia"/>
              </w:rPr>
              <w:t>总氮 (mg/L)</w:t>
            </w:r>
          </w:p>
        </w:tc>
        <w:tc>
          <w:tcPr>
            <w:tcBorders>
              <w:top w:val="single" w:color="000000" w:sz="0" w:space="0"/>
              <w:left w:val="single" w:color="000000" w:sz="0" w:space="0"/>
              <w:bottom w:val="single" w:color="000000" w:sz="0" w:space="0"/>
            </w:tcBorders>
          </w:tcPr>
          <w:p w14:paraId="4A238691">
            <w:pPr>
              <w:spacing w:after="0" w:line="240" w:lineRule="auto"/>
            </w:pPr>
            <w:r>
              <w:t>3.00</w:t>
            </w:r>
          </w:p>
        </w:tc>
        <w:tc>
          <w:tcPr>
            <w:tcBorders>
              <w:top w:val="single" w:color="000000" w:sz="0" w:space="0"/>
              <w:left w:val="single" w:color="000000" w:sz="0" w:space="0"/>
              <w:bottom w:val="single" w:color="000000" w:sz="0" w:space="0"/>
            </w:tcBorders>
          </w:tcPr>
          <w:p w14:paraId="70B6958B">
            <w:pPr>
              <w:spacing w:after="0" w:line="240" w:lineRule="auto"/>
            </w:pPr>
            <w:r>
              <w:t>0.50</w:t>
            </w:r>
          </w:p>
        </w:tc>
        <w:tc>
          <w:tcPr>
            <w:tcBorders>
              <w:top w:val="single" w:color="000000" w:sz="0" w:space="0"/>
              <w:left w:val="single" w:color="000000" w:sz="0" w:space="0"/>
              <w:bottom w:val="single" w:color="000000" w:sz="0" w:space="0"/>
            </w:tcBorders>
          </w:tcPr>
          <w:p w14:paraId="73BC7925">
            <w:pPr>
              <w:spacing w:after="0" w:line="240" w:lineRule="auto"/>
            </w:pPr>
            <w:r>
              <w:t>1.32</w:t>
            </w:r>
          </w:p>
        </w:tc>
        <w:tc>
          <w:tcPr>
            <w:tcBorders>
              <w:top w:val="single" w:color="000000" w:sz="0" w:space="0"/>
              <w:left w:val="single" w:color="000000" w:sz="0" w:space="0"/>
              <w:bottom w:val="single" w:color="000000" w:sz="0" w:space="0"/>
            </w:tcBorders>
          </w:tcPr>
          <w:p w14:paraId="7E021DBD">
            <w:pPr>
              <w:spacing w:after="0" w:line="240" w:lineRule="auto"/>
            </w:pPr>
            <w:r>
              <w:t>4.70</w:t>
            </w:r>
          </w:p>
        </w:tc>
        <w:tc>
          <w:tcPr>
            <w:tcBorders>
              <w:top w:val="single" w:color="000000" w:sz="0" w:space="0"/>
              <w:left w:val="single" w:color="000000" w:sz="0" w:space="0"/>
              <w:bottom w:val="single" w:color="000000" w:sz="0" w:space="0"/>
            </w:tcBorders>
          </w:tcPr>
          <w:p w14:paraId="3ACF4094">
            <w:pPr>
              <w:spacing w:after="0" w:line="240" w:lineRule="auto"/>
            </w:pPr>
            <w:r>
              <w:t>0.03</w:t>
            </w:r>
          </w:p>
        </w:tc>
      </w:tr>
      <w:tr w14:paraId="39C4AC90">
        <w:trPr>
          <w:cantSplit/>
          <w:tblCellSpacing w:w="0" w:type="dxa"/>
          <w:jc w:val="center"/>
        </w:trPr>
        <w:tc>
          <w:tcPr>
            <w:tcBorders>
              <w:top w:val="single" w:color="000000" w:sz="0" w:space="0"/>
              <w:bottom w:val="single" w:color="000000" w:sz="0" w:space="0"/>
            </w:tcBorders>
          </w:tcPr>
          <w:p w14:paraId="59D5D664">
            <w:pPr>
              <w:spacing w:after="0" w:line="240" w:lineRule="auto"/>
            </w:pPr>
            <w:r>
              <w:t>COD (mg/L)</w:t>
            </w:r>
          </w:p>
        </w:tc>
        <w:tc>
          <w:tcPr>
            <w:tcBorders>
              <w:top w:val="single" w:color="000000" w:sz="0" w:space="0"/>
              <w:left w:val="single" w:color="000000" w:sz="0" w:space="0"/>
              <w:bottom w:val="single" w:color="000000" w:sz="0" w:space="0"/>
            </w:tcBorders>
          </w:tcPr>
          <w:p w14:paraId="3557439A">
            <w:pPr>
              <w:spacing w:after="0" w:line="240" w:lineRule="auto"/>
            </w:pPr>
            <w:r>
              <w:t>19.98</w:t>
            </w:r>
          </w:p>
        </w:tc>
        <w:tc>
          <w:tcPr>
            <w:tcBorders>
              <w:top w:val="single" w:color="000000" w:sz="0" w:space="0"/>
              <w:left w:val="single" w:color="000000" w:sz="0" w:space="0"/>
              <w:bottom w:val="single" w:color="000000" w:sz="0" w:space="0"/>
            </w:tcBorders>
          </w:tcPr>
          <w:p w14:paraId="7271B56A">
            <w:pPr>
              <w:spacing w:after="0" w:line="240" w:lineRule="auto"/>
            </w:pPr>
            <w:r>
              <w:t>5.00</w:t>
            </w:r>
          </w:p>
        </w:tc>
        <w:tc>
          <w:tcPr>
            <w:tcBorders>
              <w:top w:val="single" w:color="000000" w:sz="0" w:space="0"/>
              <w:left w:val="single" w:color="000000" w:sz="0" w:space="0"/>
              <w:bottom w:val="single" w:color="000000" w:sz="0" w:space="0"/>
            </w:tcBorders>
          </w:tcPr>
          <w:p w14:paraId="767230F6">
            <w:pPr>
              <w:spacing w:after="0" w:line="240" w:lineRule="auto"/>
            </w:pPr>
            <w:r>
              <w:t>2.09</w:t>
            </w:r>
          </w:p>
        </w:tc>
        <w:tc>
          <w:tcPr>
            <w:tcBorders>
              <w:top w:val="single" w:color="000000" w:sz="0" w:space="0"/>
              <w:left w:val="single" w:color="000000" w:sz="0" w:space="0"/>
              <w:bottom w:val="single" w:color="000000" w:sz="0" w:space="0"/>
            </w:tcBorders>
          </w:tcPr>
          <w:p w14:paraId="7E391B59">
            <w:pPr>
              <w:spacing w:after="0" w:line="240" w:lineRule="auto"/>
            </w:pPr>
            <w:r>
              <w:t>51.09</w:t>
            </w:r>
          </w:p>
        </w:tc>
        <w:tc>
          <w:tcPr>
            <w:tcBorders>
              <w:top w:val="single" w:color="000000" w:sz="0" w:space="0"/>
              <w:left w:val="single" w:color="000000" w:sz="0" w:space="0"/>
              <w:bottom w:val="single" w:color="000000" w:sz="0" w:space="0"/>
            </w:tcBorders>
          </w:tcPr>
          <w:p w14:paraId="18B66E3B">
            <w:pPr>
              <w:spacing w:after="0" w:line="240" w:lineRule="auto"/>
            </w:pPr>
            <w:r>
              <w:t>0.06</w:t>
            </w:r>
          </w:p>
        </w:tc>
      </w:tr>
      <w:tr w14:paraId="596379E1">
        <w:trPr>
          <w:cantSplit/>
          <w:tblCellSpacing w:w="0" w:type="dxa"/>
          <w:jc w:val="center"/>
        </w:trPr>
        <w:tc>
          <w:tcPr>
            <w:tcBorders>
              <w:top w:val="single" w:color="000000" w:sz="0" w:space="0"/>
              <w:bottom w:val="single" w:color="000000" w:sz="0" w:space="0"/>
            </w:tcBorders>
          </w:tcPr>
          <w:p w14:paraId="1F4BFF20">
            <w:pPr>
              <w:spacing w:after="0" w:line="240" w:lineRule="auto"/>
            </w:pPr>
            <w:r>
              <w:t>BOD (mg/L)</w:t>
            </w:r>
          </w:p>
        </w:tc>
        <w:tc>
          <w:tcPr>
            <w:tcBorders>
              <w:top w:val="single" w:color="000000" w:sz="0" w:space="0"/>
              <w:left w:val="single" w:color="000000" w:sz="0" w:space="0"/>
              <w:bottom w:val="single" w:color="000000" w:sz="0" w:space="0"/>
            </w:tcBorders>
          </w:tcPr>
          <w:p w14:paraId="293776F2">
            <w:pPr>
              <w:spacing w:after="0" w:line="240" w:lineRule="auto"/>
            </w:pPr>
            <w:r>
              <w:t>4.03</w:t>
            </w:r>
          </w:p>
        </w:tc>
        <w:tc>
          <w:tcPr>
            <w:tcBorders>
              <w:top w:val="single" w:color="000000" w:sz="0" w:space="0"/>
              <w:left w:val="single" w:color="000000" w:sz="0" w:space="0"/>
              <w:bottom w:val="single" w:color="000000" w:sz="0" w:space="0"/>
            </w:tcBorders>
          </w:tcPr>
          <w:p w14:paraId="18730331">
            <w:pPr>
              <w:spacing w:after="0" w:line="240" w:lineRule="auto"/>
            </w:pPr>
            <w:r>
              <w:t>1.10</w:t>
            </w:r>
          </w:p>
        </w:tc>
        <w:tc>
          <w:tcPr>
            <w:tcBorders>
              <w:top w:val="single" w:color="000000" w:sz="0" w:space="0"/>
              <w:left w:val="single" w:color="000000" w:sz="0" w:space="0"/>
              <w:bottom w:val="single" w:color="000000" w:sz="0" w:space="0"/>
            </w:tcBorders>
          </w:tcPr>
          <w:p w14:paraId="2CF49BA9">
            <w:pPr>
              <w:spacing w:after="0" w:line="240" w:lineRule="auto"/>
            </w:pPr>
            <w:r>
              <w:t>0.68</w:t>
            </w:r>
          </w:p>
        </w:tc>
        <w:tc>
          <w:tcPr>
            <w:tcBorders>
              <w:top w:val="single" w:color="000000" w:sz="0" w:space="0"/>
              <w:left w:val="single" w:color="000000" w:sz="0" w:space="0"/>
              <w:bottom w:val="single" w:color="000000" w:sz="0" w:space="0"/>
            </w:tcBorders>
          </w:tcPr>
          <w:p w14:paraId="6A27528B">
            <w:pPr>
              <w:spacing w:after="0" w:line="240" w:lineRule="auto"/>
            </w:pPr>
            <w:r>
              <w:t>8.79</w:t>
            </w:r>
          </w:p>
        </w:tc>
        <w:tc>
          <w:tcPr>
            <w:tcBorders>
              <w:top w:val="single" w:color="000000" w:sz="0" w:space="0"/>
              <w:left w:val="single" w:color="000000" w:sz="0" w:space="0"/>
              <w:bottom w:val="single" w:color="000000" w:sz="0" w:space="0"/>
            </w:tcBorders>
          </w:tcPr>
          <w:p w14:paraId="60819589">
            <w:pPr>
              <w:spacing w:after="0" w:line="240" w:lineRule="auto"/>
            </w:pPr>
            <w:r>
              <w:t>0.13</w:t>
            </w:r>
          </w:p>
        </w:tc>
      </w:tr>
    </w:tbl>
    <w:p w14:paraId="29651BC7">
      <w:pPr>
        <w:snapToGrid/>
        <w:spacing w:beforeAutospacing="0" w:after="0" w:afterAutospacing="0" w:line="400" w:lineRule="exact"/>
        <w:ind w:left="0" w:leftChars="0" w:right="0" w:rightChars="0" w:firstLine="480" w:firstLineChars="200"/>
        <w:jc w:val="both"/>
        <w:rPr>
          <w:rFonts w:ascii="Times New Roman" w:eastAsia="宋体"/>
          <w:sz w:val="24"/>
        </w:rPr>
      </w:pPr>
    </w:p>
    <w:p w14:paraId="1CF7DE32">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从表5可以看出，大部分指标呈现近似对称的分布，偏度值接近零。例如，pH值（偏度=0.02）、溶解氧（偏度=-0.02）、氨氮（偏度=-0.03）等，说明这些指标的观测值在均值附近较为集中。浊度是为数不多表现出一定右偏特征的指标（偏度=0.77），意味着虽然大部分水体较为清澈，但存在部分浊度较高的观测点，这可能与降雨径流、工程扰动或藻类暴发等因素有关。化学需氧量（COD偏度=0.06）和生化需氧量（BOD偏度=0.13）等有机污染指标的分布同样相对对称，表明极端高值污染事件在整体样本中所占比例有限。</w:t>
      </w:r>
    </w:p>
    <w:p w14:paraId="205063EA">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指标间相关性分析对于理解水质系统的内在机制至关重要。相关性分析揭示了多个指标对之间存在显著的线性关系。化学需氧量（COD）与生化需氧量（BOD）之间呈现强正相关（r=0.82），这符合两者均反映有机污染的物理化学机制，BOD是可生物降解有机物的度量，而COD则包含所有可化学氧化的物质，前者是后者的子集。总氮（TN）与氨氮（NH₃-N）之间同样存在中等强度的正相关（r=0.65），反映了氮循环中不同形态氮的转化关系。总磷（TP）与总氮（TN）的相关系数为r=0.58，表明营养盐污染往往协同发生，这与农业面源污染和生活污水排放的特征一致。</w:t>
      </w:r>
    </w:p>
    <w:p w14:paraId="31AB1B9A">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浊度（Turbidity）与COD呈现中等正相关（r=0.58），说明悬浮物污染与有机污染具有一定的关联性，可能源于径流冲刷携带的颗粒物表面吸附有机污染物。溶解氧（DO）与COD之间呈现弱负相关（r=-0.32），这反映了有机物降解消耗氧气的基本生态过程。然而，需要注意的是，DO受到大气复氧、水温和流速等多种因素的影响，因此其与化学污染指标的相关性相对较弱。pH值与大部分水质指标的相关性均较弱（|r|&lt;0.2），这是因为自然水体的缓冲系统（主要是碳酸盐体系）能够抵抗pH的剧烈变化，只有在污染物浓度极高、超过缓冲容量时，pH才会发生显著变化。</w:t>
      </w:r>
    </w:p>
    <w:p w14:paraId="71200954">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[TODO] 图8 主要水质指标相关性热力图</w:t>
      </w:r>
      <w:r>
        <w:rPr>
          <w:rFonts w:ascii="Times New Roman" w:hAnsi="Georgia" w:eastAsia="宋体" w:cs="Georgia"/>
          <w:sz w:val="24"/>
        </w:rPr>
        <w:t>（待补充）</w:t>
      </w:r>
    </w:p>
    <w:p w14:paraId="28E88FE0">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8将以热力图形式展示16个主要水质指标之间的Pearson相关系数矩阵。热力图使用颜色渐变表示相关性强度（红色表示强正相关，蓝色表示强负相关，白色表示无相关）。关键发现包括，COD与BOD强正相关（r=0.82）、TN与氨氮中等正相关（r=0.65）、TP与TN中等正相关（r=0.58）、DO与COD弱负相关（r=-0.32）。该图为后续的特征工程和模型构建提供了重要参考，特别是在处理多重共线性和选择预测特征时需要考虑这些相关性结构。</w:t>
      </w:r>
    </w:p>
    <w:p w14:paraId="49FC21EA">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时间分布方面，2023年的观测记录占据了绝对主导地位，达13,820条（89.0%），而2024年的记录仅为1,704条（11.0%）。这一不均衡分布主要由数据收集的时间窗口决定，2024年的数据截止至12月，但实际收集工作可能集中在上半年。这种时间分布特征对时间序列预测任务构成了挑战，因为训练集和测试集的样本量差异悬殊，且2024年数据的季节性覆盖不完整。此外，如3.3节所述，采样间隔的高度不规则性进一步加剧了时间序列建模的困难，这也是本研究选择以横截面方法为主的重要原因之一。</w:t>
      </w:r>
    </w:p>
    <w:p w14:paraId="052F2EAB">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49" w:name="bm_3_6_特征工程"/>
      <w:bookmarkStart w:id="50" w:name="_Toc1632429227"/>
      <w:r>
        <w:rPr>
          <w:rFonts w:ascii="黑体" w:hAnsi="Georgia" w:eastAsia="黑体" w:cs="Georgia"/>
          <w:b w:val="0"/>
          <w:sz w:val="28"/>
        </w:rPr>
        <w:t>3.6 特征工程</w:t>
      </w:r>
      <w:bookmarkEnd w:id="49"/>
      <w:bookmarkEnd w:id="50"/>
    </w:p>
    <w:p w14:paraId="60144710">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为了增强模型对水质状况的理解能力和预测精度，本研究在原始指标的基础上构建了多层次的特征体系，包括工程特征、时间特征和空间特征三大类。</w:t>
      </w:r>
    </w:p>
    <w:p w14:paraId="5811C918">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基于原始水质指标的物理化学关系，本研究创建了3个复合工程特征。首先是重金属总量（Total_Heavy_Metals_ug_L），通过累加铅（Pb）、镉（Cd）、汞（Hg）三种重金属的浓度，综合反映重金属污染的整体水平。这一合并策略既保留了重金属污染的整体信息，又有效减少了特征维度，避免了因三者高度相关而导致的多重共线性问题。计算公式为，</w:t>
      </w:r>
    </w:p>
    <w:p w14:paraId="5B626FD3">
      <w:pPr>
        <w:snapToGrid/>
        <w:spacing w:beforeAutospacing="0" w:after="0" w:afterAutospacing="0" w:line="400" w:lineRule="exact"/>
        <w:ind w:left="0" w:leftChars="0" w:right="0" w:rightChars="0" w:firstLine="480" w:firstLineChars="200"/>
        <w:jc w:val="both"/>
        <w:rPr>
          <w:rFonts w:ascii="Times New Roman" w:eastAsia="宋体"/>
          <w:sz w:val="24"/>
        </w:rPr>
      </w:pPr>
      <m:oMathPara>
        <m:oMath>
          <m:r>
            <m:rPr>
              <m:nor/>
              <m:sty m:val="p"/>
            </m:rPr>
            <w:rPr>
              <w:rFonts w:ascii="Times New Roman" w:hAnsi="Times New Roman" w:eastAsia="宋体"/>
              <w:b w:val="0"/>
              <w:i w:val="0"/>
              <w:sz w:val="24"/>
            </w:rPr>
            <m:t>Total\_Heavy\_Metals</m:t>
          </m:r>
          <m:r>
            <m:rPr>
              <m:sty m:val="p"/>
            </m:rPr>
            <w:rPr>
              <w:rFonts w:ascii="Times New Roman" w:hAnsi="Times New Roman" w:eastAsia="宋体"/>
              <w:sz w:val="24"/>
            </w:rPr>
            <m:t>=</m:t>
          </m:r>
          <m:r>
            <m:rPr>
              <m:nor/>
              <m:sty m:val="p"/>
            </m:rPr>
            <w:rPr>
              <w:rFonts w:ascii="Times New Roman" w:hAnsi="Times New Roman" w:eastAsia="宋体"/>
              <w:sz w:val="24"/>
            </w:rPr>
            <m:t>Pb</m:t>
          </m:r>
          <m:r>
            <m:rPr>
              <m:sty m:val="p"/>
            </m:rPr>
            <w:rPr>
              <w:rFonts w:ascii="Times New Roman" w:hAnsi="Times New Roman" w:eastAsia="宋体"/>
              <w:sz w:val="24"/>
            </w:rPr>
            <m:t>+</m:t>
          </m:r>
          <m:r>
            <m:rPr>
              <m:nor/>
              <m:sty m:val="p"/>
            </m:rPr>
            <w:rPr>
              <w:rFonts w:ascii="Times New Roman" w:hAnsi="Times New Roman" w:eastAsia="宋体"/>
              <w:sz w:val="24"/>
            </w:rPr>
            <m:t>Cd</m:t>
          </m:r>
          <m:r>
            <m:rPr>
              <m:sty m:val="p"/>
            </m:rPr>
            <w:rPr>
              <w:rFonts w:ascii="Times New Roman" w:hAnsi="Times New Roman" w:eastAsia="宋体"/>
              <w:sz w:val="24"/>
            </w:rPr>
            <m:t>+</m:t>
          </m:r>
          <m:r>
            <m:rPr>
              <m:nor/>
              <m:sty m:val="p"/>
            </m:rPr>
            <w:rPr>
              <w:rFonts w:ascii="Times New Roman" w:hAnsi="Times New Roman" w:eastAsia="宋体"/>
              <w:sz w:val="24"/>
            </w:rPr>
            <m:t>Hg</m:t>
          </m:r>
          <m:r>
            <m:rPr>
              <m:sty m:val="p"/>
            </m:rPr>
            <w:rPr>
              <w:rFonts w:ascii="Times New Roman" w:hAnsi="Times New Roman" w:eastAsia="宋体"/>
              <w:sz w:val="24"/>
            </w:rPr>
            <m:t xml:space="preserve"> (</m:t>
          </m:r>
          <m:r>
            <m:rPr/>
            <w:rPr>
              <w:rFonts w:ascii="Times New Roman" w:hAnsi="Times New Roman" w:eastAsia="宋体"/>
              <w:sz w:val="24"/>
            </w:rPr>
            <m:t>μ</m:t>
          </m:r>
          <m:r>
            <m:rPr>
              <m:nor/>
              <m:sty m:val="p"/>
            </m:rPr>
            <w:rPr>
              <w:rFonts w:ascii="Times New Roman" w:hAnsi="Times New Roman" w:eastAsia="宋体"/>
              <w:b w:val="0"/>
              <w:i w:val="0"/>
              <w:sz w:val="24"/>
            </w:rPr>
            <m:t>g/L</m:t>
          </m:r>
          <m:r>
            <m:rPr>
              <m:sty m:val="p"/>
            </m:rPr>
            <w:rPr>
              <w:rFonts w:ascii="Times New Roman" w:hAnsi="Times New Roman" w:eastAsia="宋体"/>
              <w:sz w:val="24"/>
            </w:rPr>
            <m:t>)</m:t>
          </m:r>
        </m:oMath>
      </m:oMathPara>
    </w:p>
    <w:p w14:paraId="22FBA55F">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其次是COD/BOD比值（COD_BOD_Ratio），该比值可以指示水体中难生物降解有机物的比例。工业废水通常含有大量难降解有机物，该比值较高（&gt;3），而生活污水以易降解有机物为主，比值较低（&lt;2）。通过该特征，模型可以间接识别污染源类型。最后是氮磷比（NP_Ratio），即总氮与总磷的浓度比，这一指标对于评估水体富营养化风险和藻类暴发的可能性具有重要参考价值。根据Redfield比（N，P=16，1），当氮磷比偏离该值时，水体营养盐结构失衡，藻类生长可能受到限制或过度繁殖。</w:t>
      </w:r>
    </w:p>
    <w:p w14:paraId="2D912257">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虽然数据采样高度不规则，但时间信息仍可能蕴含季节性规律。本研究提取了以下时间特征，月份（Month，1-12）、月份的正弦和余弦编码（sin_month、cos_month，用于捕捉周期性）、年内日期（Day_of_year，1-365）及其正弦余弦编码（sin_day、cos_day）、年份（Year）。正弦余弦编码能够将循环时间转化为连续变量，避免12月和1月之间的人为断裂（如果直接使用月份数值，12和1之间距离为11，但实际上它们相邻）。</w:t>
      </w:r>
    </w:p>
    <w:p w14:paraId="7F129862">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地理位置信息通过两种方式纳入模型。一是省份标签编码（Province_encoded），将10个省份映射为0-9的整数，能够捕捉不同行政区域在环境治理政策、产业结构和污染源分布上的系统性差异。二是经纬度坐标（Longitude、Latitude），提供了更精细的空间定位信息，使模型能够学习地理渐变效应（如从东部沿海到西部内陆的水质梯度）。</w:t>
      </w:r>
    </w:p>
    <w:p w14:paraId="1F517F53">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经过上述特征工程，最终模型输入包含26个特征，13个基础水质指标（排除3个重金属单独指标）+1个重金属总量+3个工程特征+7个时间特征+2个空间特征。特别需要说明的是，在污染等级分类任务中，输入特征不包含综合水质指数（Water_Quality_Index, WQI），以避免信息泄漏。WQI与污染等级（Pollution_Level）均由GB 3838-2002标准根据水质指标计算得出，若将WQI作为预测特征，模型将退化为"查表规则"的数值拟合，失去预测的实质意义。因此，分类模型仅使用原始水质指标、地理特征和工程特征，确保学习的是真实的指标-污染等级映射关系。</w:t>
      </w:r>
    </w:p>
    <w:p w14:paraId="60ED33EA">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所有数值特征在输入模型前均使用StandardScaler进行标准化（转换为均值0、标准差1的分布），标准化参数仅基于训练集拟合，避免测试集信息泄漏。表6总结了特征工程的详细配置。</w:t>
      </w:r>
    </w:p>
    <w:p w14:paraId="368DFA15">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表6 特征工程配置汇总</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638"/>
        <w:gridCol w:w="584"/>
        <w:gridCol w:w="5199"/>
        <w:gridCol w:w="1873"/>
        <w:gridCol w:w="676"/>
      </w:tblGrid>
      <w:tr w14:paraId="4FD077C1">
        <w:trPr>
          <w:cantSplit/>
          <w:tblCellSpacing w:w="0" w:type="dxa"/>
          <w:jc w:val="center"/>
        </w:trPr>
        <w:tc>
          <w:tcPr>
            <w:tcBorders>
              <w:top w:val="single" w:color="000000" w:sz="0" w:space="0"/>
              <w:bottom w:val="single" w:color="000000" w:sz="0" w:space="0"/>
            </w:tcBorders>
          </w:tcPr>
          <w:p w14:paraId="1C810ABC">
            <w:pPr>
              <w:spacing w:after="0" w:line="240" w:lineRule="auto"/>
            </w:pPr>
            <w:r>
              <w:rPr>
                <w:rFonts w:ascii="Georgia" w:hAnsi="Georgia" w:eastAsia="Georgia" w:cs="Georgia"/>
              </w:rPr>
              <w:t>特征类别</w:t>
            </w:r>
          </w:p>
        </w:tc>
        <w:tc>
          <w:tcPr>
            <w:tcBorders>
              <w:top w:val="single" w:color="000000" w:sz="0" w:space="0"/>
              <w:left w:val="single" w:color="000000" w:sz="0" w:space="0"/>
              <w:bottom w:val="single" w:color="000000" w:sz="0" w:space="0"/>
            </w:tcBorders>
          </w:tcPr>
          <w:p w14:paraId="217D9AF3">
            <w:pPr>
              <w:spacing w:after="0" w:line="240" w:lineRule="auto"/>
            </w:pPr>
            <w:r>
              <w:rPr>
                <w:rFonts w:ascii="Georgia" w:hAnsi="Georgia" w:eastAsia="Georgia" w:cs="Georgia"/>
              </w:rPr>
              <w:t>数量</w:t>
            </w:r>
          </w:p>
        </w:tc>
        <w:tc>
          <w:tcPr>
            <w:tcBorders>
              <w:top w:val="single" w:color="000000" w:sz="0" w:space="0"/>
              <w:left w:val="single" w:color="000000" w:sz="0" w:space="0"/>
              <w:bottom w:val="single" w:color="000000" w:sz="0" w:space="0"/>
            </w:tcBorders>
          </w:tcPr>
          <w:p w14:paraId="6FD1ADB9">
            <w:pPr>
              <w:spacing w:after="0" w:line="240" w:lineRule="auto"/>
            </w:pPr>
            <w:r>
              <w:rPr>
                <w:rFonts w:ascii="Georgia" w:hAnsi="Georgia" w:eastAsia="Georgia" w:cs="Georgia"/>
              </w:rPr>
              <w:t>具体特征</w:t>
            </w:r>
          </w:p>
        </w:tc>
        <w:tc>
          <w:tcPr>
            <w:tcBorders>
              <w:top w:val="single" w:color="000000" w:sz="0" w:space="0"/>
              <w:left w:val="single" w:color="000000" w:sz="0" w:space="0"/>
              <w:bottom w:val="single" w:color="000000" w:sz="0" w:space="0"/>
            </w:tcBorders>
          </w:tcPr>
          <w:p w14:paraId="6FED9678">
            <w:pPr>
              <w:spacing w:after="0" w:line="240" w:lineRule="auto"/>
            </w:pPr>
            <w:r>
              <w:rPr>
                <w:rFonts w:ascii="Georgia" w:hAnsi="Georgia" w:eastAsia="Georgia" w:cs="Georgia"/>
              </w:rPr>
              <w:t>预处理方法</w:t>
            </w:r>
          </w:p>
        </w:tc>
        <w:tc>
          <w:tcPr>
            <w:tcBorders>
              <w:top w:val="single" w:color="000000" w:sz="0" w:space="0"/>
              <w:left w:val="single" w:color="000000" w:sz="0" w:space="0"/>
              <w:bottom w:val="single" w:color="000000" w:sz="0" w:space="0"/>
            </w:tcBorders>
          </w:tcPr>
          <w:p w14:paraId="531880B3">
            <w:pPr>
              <w:spacing w:after="0" w:line="240" w:lineRule="auto"/>
            </w:pPr>
            <w:r>
              <w:rPr>
                <w:rFonts w:ascii="Georgia" w:hAnsi="Georgia" w:eastAsia="Georgia" w:cs="Georgia"/>
              </w:rPr>
              <w:t>用途</w:t>
            </w:r>
          </w:p>
        </w:tc>
      </w:tr>
      <w:tr w14:paraId="5F803E8E">
        <w:trPr>
          <w:cantSplit/>
          <w:tblCellSpacing w:w="0" w:type="dxa"/>
          <w:jc w:val="center"/>
        </w:trPr>
        <w:tc>
          <w:tcPr>
            <w:tcBorders>
              <w:top w:val="single" w:color="000000" w:sz="0" w:space="0"/>
              <w:bottom w:val="single" w:color="000000" w:sz="0" w:space="0"/>
            </w:tcBorders>
          </w:tcPr>
          <w:p w14:paraId="790CDC66">
            <w:pPr>
              <w:spacing w:after="0" w:line="240" w:lineRule="auto"/>
            </w:pPr>
            <w:r>
              <w:rPr>
                <w:rFonts w:ascii="Georgia" w:hAnsi="Georgia" w:eastAsia="Georgia" w:cs="Georgia"/>
              </w:rPr>
              <w:t>基础水质指标</w:t>
            </w:r>
          </w:p>
        </w:tc>
        <w:tc>
          <w:tcPr>
            <w:tcBorders>
              <w:top w:val="single" w:color="000000" w:sz="0" w:space="0"/>
              <w:left w:val="single" w:color="000000" w:sz="0" w:space="0"/>
              <w:bottom w:val="single" w:color="000000" w:sz="0" w:space="0"/>
            </w:tcBorders>
          </w:tcPr>
          <w:p w14:paraId="4E10D2CE">
            <w:pPr>
              <w:spacing w:after="0" w:line="240" w:lineRule="auto"/>
            </w:pPr>
            <w:r>
              <w:t>13</w:t>
            </w:r>
          </w:p>
        </w:tc>
        <w:tc>
          <w:tcPr>
            <w:tcBorders>
              <w:top w:val="single" w:color="000000" w:sz="0" w:space="0"/>
              <w:left w:val="single" w:color="000000" w:sz="0" w:space="0"/>
              <w:bottom w:val="single" w:color="000000" w:sz="0" w:space="0"/>
            </w:tcBorders>
          </w:tcPr>
          <w:p w14:paraId="1B9A2EA3">
            <w:pPr>
              <w:spacing w:after="0" w:line="240" w:lineRule="auto"/>
            </w:pPr>
            <w:r>
              <w:rPr>
                <w:rFonts w:ascii="Georgia" w:hAnsi="Georgia" w:eastAsia="Georgia" w:cs="Georgia"/>
              </w:rPr>
              <w:t>Water_Temperature_C, pH, Dissolved_Oxygen_mg_L, Conductivity_uS_cm, Turbidity_NTU, COD_mg_L, BOD_mg_L, Ammonia_N_mg_L, Total_Nitrogen_mg_L, Total_Phosphorus_mg_L, Nitrate_mg_L, Nitrite_mg_L, Coliform_Count_CFU_100mL</w:t>
            </w:r>
          </w:p>
        </w:tc>
        <w:tc>
          <w:tcPr>
            <w:tcBorders>
              <w:top w:val="single" w:color="000000" w:sz="0" w:space="0"/>
              <w:left w:val="single" w:color="000000" w:sz="0" w:space="0"/>
              <w:bottom w:val="single" w:color="000000" w:sz="0" w:space="0"/>
            </w:tcBorders>
          </w:tcPr>
          <w:p w14:paraId="452ACF45">
            <w:pPr>
              <w:spacing w:after="0" w:line="240" w:lineRule="auto"/>
            </w:pPr>
            <w:r>
              <w:rPr>
                <w:rFonts w:ascii="Georgia" w:hAnsi="Georgia" w:eastAsia="Georgia" w:cs="Georgia"/>
              </w:rPr>
              <w:t>StandardScaler标准化</w:t>
            </w:r>
          </w:p>
        </w:tc>
        <w:tc>
          <w:tcPr>
            <w:tcBorders>
              <w:top w:val="single" w:color="000000" w:sz="0" w:space="0"/>
              <w:left w:val="single" w:color="000000" w:sz="0" w:space="0"/>
              <w:bottom w:val="single" w:color="000000" w:sz="0" w:space="0"/>
            </w:tcBorders>
          </w:tcPr>
          <w:p w14:paraId="50C4FB74">
            <w:pPr>
              <w:spacing w:after="0" w:line="240" w:lineRule="auto"/>
            </w:pPr>
            <w:r>
              <w:rPr>
                <w:rFonts w:ascii="Georgia" w:hAnsi="Georgia" w:eastAsia="Georgia" w:cs="Georgia"/>
              </w:rPr>
              <w:t>核心预测变量</w:t>
            </w:r>
          </w:p>
        </w:tc>
      </w:tr>
      <w:tr w14:paraId="6F4C4A0A">
        <w:trPr>
          <w:cantSplit/>
          <w:tblCellSpacing w:w="0" w:type="dxa"/>
          <w:jc w:val="center"/>
        </w:trPr>
        <w:tc>
          <w:tcPr>
            <w:tcBorders>
              <w:top w:val="single" w:color="000000" w:sz="0" w:space="0"/>
              <w:bottom w:val="single" w:color="000000" w:sz="0" w:space="0"/>
            </w:tcBorders>
          </w:tcPr>
          <w:p w14:paraId="30D12A99">
            <w:pPr>
              <w:spacing w:after="0" w:line="240" w:lineRule="auto"/>
            </w:pPr>
            <w:r>
              <w:rPr>
                <w:rFonts w:ascii="Georgia" w:hAnsi="Georgia" w:eastAsia="Georgia" w:cs="Georgia"/>
              </w:rPr>
              <w:t>工程特征</w:t>
            </w:r>
          </w:p>
        </w:tc>
        <w:tc>
          <w:tcPr>
            <w:tcBorders>
              <w:top w:val="single" w:color="000000" w:sz="0" w:space="0"/>
              <w:left w:val="single" w:color="000000" w:sz="0" w:space="0"/>
              <w:bottom w:val="single" w:color="000000" w:sz="0" w:space="0"/>
            </w:tcBorders>
          </w:tcPr>
          <w:p w14:paraId="53B5915B">
            <w:pPr>
              <w:spacing w:after="0" w:line="240" w:lineRule="auto"/>
            </w:pPr>
            <w:r>
              <w:t>3</w:t>
            </w:r>
          </w:p>
        </w:tc>
        <w:tc>
          <w:tcPr>
            <w:tcBorders>
              <w:top w:val="single" w:color="000000" w:sz="0" w:space="0"/>
              <w:left w:val="single" w:color="000000" w:sz="0" w:space="0"/>
              <w:bottom w:val="single" w:color="000000" w:sz="0" w:space="0"/>
            </w:tcBorders>
          </w:tcPr>
          <w:p w14:paraId="7239F81A">
            <w:pPr>
              <w:spacing w:after="0" w:line="240" w:lineRule="auto"/>
            </w:pPr>
            <w:r>
              <w:rPr>
                <w:rFonts w:ascii="Georgia" w:hAnsi="Georgia" w:eastAsia="Georgia" w:cs="Georgia"/>
              </w:rPr>
              <w:t>Total_Heavy_Metals_ug_L, COD_BOD_Ratio, NP_Ratio</w:t>
            </w:r>
          </w:p>
        </w:tc>
        <w:tc>
          <w:tcPr>
            <w:tcBorders>
              <w:top w:val="single" w:color="000000" w:sz="0" w:space="0"/>
              <w:left w:val="single" w:color="000000" w:sz="0" w:space="0"/>
              <w:bottom w:val="single" w:color="000000" w:sz="0" w:space="0"/>
            </w:tcBorders>
          </w:tcPr>
          <w:p w14:paraId="10F09197">
            <w:pPr>
              <w:spacing w:after="0" w:line="240" w:lineRule="auto"/>
            </w:pPr>
            <w:r>
              <w:rPr>
                <w:rFonts w:ascii="Georgia" w:hAnsi="Georgia" w:eastAsia="Georgia" w:cs="Georgia"/>
              </w:rPr>
              <w:t>StandardScaler标准化</w:t>
            </w:r>
          </w:p>
        </w:tc>
        <w:tc>
          <w:tcPr>
            <w:tcBorders>
              <w:top w:val="single" w:color="000000" w:sz="0" w:space="0"/>
              <w:left w:val="single" w:color="000000" w:sz="0" w:space="0"/>
              <w:bottom w:val="single" w:color="000000" w:sz="0" w:space="0"/>
            </w:tcBorders>
          </w:tcPr>
          <w:p w14:paraId="3CA904E6">
            <w:pPr>
              <w:spacing w:after="0" w:line="240" w:lineRule="auto"/>
            </w:pPr>
            <w:r>
              <w:rPr>
                <w:rFonts w:ascii="Georgia" w:hAnsi="Georgia" w:eastAsia="Georgia" w:cs="Georgia"/>
              </w:rPr>
              <w:t>增强非线性关系</w:t>
            </w:r>
          </w:p>
        </w:tc>
      </w:tr>
      <w:tr w14:paraId="1E95C65C">
        <w:trPr>
          <w:cantSplit/>
          <w:tblCellSpacing w:w="0" w:type="dxa"/>
          <w:jc w:val="center"/>
        </w:trPr>
        <w:tc>
          <w:tcPr>
            <w:tcBorders>
              <w:top w:val="single" w:color="000000" w:sz="0" w:space="0"/>
              <w:bottom w:val="single" w:color="000000" w:sz="0" w:space="0"/>
            </w:tcBorders>
          </w:tcPr>
          <w:p w14:paraId="11BF6A42">
            <w:pPr>
              <w:spacing w:after="0" w:line="240" w:lineRule="auto"/>
            </w:pPr>
            <w:r>
              <w:rPr>
                <w:rFonts w:ascii="Georgia" w:hAnsi="Georgia" w:eastAsia="Georgia" w:cs="Georgia"/>
              </w:rPr>
              <w:t>时间特征</w:t>
            </w:r>
          </w:p>
        </w:tc>
        <w:tc>
          <w:tcPr>
            <w:tcBorders>
              <w:top w:val="single" w:color="000000" w:sz="0" w:space="0"/>
              <w:left w:val="single" w:color="000000" w:sz="0" w:space="0"/>
              <w:bottom w:val="single" w:color="000000" w:sz="0" w:space="0"/>
            </w:tcBorders>
          </w:tcPr>
          <w:p w14:paraId="50F3BAA0">
            <w:pPr>
              <w:spacing w:after="0" w:line="240" w:lineRule="auto"/>
            </w:pPr>
            <w:r>
              <w:t>7</w:t>
            </w:r>
          </w:p>
        </w:tc>
        <w:tc>
          <w:tcPr>
            <w:tcBorders>
              <w:top w:val="single" w:color="000000" w:sz="0" w:space="0"/>
              <w:left w:val="single" w:color="000000" w:sz="0" w:space="0"/>
              <w:bottom w:val="single" w:color="000000" w:sz="0" w:space="0"/>
            </w:tcBorders>
          </w:tcPr>
          <w:p w14:paraId="4BA56EDF">
            <w:pPr>
              <w:spacing w:after="0" w:line="240" w:lineRule="auto"/>
            </w:pPr>
            <w:r>
              <w:rPr>
                <w:rFonts w:ascii="Georgia" w:hAnsi="Georgia" w:eastAsia="Georgia" w:cs="Georgia"/>
              </w:rPr>
              <w:t>Month, sin_month, cos_month, Day_of_year, sin_day, cos_day, Year</w:t>
            </w:r>
          </w:p>
        </w:tc>
        <w:tc>
          <w:tcPr>
            <w:tcBorders>
              <w:top w:val="single" w:color="000000" w:sz="0" w:space="0"/>
              <w:left w:val="single" w:color="000000" w:sz="0" w:space="0"/>
              <w:bottom w:val="single" w:color="000000" w:sz="0" w:space="0"/>
            </w:tcBorders>
          </w:tcPr>
          <w:p w14:paraId="53614529">
            <w:pPr>
              <w:spacing w:after="0" w:line="240" w:lineRule="auto"/>
            </w:pPr>
            <w:r>
              <w:rPr>
                <w:rFonts w:ascii="Georgia" w:hAnsi="Georgia" w:eastAsia="Georgia" w:cs="Georgia"/>
              </w:rPr>
              <w:t>循环编码+标准化</w:t>
            </w:r>
          </w:p>
        </w:tc>
        <w:tc>
          <w:tcPr>
            <w:tcBorders>
              <w:top w:val="single" w:color="000000" w:sz="0" w:space="0"/>
              <w:left w:val="single" w:color="000000" w:sz="0" w:space="0"/>
              <w:bottom w:val="single" w:color="000000" w:sz="0" w:space="0"/>
            </w:tcBorders>
          </w:tcPr>
          <w:p w14:paraId="02D337F0">
            <w:pPr>
              <w:spacing w:after="0" w:line="240" w:lineRule="auto"/>
            </w:pPr>
            <w:r>
              <w:rPr>
                <w:rFonts w:ascii="Georgia" w:hAnsi="Georgia" w:eastAsia="Georgia" w:cs="Georgia"/>
              </w:rPr>
              <w:t>捕捉季节性和趋势</w:t>
            </w:r>
          </w:p>
        </w:tc>
      </w:tr>
      <w:tr w14:paraId="413271D0">
        <w:trPr>
          <w:cantSplit/>
          <w:tblCellSpacing w:w="0" w:type="dxa"/>
          <w:jc w:val="center"/>
        </w:trPr>
        <w:tc>
          <w:tcPr>
            <w:tcBorders>
              <w:top w:val="single" w:color="000000" w:sz="0" w:space="0"/>
              <w:bottom w:val="single" w:color="000000" w:sz="0" w:space="0"/>
            </w:tcBorders>
          </w:tcPr>
          <w:p w14:paraId="0E967DF0">
            <w:pPr>
              <w:spacing w:after="0" w:line="240" w:lineRule="auto"/>
            </w:pPr>
            <w:r>
              <w:rPr>
                <w:rFonts w:ascii="Georgia" w:hAnsi="Georgia" w:eastAsia="Georgia" w:cs="Georgia"/>
              </w:rPr>
              <w:t>空间特征</w:t>
            </w:r>
          </w:p>
        </w:tc>
        <w:tc>
          <w:tcPr>
            <w:tcBorders>
              <w:top w:val="single" w:color="000000" w:sz="0" w:space="0"/>
              <w:left w:val="single" w:color="000000" w:sz="0" w:space="0"/>
              <w:bottom w:val="single" w:color="000000" w:sz="0" w:space="0"/>
            </w:tcBorders>
          </w:tcPr>
          <w:p w14:paraId="23B15D93">
            <w:pPr>
              <w:spacing w:after="0" w:line="240" w:lineRule="auto"/>
            </w:pPr>
            <w:r>
              <w:t>2</w:t>
            </w:r>
          </w:p>
        </w:tc>
        <w:tc>
          <w:tcPr>
            <w:tcBorders>
              <w:top w:val="single" w:color="000000" w:sz="0" w:space="0"/>
              <w:left w:val="single" w:color="000000" w:sz="0" w:space="0"/>
              <w:bottom w:val="single" w:color="000000" w:sz="0" w:space="0"/>
            </w:tcBorders>
          </w:tcPr>
          <w:p w14:paraId="59943B2C">
            <w:pPr>
              <w:spacing w:after="0" w:line="240" w:lineRule="auto"/>
            </w:pPr>
            <w:r>
              <w:rPr>
                <w:rFonts w:ascii="Georgia" w:hAnsi="Georgia" w:eastAsia="Georgia" w:cs="Georgia"/>
              </w:rPr>
              <w:t>Province_encoded, Longitude, Latitude</w:t>
            </w:r>
          </w:p>
        </w:tc>
        <w:tc>
          <w:tcPr>
            <w:tcBorders>
              <w:top w:val="single" w:color="000000" w:sz="0" w:space="0"/>
              <w:left w:val="single" w:color="000000" w:sz="0" w:space="0"/>
              <w:bottom w:val="single" w:color="000000" w:sz="0" w:space="0"/>
            </w:tcBorders>
          </w:tcPr>
          <w:p w14:paraId="258A1BDC">
            <w:pPr>
              <w:spacing w:after="0" w:line="240" w:lineRule="auto"/>
            </w:pPr>
            <w:r>
              <w:rPr>
                <w:rFonts w:ascii="Georgia" w:hAnsi="Georgia" w:eastAsia="Georgia" w:cs="Georgia"/>
              </w:rPr>
              <w:t>LabelEncoder+标准化</w:t>
            </w:r>
          </w:p>
        </w:tc>
        <w:tc>
          <w:tcPr>
            <w:tcBorders>
              <w:top w:val="single" w:color="000000" w:sz="0" w:space="0"/>
              <w:left w:val="single" w:color="000000" w:sz="0" w:space="0"/>
              <w:bottom w:val="single" w:color="000000" w:sz="0" w:space="0"/>
            </w:tcBorders>
          </w:tcPr>
          <w:p w14:paraId="4F5C9B5C">
            <w:pPr>
              <w:spacing w:after="0" w:line="240" w:lineRule="auto"/>
            </w:pPr>
            <w:r>
              <w:rPr>
                <w:rFonts w:ascii="Georgia" w:hAnsi="Georgia" w:eastAsia="Georgia" w:cs="Georgia"/>
              </w:rPr>
              <w:t>捕捉地理差异</w:t>
            </w:r>
          </w:p>
        </w:tc>
      </w:tr>
      <w:tr w14:paraId="4E5CE33B">
        <w:trPr>
          <w:cantSplit/>
          <w:tblCellSpacing w:w="0" w:type="dxa"/>
          <w:jc w:val="center"/>
        </w:trPr>
        <w:tc>
          <w:tcPr>
            <w:tcBorders>
              <w:top w:val="single" w:color="000000" w:sz="0" w:space="0"/>
              <w:bottom w:val="single" w:color="000000" w:sz="0" w:space="0"/>
            </w:tcBorders>
          </w:tcPr>
          <w:p w14:paraId="0913FC95">
            <w:pPr>
              <w:spacing w:after="0" w:line="240" w:lineRule="auto"/>
            </w:pPr>
            <w:r>
              <w:rPr>
                <w:b/>
              </w:rPr>
              <w:t>总计</w:t>
            </w:r>
          </w:p>
        </w:tc>
        <w:tc>
          <w:tcPr>
            <w:tcBorders>
              <w:top w:val="single" w:color="000000" w:sz="0" w:space="0"/>
              <w:left w:val="single" w:color="000000" w:sz="0" w:space="0"/>
              <w:bottom w:val="single" w:color="000000" w:sz="0" w:space="0"/>
            </w:tcBorders>
          </w:tcPr>
          <w:p w14:paraId="09D9AC82">
            <w:pPr>
              <w:spacing w:after="0" w:line="240" w:lineRule="auto"/>
            </w:pPr>
            <w:r>
              <w:rPr>
                <w:b/>
              </w:rPr>
              <w:t>26</w:t>
            </w:r>
          </w:p>
        </w:tc>
        <w:tc>
          <w:tcPr>
            <w:tcBorders>
              <w:top w:val="single" w:color="000000" w:sz="0" w:space="0"/>
              <w:left w:val="single" w:color="000000" w:sz="0" w:space="0"/>
              <w:bottom w:val="single" w:color="000000" w:sz="0" w:space="0"/>
            </w:tcBorders>
          </w:tcPr>
          <w:p w14:paraId="1A72CF4E">
            <w:pPr>
              <w:spacing w:after="0" w:line="240" w:lineRule="auto"/>
            </w:pPr>
            <w:r>
              <w:rPr>
                <w:rFonts w:ascii="Georgia" w:hAnsi="Georgia" w:eastAsia="Georgia" w:cs="Georgia"/>
              </w:rPr>
              <w:t>—</w:t>
            </w:r>
          </w:p>
        </w:tc>
        <w:tc>
          <w:tcPr>
            <w:tcBorders>
              <w:top w:val="single" w:color="000000" w:sz="0" w:space="0"/>
              <w:left w:val="single" w:color="000000" w:sz="0" w:space="0"/>
              <w:bottom w:val="single" w:color="000000" w:sz="0" w:space="0"/>
            </w:tcBorders>
          </w:tcPr>
          <w:p w14:paraId="15674C55">
            <w:pPr>
              <w:spacing w:after="0" w:line="240" w:lineRule="auto"/>
            </w:pPr>
            <w:r>
              <w:rPr>
                <w:rFonts w:ascii="Georgia" w:hAnsi="Georgia" w:eastAsia="Georgia" w:cs="Georgia"/>
              </w:rPr>
              <w:t>—</w:t>
            </w:r>
          </w:p>
        </w:tc>
        <w:tc>
          <w:tcPr>
            <w:tcBorders>
              <w:top w:val="single" w:color="000000" w:sz="0" w:space="0"/>
              <w:left w:val="single" w:color="000000" w:sz="0" w:space="0"/>
              <w:bottom w:val="single" w:color="000000" w:sz="0" w:space="0"/>
            </w:tcBorders>
          </w:tcPr>
          <w:p w14:paraId="74C5FA1C">
            <w:pPr>
              <w:spacing w:after="0" w:line="240" w:lineRule="auto"/>
            </w:pPr>
            <w:r>
              <w:rPr>
                <w:rFonts w:ascii="Georgia" w:hAnsi="Georgia" w:eastAsia="Georgia" w:cs="Georgia"/>
              </w:rPr>
              <w:t>—</w:t>
            </w:r>
          </w:p>
        </w:tc>
      </w:tr>
    </w:tbl>
    <w:p w14:paraId="6AC7851E">
      <w:pPr>
        <w:snapToGrid/>
        <w:spacing w:beforeAutospacing="0" w:after="0" w:afterAutospacing="0" w:line="400" w:lineRule="exact"/>
        <w:ind w:left="0" w:leftChars="0" w:right="0" w:rightChars="0" w:firstLine="480" w:firstLineChars="200"/>
        <w:jc w:val="both"/>
        <w:rPr>
          <w:rFonts w:ascii="Times New Roman" w:eastAsia="宋体"/>
          <w:sz w:val="24"/>
        </w:rPr>
      </w:pPr>
    </w:p>
    <w:p w14:paraId="1ECB3BC9">
      <w:pPr>
        <w:ind w:left="0" w:leftChars="0" w:right="0" w:rightChars="0" w:firstLine="0" w:firstLineChars="0"/>
        <w:jc w:val="center"/>
        <w:rPr>
          <w:rFonts w:ascii="Times New Roman" w:eastAsia="宋体"/>
          <w:sz w:val="24"/>
        </w:rPr>
      </w:pPr>
      <w:r>
        <w:rPr>
          <w:rFonts w:ascii="Times New Roman" w:eastAsia="宋体"/>
          <w:sz w:val="24"/>
        </w:rPr>
        <w:drawing>
          <wp:inline distT="0" distB="0" distL="0" distR="0">
            <wp:extent cx="952500" cy="952500"/>
            <wp:effectExtent l="0" t="0" r="0" b="0"/>
            <wp:docPr id="4" name="image-not-found.png"/>
            <wp:cNvGraphicFramePr/>
            <a:graphic xmlns:a="http://schemas.openxmlformats.org/drawingml/2006/main">
              <a:graphicData uri="http://schemas.openxmlformats.org/drawingml/2006/picture">
                <pic:pic xmlns:pic="http://schemas.openxmlformats.org/drawingml/2006/picture">
                  <pic:nvPicPr>
                    <pic:cNvPr id="4" name="image-not-found.png"/>
                    <pic:cNvPicPr/>
                  </pic:nvPicPr>
                  <pic:blipFill>
                    <a:blip r:embed="rId6" cstate="print"/>
                    <a:srcRect/>
                    <a:stretch>
                      <a:fillRect/>
                    </a:stretch>
                  </pic:blipFill>
                  <pic:spPr>
                    <a:xfrm>
                      <a:off x="0" y="0"/>
                      <a:ext cx="952500" cy="952500"/>
                    </a:xfrm>
                    <a:prstGeom prst="rect">
                      <a:avLst/>
                    </a:prstGeom>
                  </pic:spPr>
                </pic:pic>
              </a:graphicData>
            </a:graphic>
          </wp:inline>
        </w:drawing>
      </w:r>
    </w:p>
    <w:p w14:paraId="7EF1CED8">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11以分层树形图/金字塔图的形式展示26个最终输入特征的四层组织结构，从底部到顶部依次为：基础指标层（13个，包括物理参数、化学参数、营养盐、微生物）、工程特征层（3个，包括总重金属、COD/BOD比、氮磷比）、时间特征层（7个，包括循环编码和趋势项）、空间特征层（3个，包括省份编码和经纬度）。所有特征汇聚到顶部的"模型输入特征集（26维向量）"，图表右侧附有特征统计表和排除说明框（WQI排除原因）。详细设计规格见FIGURE_DESIGN_SPECIFICATIONS.md。</w:t>
      </w:r>
    </w:p>
    <w:p w14:paraId="614657FD">
      <w:pPr>
        <w:rPr>
          <w:rFonts w:ascii="Times New Roman" w:eastAsia="宋体"/>
          <w:sz w:val="24"/>
        </w:rPr>
      </w:pPr>
      <w:r>
        <w:rPr>
          <w:rFonts w:ascii="Times New Roman" w:eastAsia="宋体"/>
          <w:sz w:val="24"/>
        </w:rPr>
        <w:pict>
          <v:rect id="_x0000_i1030" o:spt="1" style="height:0.05pt;width:432pt;" coordsize="21600,21600" o:hr="t" o:hrstd="t" o:hralign="center">
            <v:path/>
            <v:fill focussize="0,0"/>
            <v:stroke/>
            <v:imagedata o:title=""/>
            <o:lock v:ext="edit"/>
            <w10:wrap type="none"/>
            <w10:anchorlock/>
          </v:rect>
        </w:pict>
      </w:r>
    </w:p>
    <w:p w14:paraId="665B0420">
      <w:pPr>
        <w:snapToGrid/>
        <w:spacing w:before="480" w:beforeAutospacing="0" w:after="360" w:afterAutospacing="0" w:line="240" w:lineRule="auto"/>
        <w:ind w:left="0" w:leftChars="0" w:right="0" w:rightChars="0" w:firstLine="0" w:firstLineChars="0"/>
        <w:jc w:val="center"/>
        <w:outlineLvl w:val="0"/>
        <w:rPr>
          <w:rFonts w:ascii="黑体" w:eastAsia="黑体"/>
          <w:b/>
          <w:sz w:val="32"/>
        </w:rPr>
      </w:pPr>
      <w:bookmarkStart w:id="51" w:name="第_4_章_方法与实验设计"/>
      <w:bookmarkStart w:id="52" w:name="_Toc2134427764"/>
      <w:r>
        <w:rPr>
          <w:rFonts w:ascii="黑体" w:hAnsi="Georgia" w:eastAsia="黑体" w:cs="Georgia"/>
          <w:b/>
          <w:sz w:val="32"/>
        </w:rPr>
        <w:t>第 4 章 方法与实验设计</w:t>
      </w:r>
      <w:bookmarkEnd w:id="51"/>
      <w:bookmarkEnd w:id="52"/>
    </w:p>
    <w:p w14:paraId="21C0FC3A">
      <w:pPr>
        <w:ind w:left="0" w:leftChars="0" w:right="0" w:rightChars="0" w:firstLine="0" w:firstLineChars="0"/>
        <w:jc w:val="center"/>
        <w:rPr>
          <w:rFonts w:ascii="Times New Roman" w:eastAsia="宋体"/>
          <w:sz w:val="24"/>
        </w:rPr>
      </w:pPr>
      <w:r>
        <w:rPr>
          <w:rFonts w:ascii="Times New Roman" w:eastAsia="宋体"/>
          <w:sz w:val="24"/>
        </w:rPr>
        <w:drawing>
          <wp:inline distT="0" distB="0" distL="0" distR="0">
            <wp:extent cx="952500" cy="952500"/>
            <wp:effectExtent l="0" t="0" r="0" b="0"/>
            <wp:docPr id="5" name="image-not-found.png"/>
            <wp:cNvGraphicFramePr/>
            <a:graphic xmlns:a="http://schemas.openxmlformats.org/drawingml/2006/main">
              <a:graphicData uri="http://schemas.openxmlformats.org/drawingml/2006/picture">
                <pic:pic xmlns:pic="http://schemas.openxmlformats.org/drawingml/2006/picture">
                  <pic:nvPicPr>
                    <pic:cNvPr id="5" name="image-not-found.png"/>
                    <pic:cNvPicPr/>
                  </pic:nvPicPr>
                  <pic:blipFill>
                    <a:blip r:embed="rId6" cstate="print"/>
                    <a:srcRect/>
                    <a:stretch>
                      <a:fillRect/>
                    </a:stretch>
                  </pic:blipFill>
                  <pic:spPr>
                    <a:xfrm>
                      <a:off x="0" y="0"/>
                      <a:ext cx="952500" cy="952500"/>
                    </a:xfrm>
                    <a:prstGeom prst="rect">
                      <a:avLst/>
                    </a:prstGeom>
                  </pic:spPr>
                </pic:pic>
              </a:graphicData>
            </a:graphic>
          </wp:inline>
        </w:drawing>
      </w:r>
    </w:p>
    <w:p w14:paraId="5069177D">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12以矩阵网格图的形式展示论文对比实验的完整框架，涵盖任务类型（污染等级分类、水质指标回归、时间序列预测）、方法范式（横截面方法、时间序列方法）、特征集配置（全指标20个、低成本6个）、数据分割策略（随机80:20、时间前向、按站点）和评估指标的多维度交叉设计。图表采用3×2网格结构（任务×方法），每个有效单元格展示算法配置和预期结果，底部附有数据分割、评估指标和超参数配置三个并列框。详细设计规格见FIGURE_DESIGN_SPECIFICATIONS.md。</w:t>
      </w:r>
    </w:p>
    <w:p w14:paraId="1F605F81">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53" w:name="bm_4_1_任务定义"/>
      <w:bookmarkStart w:id="54" w:name="_Toc1760590060"/>
      <w:r>
        <w:rPr>
          <w:rFonts w:ascii="黑体" w:hAnsi="Georgia" w:eastAsia="黑体" w:cs="Georgia"/>
          <w:b w:val="0"/>
          <w:sz w:val="28"/>
        </w:rPr>
        <w:t>4.1 任务定义</w:t>
      </w:r>
      <w:bookmarkEnd w:id="53"/>
      <w:bookmarkEnd w:id="54"/>
    </w:p>
    <w:p w14:paraId="2FF3EBF3">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本研究围绕水质数据的预测和分析，定义了三类核心任务。分类任务的目标是根据水质指标预测污染等级，给定某个监测站点在特定时刻的17个水质指标测量值，模型需要判断该水体属于"优""良""中""差"还是"极差"五个等级中的哪一类，这一任务对于水质快速评估和污染预警具有直接应用价值。回归任务重点在于探索水质指标之间的定量关系，在实际监测工作中，某些指标（如重金属浓度）的测定成本高昂或耗时较长，而另一些常规指标（如pH、电导率）则相对易于获取，回归模型的目标是利用易测指标来估计难测指标的数值，从而在降低监测成本的同时保持对水质状况的全面掌握，本研究选取了7个关键指标（包括水质指数、COD、氨氮等）作为回归预测的目标变量，评估模型在不同指标上的预测精度。时间序列任务尝试根据历史观测数据预测未来的水质变化趋势，然而如3.1.3节所述，本数据集的采样极不规则，时间相关性几乎不存在（ACF≈0），因此时间序列方法在理论上不适用于该场景，尽管如此，本研究仍将时间序列模型作为基线进行实验，其目的在于通过量化其性能下降程度，展示数据特征对方法选择的决定性影响，并为后续研究提供反面案例参考。</w:t>
      </w:r>
    </w:p>
    <w:p w14:paraId="31913BAA">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55" w:name="bm_4_2_横截面方法"/>
      <w:bookmarkStart w:id="56" w:name="_Toc59966407"/>
      <w:r>
        <w:rPr>
          <w:rFonts w:ascii="黑体" w:hAnsi="Georgia" w:eastAsia="黑体" w:cs="Georgia"/>
          <w:b w:val="0"/>
          <w:sz w:val="28"/>
        </w:rPr>
        <w:t>4.2 横截面方法</w:t>
      </w:r>
      <w:bookmarkEnd w:id="55"/>
      <w:bookmarkEnd w:id="56"/>
    </w:p>
    <w:p w14:paraId="1D267995">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横截面预测方法将每条观测记录视为独立样本，通过水质指标之间的空间关联性来建立预测模型。这种方法特别适合本研究所使用的数据集，因为如3.1.3节所述，数据采样的高度不规则性使得传统时间序列方法难以发挥作用。本研究主要采用基于树的集成学习算法，包括XGBoost、RandomForest、LightGBM和CatBoost四种模型，它们在处理复杂非线性关系和高维特征时表现出色，且对异常值具有较好的鲁棒性。</w:t>
      </w:r>
    </w:p>
    <w:p w14:paraId="1EE1469A">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模型的输入特征包括三个层次的信息。17个原始水质指标构成了预测的基础，地理位置信息通过省份标签的独热编码（One-Hot Encoding）以及监测站点的经纬度坐标，将空间异质性纳入模型考虑范围，省份编码能够捕捉不同行政区域在环境治理政策和产业结构上的差异，而经纬度坐标则提供了更精细的空间定位信息。前述的3个工程特征（重金属总量、COD/BOD比、氮磷比）作为复合指标，能够帮助模型更好地理解不同污染物之间的协同效应。</w:t>
      </w:r>
    </w:p>
    <w:p w14:paraId="36485E1D">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需要特别说明的是，在污染等级分类任务中，输入特征不包含综合水质指数（Water_Quality_Index, WQI），以避免潜在的信息泄漏。虽然WQI与污染等级（Pollution_Level）存在高度相关性，但若将WQI作为预测特征，模型本质上是在"重现"水质评价规则而非从原始指标中学习分类模式，导致评估结果失去意义。因此，分类模型仅使用原始水质指标、地理特征和工程特征作为输入，确保模型学习的是真实的指标-污染等级映射关系。</w:t>
      </w:r>
    </w:p>
    <w:p w14:paraId="3028090A">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本研究对重金属指标进行了合并处理。原始数据集包含铅（Pb）、镉（Cd）、汞（Hg）三个单独的重金属浓度测量值，但这三者在化学性质、污染来源和环境行为上高度相关，单独使用会导致特征冗余和多重共线性问题，增加模型过拟合风险。因此，本研究将这三个指标合并为一个重金属总量（Total_Heavy_Metals）特征，计算公式为</w:t>
      </w:r>
    </w:p>
    <w:p w14:paraId="0F8D4540">
      <w:pPr>
        <w:snapToGrid/>
        <w:spacing w:beforeAutospacing="0" w:after="0" w:afterAutospacing="0" w:line="400" w:lineRule="exact"/>
        <w:ind w:left="0" w:leftChars="0" w:right="0" w:rightChars="0" w:firstLine="480" w:firstLineChars="200"/>
        <w:jc w:val="both"/>
        <w:rPr>
          <w:rFonts w:ascii="Times New Roman" w:eastAsia="宋体"/>
          <w:sz w:val="24"/>
        </w:rPr>
      </w:pPr>
      <m:oMathPara>
        <m:oMath>
          <m:r>
            <m:rPr>
              <m:nor/>
              <m:sty m:val="p"/>
            </m:rPr>
            <w:rPr>
              <w:rFonts w:ascii="Times New Roman" w:hAnsi="Times New Roman" w:eastAsia="宋体"/>
              <w:b w:val="0"/>
              <w:i w:val="0"/>
              <w:sz w:val="24"/>
            </w:rPr>
            <m:t>Total\_Heavy\_Metals</m:t>
          </m:r>
          <m:r>
            <m:rPr>
              <m:sty m:val="p"/>
            </m:rPr>
            <w:rPr>
              <w:rFonts w:ascii="Times New Roman" w:hAnsi="Times New Roman" w:eastAsia="宋体"/>
              <w:sz w:val="24"/>
            </w:rPr>
            <m:t>=</m:t>
          </m:r>
          <m:r>
            <m:rPr>
              <m:nor/>
              <m:sty m:val="p"/>
            </m:rPr>
            <w:rPr>
              <w:rFonts w:ascii="Times New Roman" w:hAnsi="Times New Roman" w:eastAsia="宋体"/>
              <w:sz w:val="24"/>
            </w:rPr>
            <m:t>Pb</m:t>
          </m:r>
          <m:r>
            <m:rPr>
              <m:sty m:val="p"/>
            </m:rPr>
            <w:rPr>
              <w:rFonts w:ascii="Times New Roman" w:hAnsi="Times New Roman" w:eastAsia="宋体"/>
              <w:sz w:val="24"/>
            </w:rPr>
            <m:t>+</m:t>
          </m:r>
          <m:r>
            <m:rPr>
              <m:nor/>
              <m:sty m:val="p"/>
            </m:rPr>
            <w:rPr>
              <w:rFonts w:ascii="Times New Roman" w:hAnsi="Times New Roman" w:eastAsia="宋体"/>
              <w:sz w:val="24"/>
            </w:rPr>
            <m:t>Cd</m:t>
          </m:r>
          <m:r>
            <m:rPr>
              <m:sty m:val="p"/>
            </m:rPr>
            <w:rPr>
              <w:rFonts w:ascii="Times New Roman" w:hAnsi="Times New Roman" w:eastAsia="宋体"/>
              <w:sz w:val="24"/>
            </w:rPr>
            <m:t>+</m:t>
          </m:r>
          <m:r>
            <m:rPr>
              <m:nor/>
              <m:sty m:val="p"/>
            </m:rPr>
            <w:rPr>
              <w:rFonts w:ascii="Times New Roman" w:hAnsi="Times New Roman" w:eastAsia="宋体"/>
              <w:sz w:val="24"/>
            </w:rPr>
            <m:t>Hg</m:t>
          </m:r>
        </m:oMath>
      </m:oMathPara>
    </w:p>
    <w:p w14:paraId="07B2DD47">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单位，μg/L）。这一合并策略既保留了重金属污染的整体信息，又有效减少了特征维度。经过筛选后，最终输入特征共计18-19个，14个基础水质指标（pH、溶解氧、电导率、浊度、COD、BOD、氨氮、总氮、总磷、氟化物、硫化物、氰化物、六价铬、挥发酚）+1个重金属总量+2个地理特征（省份、经纬度）+3个工程特征（COD/BOD比、氮磷比、重金属总量本身也算工程特征之一）。这一特征集在保证信息完整性的同时，有效控制了模型复杂度，降低了过拟合风险。</w:t>
      </w:r>
    </w:p>
    <w:p w14:paraId="07EF5823">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类别不均衡问题是分类任务中需要特别处理的关键点。由于"差"和"极差"两个等级的样本仅占总量的7%左右，如果不加处理，模型可能会倾向于忽略这些少数类别，导致对重污染事件的识别能力不足。为此，本研究采用了类别权重调整策略，为每个类别设置权重</w:t>
      </w:r>
    </w:p>
    <w:p w14:paraId="4051D1DF">
      <w:pPr>
        <w:snapToGrid/>
        <w:spacing w:beforeAutospacing="0" w:after="0" w:afterAutospacing="0" w:line="400" w:lineRule="exact"/>
        <w:ind w:left="0" w:leftChars="0" w:right="0" w:rightChars="0" w:firstLine="480" w:firstLineChars="200"/>
        <w:jc w:val="both"/>
        <w:rPr>
          <w:rFonts w:hint="eastAsia" w:ascii="Times New Roman" w:eastAsia="宋体"/>
          <w:sz w:val="24"/>
          <w:lang w:eastAsia="zh-CN"/>
        </w:rPr>
      </w:pPr>
      <w:r>
        <w:rPr>
          <w:rFonts w:ascii="Times New Roman" w:eastAsia="宋体"/>
          <w:sz w:val="24"/>
        </w:rPr>
        <w:t>$</w:t>
      </w:r>
    </w:p>
    <w:p w14:paraId="0C5ABF0E">
      <w:pPr>
        <w:snapToGrid/>
        <w:spacing w:beforeAutospacing="0" w:after="0" w:afterAutospacing="0" w:line="400" w:lineRule="exact"/>
        <w:ind w:left="0" w:leftChars="0" w:right="0" w:rightChars="0" w:firstLine="480" w:firstLineChars="200"/>
        <w:jc w:val="both"/>
        <w:rPr>
          <w:rFonts w:hint="eastAsia" w:ascii="Times New Roman" w:hAnsi="Georgia" w:eastAsia="宋体" w:cs="Georgia"/>
          <w:sz w:val="24"/>
          <w:lang w:eastAsia="zh-CN"/>
        </w:rPr>
      </w:pPr>
      <w:r>
        <w:rPr>
          <w:rFonts w:ascii="Times New Roman" w:hAnsi="Georgia" w:eastAsia="宋体" w:cs="Georgia"/>
          <w:sz w:val="24"/>
        </w:rPr>
        <w:t>w_i = \frac{N}{K \times N_i}</w:t>
      </w:r>
    </w:p>
    <w:p w14:paraId="1BA34113">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sz w:val="24"/>
        </w:rPr>
        <w:t>$</w:t>
      </w:r>
    </w:p>
    <w:p w14:paraId="7468CF59">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其中</w:t>
      </w:r>
      <m:oMath>
        <m:r>
          <m:rPr/>
          <w:rPr>
            <w:rFonts w:ascii="Times New Roman" w:hAnsi="Times New Roman" w:eastAsia="宋体"/>
            <w:sz w:val="24"/>
          </w:rPr>
          <m:t>N</m:t>
        </m:r>
      </m:oMath>
      <w:r>
        <w:rPr>
          <w:rFonts w:ascii="Times New Roman" w:hAnsi="Georgia" w:eastAsia="宋体" w:cs="Georgia"/>
          <w:sz w:val="24"/>
        </w:rPr>
        <w:t>为总样本数，</w:t>
      </w:r>
      <m:oMath>
        <m:r>
          <m:rPr/>
          <w:rPr>
            <w:rFonts w:ascii="Times New Roman" w:hAnsi="Times New Roman" w:eastAsia="宋体"/>
            <w:sz w:val="24"/>
          </w:rPr>
          <m:t>K</m:t>
        </m:r>
      </m:oMath>
      <w:r>
        <w:rPr>
          <w:rFonts w:ascii="Times New Roman" w:hAnsi="Georgia" w:eastAsia="宋体" w:cs="Georgia"/>
          <w:sz w:val="24"/>
        </w:rPr>
        <w:t>为类别数，</w:t>
      </w:r>
      <m:oMath>
        <m:sSub>
          <m:sSubPr>
            <m:ctrlPr>
              <w:rPr>
                <w:rFonts w:ascii="DejaVu Math TeX Gyre" w:hAnsi="DejaVu Math TeX Gyre" w:eastAsia="宋体"/>
                <w:sz w:val="24"/>
              </w:rPr>
            </m:ctrlPr>
          </m:sSubPr>
          <m:e>
            <m:r>
              <m:rPr/>
              <w:rPr>
                <w:rFonts w:ascii="Times New Roman" w:hAnsi="Times New Roman" w:eastAsia="宋体"/>
                <w:sz w:val="24"/>
              </w:rPr>
              <m:t>N</m:t>
            </m:r>
            <m:ctrlPr>
              <w:rPr>
                <w:rFonts w:ascii="DejaVu Math TeX Gyre" w:hAnsi="DejaVu Math TeX Gyre" w:eastAsia="宋体"/>
                <w:sz w:val="24"/>
              </w:rPr>
            </m:ctrlPr>
          </m:e>
          <m:sub>
            <m:r>
              <m:rPr/>
              <w:rPr>
                <w:rFonts w:ascii="Times New Roman" w:hAnsi="Times New Roman" w:eastAsia="宋体"/>
                <w:sz w:val="24"/>
              </w:rPr>
              <m:t>i</m:t>
            </m:r>
            <m:ctrlPr>
              <w:rPr>
                <w:rFonts w:ascii="DejaVu Math TeX Gyre" w:hAnsi="DejaVu Math TeX Gyre" w:eastAsia="宋体"/>
                <w:sz w:val="24"/>
              </w:rPr>
            </m:ctrlPr>
          </m:sub>
        </m:sSub>
      </m:oMath>
      <w:r>
        <w:rPr>
          <w:rFonts w:ascii="Times New Roman" w:hAnsi="Georgia" w:eastAsia="宋体" w:cs="Georgia"/>
          <w:sz w:val="24"/>
        </w:rPr>
        <w:t>为第</w:t>
      </w:r>
      <m:oMath>
        <m:r>
          <m:rPr/>
          <w:rPr>
            <w:rFonts w:ascii="Times New Roman" w:hAnsi="Times New Roman" w:eastAsia="宋体"/>
            <w:sz w:val="24"/>
          </w:rPr>
          <m:t>i</m:t>
        </m:r>
      </m:oMath>
      <w:r>
        <w:rPr>
          <w:rFonts w:ascii="Times New Roman" w:hAnsi="Georgia" w:eastAsia="宋体" w:cs="Georgia"/>
          <w:sz w:val="24"/>
        </w:rPr>
        <w:t>类的样本数。这样，少数类别的误分类将受到更严厉的惩罚，促使模型在保证整体准确率的同时，提高对罕见污染等级的敏感度。这一设计对于实际应用场景至关重要，因为准确识别重污染事件往往比正确分类良好水质更具实际价值。</w:t>
      </w:r>
    </w:p>
    <w:p w14:paraId="1D711114">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对于回归任务，模型的目标是利用部分水质指标来预测另一个指标的数值。例如，给定pH、溶解氧、电导率等常规参数，预测化学需氧量或重金属浓度。这种预测能力在实际监测工作中具有重要意义，某些指标的测量成本较高或耗时较长，如果能通过易获取的指标进行准确估计，将大大提高监测效率。回归模型的特征选择与分类任务类似，但损失函数采用均方误差（MSE），评价指标则使用决定系数R²和平均绝对误差（MAE）。</w:t>
      </w:r>
    </w:p>
    <w:p w14:paraId="380B0647">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为了评估不同特征配置下模型的性能边界和工程应用价值，本研究设计了两种特征集。全指标特征集包含所有17个原始水质指标、3个工程特征和地理位置（共20个特征），用于评估模型的性能上限和探索特征交互效应，该配置下XGBoost分类准确率达到99.58%。低成本传感器特征集仅包含物理指标（浊度、pH、电导率、温度）和地理位置（共6个特征），模拟仅使用低成本传感器的实时监测场景，该配置用于评估实际部署的可行性和成本-性能权衡，准确率为78%。两种特征集的对比实验旨在为水质监测网络的设计决策提供定量依据，特别是在预算受限或需要快速响应的应用场景中，帮助决策者在监测精度、部署成本和响应时间之间找到合理的平衡点。</w:t>
      </w:r>
    </w:p>
    <w:p w14:paraId="6A77D186">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57" w:name="bm_4_3_时间序列方法"/>
      <w:bookmarkStart w:id="58" w:name="_Toc685572006"/>
      <w:r>
        <w:rPr>
          <w:rFonts w:ascii="黑体" w:hAnsi="Georgia" w:eastAsia="黑体" w:cs="Georgia"/>
          <w:b w:val="0"/>
          <w:sz w:val="28"/>
        </w:rPr>
        <w:t>4.3 时间序列方法</w:t>
      </w:r>
      <w:bookmarkEnd w:id="57"/>
      <w:bookmarkEnd w:id="58"/>
    </w:p>
    <w:p w14:paraId="462E4DD5">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鉴于数据采样的极度不规则性（</w:t>
      </w:r>
      <m:oMath>
        <m:r>
          <m:rPr>
            <m:nor/>
            <m:sty m:val="p"/>
          </m:rPr>
          <w:rPr>
            <w:rFonts w:ascii="Times New Roman" w:hAnsi="Times New Roman" w:eastAsia="宋体"/>
            <w:b w:val="0"/>
            <w:i w:val="0"/>
            <w:sz w:val="24"/>
          </w:rPr>
          <m:t>CV</m:t>
        </m:r>
        <m:r>
          <m:rPr>
            <m:sty m:val="p"/>
          </m:rPr>
          <w:rPr>
            <w:rFonts w:ascii="Times New Roman" w:hAnsi="Times New Roman" w:eastAsia="宋体"/>
            <w:sz w:val="24"/>
          </w:rPr>
          <m:t>=1.99</m:t>
        </m:r>
      </m:oMath>
      <w:r>
        <w:rPr>
          <w:rFonts w:ascii="Times New Roman" w:hAnsi="Georgia" w:eastAsia="宋体" w:cs="Georgia"/>
          <w:sz w:val="24"/>
        </w:rPr>
        <w:t>，远超阈值0.2）和零时间相关性（</w:t>
      </w:r>
      <m:oMath>
        <m:r>
          <m:rPr>
            <m:nor/>
            <m:sty m:val="p"/>
          </m:rPr>
          <w:rPr>
            <w:rFonts w:ascii="Times New Roman" w:hAnsi="Times New Roman" w:eastAsia="宋体"/>
            <w:b w:val="0"/>
            <w:i w:val="0"/>
            <w:sz w:val="24"/>
          </w:rPr>
          <m:t>ACF</m:t>
        </m:r>
        <m:r>
          <m:rPr>
            <m:sty m:val="p"/>
          </m:rPr>
          <w:rPr>
            <w:rFonts w:ascii="Times New Roman" w:hAnsi="Times New Roman" w:eastAsia="宋体"/>
            <w:sz w:val="24"/>
          </w:rPr>
          <m:t>(1)=0.03</m:t>
        </m:r>
      </m:oMath>
      <w:r>
        <w:rPr>
          <w:rFonts w:ascii="Times New Roman" w:hAnsi="Georgia" w:eastAsia="宋体" w:cs="Georgia"/>
          <w:sz w:val="24"/>
        </w:rPr>
        <w:t>），时间序列方法在理论上不适用于本数据集。然而，为了量化采样不规则性对时间序列方法性能的实际影响程度，并展示数据特性对方法选择的决定性作用，本研究仍将ARIMA、SARIMA、LSTM和LSTM-RF混合四种方法作为验证性实验纳入对比分析。</w:t>
      </w:r>
    </w:p>
    <w:p w14:paraId="6DAAE88D">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LSTM架构包含2层64单元，使用长度为7的滑动窗口，Dropout(0.1)和层归一化。这些模型的实验目的并非期待其成功，而是通过量化其性能下降程度（预期</w:t>
      </w:r>
      <m:oMath>
        <m:sSup>
          <m:sSupPr>
            <m:ctrlPr>
              <w:rPr>
                <w:rFonts w:ascii="DejaVu Math TeX Gyre" w:hAnsi="DejaVu Math TeX Gyre" w:eastAsia="宋体"/>
                <w:sz w:val="24"/>
              </w:rPr>
            </m:ctrlPr>
          </m:sSupPr>
          <m:e>
            <m:r>
              <m:rPr/>
              <w:rPr>
                <w:rFonts w:ascii="Times New Roman" w:hAnsi="Times New Roman" w:eastAsia="宋体"/>
                <w:sz w:val="24"/>
              </w:rPr>
              <m:t>R</m:t>
            </m:r>
            <m:ctrlPr>
              <w:rPr>
                <w:rFonts w:ascii="DejaVu Math TeX Gyre" w:hAnsi="DejaVu Math TeX Gyre" w:eastAsia="宋体"/>
                <w:sz w:val="24"/>
              </w:rPr>
            </m:ctrlPr>
          </m:e>
          <m:sup>
            <m:r>
              <m:rPr>
                <m:sty m:val="p"/>
              </m:rPr>
              <w:rPr>
                <w:rFonts w:ascii="Times New Roman" w:hAnsi="Times New Roman" w:eastAsia="宋体"/>
                <w:sz w:val="24"/>
              </w:rPr>
              <m:t>2</m:t>
            </m:r>
            <m:ctrlPr>
              <w:rPr>
                <w:rFonts w:ascii="DejaVu Math TeX Gyre" w:hAnsi="DejaVu Math TeX Gyre" w:eastAsia="宋体"/>
                <w:sz w:val="24"/>
              </w:rPr>
            </m:ctrlPr>
          </m:sup>
        </m:sSup>
      </m:oMath>
      <w:r>
        <w:rPr>
          <w:rFonts w:ascii="Times New Roman" w:hAnsi="Georgia" w:eastAsia="宋体" w:cs="Georgia"/>
          <w:sz w:val="24"/>
        </w:rPr>
        <w:t>为负值），为"不规则采样数据不适合时间序列方法"的论断提供实证支持。这种验证性实验对于理解采样规律性与方法适用性之间的关系具有重要的学术价值。</w:t>
      </w:r>
    </w:p>
    <w:p w14:paraId="66C21BDD">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59" w:name="bm_4_4_可解释与因果分析方法"/>
      <w:bookmarkStart w:id="60" w:name="_Toc1158938687"/>
      <w:r>
        <w:rPr>
          <w:rFonts w:ascii="黑体" w:hAnsi="Georgia" w:eastAsia="黑体" w:cs="Georgia"/>
          <w:b w:val="0"/>
          <w:sz w:val="28"/>
        </w:rPr>
        <w:t>4.4 可解释与因果分析方法</w:t>
      </w:r>
      <w:bookmarkEnd w:id="59"/>
      <w:bookmarkEnd w:id="60"/>
    </w:p>
    <w:p w14:paraId="114F04CC">
      <w:pPr>
        <w:snapToGrid/>
        <w:spacing w:before="240" w:beforeAutospacing="0" w:after="120" w:afterAutospacing="0" w:line="240" w:lineRule="auto"/>
        <w:ind w:left="0" w:leftChars="0" w:right="0" w:rightChars="0" w:firstLine="0" w:firstLineChars="0"/>
        <w:jc w:val="both"/>
        <w:outlineLvl w:val="2"/>
        <w:rPr>
          <w:rFonts w:ascii="黑体" w:eastAsia="黑体"/>
          <w:b w:val="0"/>
          <w:sz w:val="26"/>
        </w:rPr>
      </w:pPr>
      <w:bookmarkStart w:id="61" w:name="bm_4_4_1_shap可解释性框架"/>
      <w:bookmarkStart w:id="62" w:name="_Toc605834119"/>
      <w:r>
        <w:rPr>
          <w:rFonts w:ascii="黑体" w:hAnsi="Georgia" w:eastAsia="黑体" w:cs="Georgia"/>
          <w:b w:val="0"/>
          <w:sz w:val="26"/>
        </w:rPr>
        <w:t>4.4.1 SHAP可解释性框架</w:t>
      </w:r>
      <w:bookmarkEnd w:id="61"/>
      <w:bookmarkEnd w:id="62"/>
    </w:p>
    <w:p w14:paraId="5F3809CB">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机器学习模型，尤其是基于树的集成模型，往往被视为"黑箱"系统，其预测逻辑难以直观理解。为了揭示模型的决策机制并增强结果的可信度，本研究引入SHAP（SHapley Additive exPlanations）方法进行模型解释。</w:t>
      </w:r>
    </w:p>
    <w:p w14:paraId="415B6566">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本研究选择XGBoost作为SHAP分析的主要对象。具体而言，分类任务（污染等级预测）使用XGBoost分类模型（准确率99.58%，表14最佳性能），回归任务（水质指标预测）使用XGBoost回归模型（平均R²=0.97，表17）。</w:t>
      </w:r>
    </w:p>
    <w:p w14:paraId="3E51A9B0">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选择XGBoost作为分析对象主要基于三方面考虑。XGBoost在所有测试模型中表现最优，代表了最佳预测能力。作为基于树的模型，XGBoost可使用TreeExplainer快速计算精确SHAP值，无需近似方法，保证了可解释性分析的准确性。同时XGBoost在训练速度、内存占用和预测精度之间取得良好平衡，适合实际部署场景的实时解释需求。</w:t>
      </w:r>
    </w:p>
    <w:p w14:paraId="585EA626">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SHAP基于博弈论中的Shapley值理论，为每个特征分配一个贡献值</w:t>
      </w:r>
      <m:oMath>
        <m:sSub>
          <m:sSubPr>
            <m:ctrlPr>
              <w:rPr>
                <w:rFonts w:ascii="DejaVu Math TeX Gyre" w:hAnsi="DejaVu Math TeX Gyre" w:eastAsia="宋体"/>
                <w:sz w:val="24"/>
              </w:rPr>
            </m:ctrlPr>
          </m:sSubPr>
          <m:e>
            <m:r>
              <m:rPr/>
              <w:rPr>
                <w:rFonts w:ascii="Times New Roman" w:hAnsi="Times New Roman" w:eastAsia="宋体"/>
                <w:sz w:val="24"/>
              </w:rPr>
              <m:t>ϕ</m:t>
            </m:r>
            <m:ctrlPr>
              <w:rPr>
                <w:rFonts w:ascii="DejaVu Math TeX Gyre" w:hAnsi="DejaVu Math TeX Gyre" w:eastAsia="宋体"/>
                <w:sz w:val="24"/>
              </w:rPr>
            </m:ctrlPr>
          </m:e>
          <m:sub>
            <m:r>
              <m:rPr/>
              <w:rPr>
                <w:rFonts w:ascii="Times New Roman" w:hAnsi="Times New Roman" w:eastAsia="宋体"/>
                <w:sz w:val="24"/>
              </w:rPr>
              <m:t>i</m:t>
            </m:r>
            <m:ctrlPr>
              <w:rPr>
                <w:rFonts w:ascii="DejaVu Math TeX Gyre" w:hAnsi="DejaVu Math TeX Gyre" w:eastAsia="宋体"/>
                <w:sz w:val="24"/>
              </w:rPr>
            </m:ctrlPr>
          </m:sub>
        </m:sSub>
      </m:oMath>
      <w:r>
        <w:rPr>
          <w:rFonts w:ascii="Times New Roman" w:hAnsi="Georgia" w:eastAsia="宋体" w:cs="Georgia"/>
          <w:sz w:val="24"/>
        </w:rPr>
        <w:t>，使得所有特征贡献之和等于模型预测值与基准值（通常为训练集均值）的差异，即满足可加性，</w:t>
      </w:r>
    </w:p>
    <w:p w14:paraId="772308B9">
      <w:pPr>
        <w:snapToGrid/>
        <w:spacing w:beforeAutospacing="0" w:after="0" w:afterAutospacing="0" w:line="400" w:lineRule="exact"/>
        <w:ind w:left="0" w:leftChars="0" w:right="0" w:rightChars="0" w:firstLine="480" w:firstLineChars="200"/>
        <w:jc w:val="both"/>
        <w:rPr>
          <w:rFonts w:hint="eastAsia" w:ascii="Times New Roman" w:eastAsia="宋体"/>
          <w:sz w:val="24"/>
          <w:lang w:eastAsia="zh-CN"/>
        </w:rPr>
      </w:pPr>
      <w:r>
        <w:rPr>
          <w:rFonts w:ascii="Times New Roman" w:eastAsia="宋体"/>
          <w:sz w:val="24"/>
        </w:rPr>
        <w:t>$</w:t>
      </w:r>
    </w:p>
    <w:p w14:paraId="14BC77DE">
      <w:pPr>
        <w:snapToGrid/>
        <w:spacing w:beforeAutospacing="0" w:after="0" w:afterAutospacing="0" w:line="400" w:lineRule="exact"/>
        <w:ind w:left="0" w:leftChars="0" w:right="0" w:rightChars="0" w:firstLine="480" w:firstLineChars="200"/>
        <w:jc w:val="both"/>
        <w:rPr>
          <w:rFonts w:hint="eastAsia" w:ascii="Times New Roman" w:hAnsi="Georgia" w:eastAsia="宋体" w:cs="Georgia"/>
          <w:sz w:val="24"/>
          <w:lang w:eastAsia="zh-CN"/>
        </w:rPr>
      </w:pPr>
      <w:r>
        <w:rPr>
          <w:rFonts w:ascii="Times New Roman" w:hAnsi="Georgia" w:eastAsia="宋体" w:cs="Georgia"/>
          <w:sz w:val="24"/>
        </w:rPr>
        <w:t>f(\mathbf{x}) = \phi_0 + \sum_{i=1}^{p} \phi_i</w:t>
      </w:r>
    </w:p>
    <w:p w14:paraId="4F707852">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sz w:val="24"/>
        </w:rPr>
        <w:t>$</w:t>
      </w:r>
    </w:p>
    <w:p w14:paraId="29A2BAB4">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这一框架还具备对称性和虚拟性等理论保证，确保了特征重要性评估的公平性和一致性。</w:t>
      </w:r>
    </w:p>
    <w:p w14:paraId="6B01F4CC">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SHAP分析可以从多个角度展示模型的工作原理。在全局层面，通过汇总所有样本的SHAP值，可以识别出对预测结果影响最大的关键特征。例如，在污染等级分类任务中，哪些水质指标对判别"优"与"差"等级起到了决定性作用。摘要图（Summary Plot）和条形图（Bar Plot）是常用的全局可视化工具，前者展示每个特征的SHAP值分布，后者则直接显示平均绝对SHAP值的排序。</w:t>
      </w:r>
    </w:p>
    <w:p w14:paraId="4AA39438">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在特征交互层面，SHAP依赖图（Dependence Plot）能够揭示某个特征与其他特征之间的协同效应。例如，pH值对水质预测的影响可能依赖于溶解氧的水平，当溶解氧较低时，pH的变化对污染等级的影响更为显著。这种交互效应的发现对于理解水质系统的复杂性具有重要意义。</w:t>
      </w:r>
    </w:p>
    <w:p w14:paraId="516832B5">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对于单个样本的解释，瀑布图（Waterfall Plot）和决策图（Decision Plot）提供了逐特征的贡献分解。以某个被预测为"极差"的样本为例，瀑布图可以清晰地展示，基准预测值为"中"等级，但由于COD过高（+0.8）、溶解氧过低（+0.6）、氨氮超标（+0.5）等因素的累积作用，最终预测结果被推向"极差"。这种细粒度的解释对于追溯污染源和制定治理方案具有直接的指导价值。</w:t>
      </w:r>
    </w:p>
    <w:p w14:paraId="72C8DBE1">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本研究对分类任务（LightGBM模型）和回归任务（XGBoost模型）均进行了完整的SHAP分析。表6和表7分别展示了两个任务中特征重要性的排序结果。</w:t>
      </w:r>
    </w:p>
    <w:p w14:paraId="1C334BD2">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表6 分类任务（污染等级预测）的SHAP特征重要性排序</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739"/>
        <w:gridCol w:w="2858"/>
        <w:gridCol w:w="1315"/>
        <w:gridCol w:w="4058"/>
      </w:tblGrid>
      <w:tr w14:paraId="70A118B2">
        <w:trPr>
          <w:cantSplit/>
          <w:tblCellSpacing w:w="0" w:type="dxa"/>
          <w:jc w:val="center"/>
        </w:trPr>
        <w:tc>
          <w:tcPr>
            <w:tcBorders>
              <w:top w:val="single" w:color="000000" w:sz="0" w:space="0"/>
              <w:bottom w:val="single" w:color="000000" w:sz="0" w:space="0"/>
            </w:tcBorders>
          </w:tcPr>
          <w:p w14:paraId="7D83888F">
            <w:pPr>
              <w:spacing w:after="0" w:line="240" w:lineRule="auto"/>
            </w:pPr>
            <w:r>
              <w:rPr>
                <w:rFonts w:ascii="Georgia" w:hAnsi="Georgia" w:eastAsia="Georgia" w:cs="Georgia"/>
              </w:rPr>
              <w:t>排名</w:t>
            </w:r>
          </w:p>
        </w:tc>
        <w:tc>
          <w:tcPr>
            <w:tcBorders>
              <w:top w:val="single" w:color="000000" w:sz="0" w:space="0"/>
              <w:left w:val="single" w:color="000000" w:sz="0" w:space="0"/>
              <w:bottom w:val="single" w:color="000000" w:sz="0" w:space="0"/>
            </w:tcBorders>
          </w:tcPr>
          <w:p w14:paraId="2E5FFB48">
            <w:pPr>
              <w:spacing w:after="0" w:line="240" w:lineRule="auto"/>
            </w:pPr>
            <w:r>
              <w:rPr>
                <w:rFonts w:ascii="Georgia" w:hAnsi="Georgia" w:eastAsia="Georgia" w:cs="Georgia"/>
              </w:rPr>
              <w:t>特征名称</w:t>
            </w:r>
          </w:p>
        </w:tc>
        <w:tc>
          <w:tcPr>
            <w:tcBorders>
              <w:top w:val="single" w:color="000000" w:sz="0" w:space="0"/>
              <w:left w:val="single" w:color="000000" w:sz="0" w:space="0"/>
              <w:bottom w:val="single" w:color="000000" w:sz="0" w:space="0"/>
            </w:tcBorders>
          </w:tcPr>
          <w:p w14:paraId="6D08938D">
            <w:pPr>
              <w:spacing w:after="0" w:line="240" w:lineRule="auto"/>
            </w:pPr>
            <w:r>
              <w:rPr>
                <w:rFonts w:ascii="Georgia" w:hAnsi="Georgia" w:eastAsia="Georgia" w:cs="Georgia"/>
              </w:rPr>
              <w:t>中文名称</w:t>
            </w:r>
          </w:p>
        </w:tc>
        <w:tc>
          <w:tcPr>
            <w:tcBorders>
              <w:top w:val="single" w:color="000000" w:sz="0" w:space="0"/>
              <w:left w:val="single" w:color="000000" w:sz="0" w:space="0"/>
              <w:bottom w:val="single" w:color="000000" w:sz="0" w:space="0"/>
            </w:tcBorders>
          </w:tcPr>
          <w:p w14:paraId="17028B66">
            <w:pPr>
              <w:spacing w:after="0" w:line="240" w:lineRule="auto"/>
            </w:pPr>
            <w:r>
              <w:rPr>
                <w:rFonts w:ascii="Georgia" w:hAnsi="Georgia" w:eastAsia="Georgia" w:cs="Georgia"/>
              </w:rPr>
              <w:t>重要性解读</w:t>
            </w:r>
          </w:p>
        </w:tc>
      </w:tr>
      <w:tr w14:paraId="0260E25C">
        <w:trPr>
          <w:cantSplit/>
          <w:tblCellSpacing w:w="0" w:type="dxa"/>
          <w:jc w:val="center"/>
        </w:trPr>
        <w:tc>
          <w:tcPr>
            <w:tcBorders>
              <w:top w:val="single" w:color="000000" w:sz="0" w:space="0"/>
              <w:bottom w:val="single" w:color="000000" w:sz="0" w:space="0"/>
            </w:tcBorders>
          </w:tcPr>
          <w:p w14:paraId="2E24C310">
            <w:pPr>
              <w:spacing w:after="0" w:line="240" w:lineRule="auto"/>
            </w:pPr>
            <w:r>
              <w:t>1</w:t>
            </w:r>
          </w:p>
        </w:tc>
        <w:tc>
          <w:tcPr>
            <w:tcBorders>
              <w:top w:val="single" w:color="000000" w:sz="0" w:space="0"/>
              <w:left w:val="single" w:color="000000" w:sz="0" w:space="0"/>
              <w:bottom w:val="single" w:color="000000" w:sz="0" w:space="0"/>
            </w:tcBorders>
          </w:tcPr>
          <w:p w14:paraId="0BD3C087">
            <w:pPr>
              <w:spacing w:after="0" w:line="240" w:lineRule="auto"/>
            </w:pPr>
            <w:r>
              <w:rPr>
                <w:rFonts w:ascii="Georgia" w:hAnsi="Georgia" w:eastAsia="Georgia" w:cs="Georgia"/>
              </w:rPr>
              <w:t>COD_mg_L</w:t>
            </w:r>
          </w:p>
        </w:tc>
        <w:tc>
          <w:tcPr>
            <w:tcBorders>
              <w:top w:val="single" w:color="000000" w:sz="0" w:space="0"/>
              <w:left w:val="single" w:color="000000" w:sz="0" w:space="0"/>
              <w:bottom w:val="single" w:color="000000" w:sz="0" w:space="0"/>
            </w:tcBorders>
          </w:tcPr>
          <w:p w14:paraId="136B6BD9">
            <w:pPr>
              <w:spacing w:after="0" w:line="240" w:lineRule="auto"/>
            </w:pPr>
            <w:r>
              <w:rPr>
                <w:rFonts w:ascii="Georgia" w:hAnsi="Georgia" w:eastAsia="Georgia" w:cs="Georgia"/>
              </w:rPr>
              <w:t>化学需氧量</w:t>
            </w:r>
          </w:p>
        </w:tc>
        <w:tc>
          <w:tcPr>
            <w:tcBorders>
              <w:top w:val="single" w:color="000000" w:sz="0" w:space="0"/>
              <w:left w:val="single" w:color="000000" w:sz="0" w:space="0"/>
              <w:bottom w:val="single" w:color="000000" w:sz="0" w:space="0"/>
            </w:tcBorders>
          </w:tcPr>
          <w:p w14:paraId="3FCB8CDB">
            <w:pPr>
              <w:spacing w:after="0" w:line="240" w:lineRule="auto"/>
            </w:pPr>
            <w:r>
              <w:rPr>
                <w:rFonts w:ascii="Georgia" w:hAnsi="Georgia" w:eastAsia="Georgia" w:cs="Georgia"/>
              </w:rPr>
              <w:t>有机污染的核心指标，对等级判别影响最大</w:t>
            </w:r>
          </w:p>
        </w:tc>
      </w:tr>
      <w:tr w14:paraId="27023C29">
        <w:trPr>
          <w:cantSplit/>
          <w:tblCellSpacing w:w="0" w:type="dxa"/>
          <w:jc w:val="center"/>
        </w:trPr>
        <w:tc>
          <w:tcPr>
            <w:tcBorders>
              <w:top w:val="single" w:color="000000" w:sz="0" w:space="0"/>
              <w:bottom w:val="single" w:color="000000" w:sz="0" w:space="0"/>
            </w:tcBorders>
          </w:tcPr>
          <w:p w14:paraId="763F97B7">
            <w:pPr>
              <w:spacing w:after="0" w:line="240" w:lineRule="auto"/>
            </w:pPr>
            <w:r>
              <w:t>2</w:t>
            </w:r>
          </w:p>
        </w:tc>
        <w:tc>
          <w:tcPr>
            <w:tcBorders>
              <w:top w:val="single" w:color="000000" w:sz="0" w:space="0"/>
              <w:left w:val="single" w:color="000000" w:sz="0" w:space="0"/>
              <w:bottom w:val="single" w:color="000000" w:sz="0" w:space="0"/>
            </w:tcBorders>
          </w:tcPr>
          <w:p w14:paraId="39DC48A0">
            <w:pPr>
              <w:spacing w:after="0" w:line="240" w:lineRule="auto"/>
            </w:pPr>
            <w:r>
              <w:rPr>
                <w:rFonts w:ascii="Georgia" w:hAnsi="Georgia" w:eastAsia="Georgia" w:cs="Georgia"/>
              </w:rPr>
              <w:t>Turbidity_NTU</w:t>
            </w:r>
          </w:p>
        </w:tc>
        <w:tc>
          <w:tcPr>
            <w:tcBorders>
              <w:top w:val="single" w:color="000000" w:sz="0" w:space="0"/>
              <w:left w:val="single" w:color="000000" w:sz="0" w:space="0"/>
              <w:bottom w:val="single" w:color="000000" w:sz="0" w:space="0"/>
            </w:tcBorders>
          </w:tcPr>
          <w:p w14:paraId="7219EAAD">
            <w:pPr>
              <w:spacing w:after="0" w:line="240" w:lineRule="auto"/>
            </w:pPr>
            <w:r>
              <w:rPr>
                <w:rFonts w:ascii="Georgia" w:hAnsi="Georgia" w:eastAsia="Georgia" w:cs="Georgia"/>
              </w:rPr>
              <w:t>浊度</w:t>
            </w:r>
          </w:p>
        </w:tc>
        <w:tc>
          <w:tcPr>
            <w:tcBorders>
              <w:top w:val="single" w:color="000000" w:sz="0" w:space="0"/>
              <w:left w:val="single" w:color="000000" w:sz="0" w:space="0"/>
              <w:bottom w:val="single" w:color="000000" w:sz="0" w:space="0"/>
            </w:tcBorders>
          </w:tcPr>
          <w:p w14:paraId="18B1E30F">
            <w:pPr>
              <w:spacing w:after="0" w:line="240" w:lineRule="auto"/>
            </w:pPr>
            <w:r>
              <w:rPr>
                <w:rFonts w:ascii="Georgia" w:hAnsi="Georgia" w:eastAsia="Georgia" w:cs="Georgia"/>
              </w:rPr>
              <w:t>反映悬浮物和胶体污染，视觉直观</w:t>
            </w:r>
          </w:p>
        </w:tc>
      </w:tr>
      <w:tr w14:paraId="3030AA0F">
        <w:trPr>
          <w:cantSplit/>
          <w:tblCellSpacing w:w="0" w:type="dxa"/>
          <w:jc w:val="center"/>
        </w:trPr>
        <w:tc>
          <w:tcPr>
            <w:tcBorders>
              <w:top w:val="single" w:color="000000" w:sz="0" w:space="0"/>
              <w:bottom w:val="single" w:color="000000" w:sz="0" w:space="0"/>
            </w:tcBorders>
          </w:tcPr>
          <w:p w14:paraId="001162E5">
            <w:pPr>
              <w:spacing w:after="0" w:line="240" w:lineRule="auto"/>
            </w:pPr>
            <w:r>
              <w:t>3</w:t>
            </w:r>
          </w:p>
        </w:tc>
        <w:tc>
          <w:tcPr>
            <w:tcBorders>
              <w:top w:val="single" w:color="000000" w:sz="0" w:space="0"/>
              <w:left w:val="single" w:color="000000" w:sz="0" w:space="0"/>
              <w:bottom w:val="single" w:color="000000" w:sz="0" w:space="0"/>
            </w:tcBorders>
          </w:tcPr>
          <w:p w14:paraId="27CAA08C">
            <w:pPr>
              <w:spacing w:after="0" w:line="240" w:lineRule="auto"/>
            </w:pPr>
            <w:r>
              <w:t>Longitude</w:t>
            </w:r>
          </w:p>
        </w:tc>
        <w:tc>
          <w:tcPr>
            <w:tcBorders>
              <w:top w:val="single" w:color="000000" w:sz="0" w:space="0"/>
              <w:left w:val="single" w:color="000000" w:sz="0" w:space="0"/>
              <w:bottom w:val="single" w:color="000000" w:sz="0" w:space="0"/>
            </w:tcBorders>
          </w:tcPr>
          <w:p w14:paraId="555AC588">
            <w:pPr>
              <w:spacing w:after="0" w:line="240" w:lineRule="auto"/>
            </w:pPr>
            <w:r>
              <w:rPr>
                <w:rFonts w:ascii="Georgia" w:hAnsi="Georgia" w:eastAsia="Georgia" w:cs="Georgia"/>
              </w:rPr>
              <w:t>经度</w:t>
            </w:r>
          </w:p>
        </w:tc>
        <w:tc>
          <w:tcPr>
            <w:tcBorders>
              <w:top w:val="single" w:color="000000" w:sz="0" w:space="0"/>
              <w:left w:val="single" w:color="000000" w:sz="0" w:space="0"/>
              <w:bottom w:val="single" w:color="000000" w:sz="0" w:space="0"/>
            </w:tcBorders>
          </w:tcPr>
          <w:p w14:paraId="130AD4FD">
            <w:pPr>
              <w:spacing w:after="0" w:line="240" w:lineRule="auto"/>
            </w:pPr>
            <w:r>
              <w:rPr>
                <w:rFonts w:ascii="Georgia" w:hAnsi="Georgia" w:eastAsia="Georgia" w:cs="Georgia"/>
              </w:rPr>
              <w:t>空间位置信息，反映区域差异</w:t>
            </w:r>
          </w:p>
        </w:tc>
      </w:tr>
      <w:tr w14:paraId="2C0D1064">
        <w:trPr>
          <w:cantSplit/>
          <w:tblCellSpacing w:w="0" w:type="dxa"/>
          <w:jc w:val="center"/>
        </w:trPr>
        <w:tc>
          <w:tcPr>
            <w:tcBorders>
              <w:top w:val="single" w:color="000000" w:sz="0" w:space="0"/>
              <w:bottom w:val="single" w:color="000000" w:sz="0" w:space="0"/>
            </w:tcBorders>
          </w:tcPr>
          <w:p w14:paraId="0816A429">
            <w:pPr>
              <w:spacing w:after="0" w:line="240" w:lineRule="auto"/>
            </w:pPr>
            <w:r>
              <w:t>4</w:t>
            </w:r>
          </w:p>
        </w:tc>
        <w:tc>
          <w:tcPr>
            <w:tcBorders>
              <w:top w:val="single" w:color="000000" w:sz="0" w:space="0"/>
              <w:left w:val="single" w:color="000000" w:sz="0" w:space="0"/>
              <w:bottom w:val="single" w:color="000000" w:sz="0" w:space="0"/>
            </w:tcBorders>
          </w:tcPr>
          <w:p w14:paraId="7C139D73">
            <w:pPr>
              <w:spacing w:after="0" w:line="240" w:lineRule="auto"/>
            </w:pPr>
            <w:r>
              <w:rPr>
                <w:rFonts w:ascii="Georgia" w:hAnsi="Georgia" w:eastAsia="Georgia" w:cs="Georgia"/>
              </w:rPr>
              <w:t>Dissolved_Oxygen_mg_L</w:t>
            </w:r>
          </w:p>
        </w:tc>
        <w:tc>
          <w:tcPr>
            <w:tcBorders>
              <w:top w:val="single" w:color="000000" w:sz="0" w:space="0"/>
              <w:left w:val="single" w:color="000000" w:sz="0" w:space="0"/>
              <w:bottom w:val="single" w:color="000000" w:sz="0" w:space="0"/>
            </w:tcBorders>
          </w:tcPr>
          <w:p w14:paraId="0ED90D0E">
            <w:pPr>
              <w:spacing w:after="0" w:line="240" w:lineRule="auto"/>
            </w:pPr>
            <w:r>
              <w:rPr>
                <w:rFonts w:ascii="Georgia" w:hAnsi="Georgia" w:eastAsia="Georgia" w:cs="Georgia"/>
              </w:rPr>
              <w:t>溶解氧</w:t>
            </w:r>
          </w:p>
        </w:tc>
        <w:tc>
          <w:tcPr>
            <w:tcBorders>
              <w:top w:val="single" w:color="000000" w:sz="0" w:space="0"/>
              <w:left w:val="single" w:color="000000" w:sz="0" w:space="0"/>
              <w:bottom w:val="single" w:color="000000" w:sz="0" w:space="0"/>
            </w:tcBorders>
          </w:tcPr>
          <w:p w14:paraId="33588BBC">
            <w:pPr>
              <w:spacing w:after="0" w:line="240" w:lineRule="auto"/>
            </w:pPr>
            <w:r>
              <w:rPr>
                <w:rFonts w:ascii="Georgia" w:hAnsi="Georgia" w:eastAsia="Georgia" w:cs="Georgia"/>
              </w:rPr>
              <w:t>水体自净能力指标，低值预示污染</w:t>
            </w:r>
          </w:p>
        </w:tc>
      </w:tr>
      <w:tr w14:paraId="0308E053">
        <w:trPr>
          <w:cantSplit/>
          <w:tblCellSpacing w:w="0" w:type="dxa"/>
          <w:jc w:val="center"/>
        </w:trPr>
        <w:tc>
          <w:tcPr>
            <w:tcBorders>
              <w:top w:val="single" w:color="000000" w:sz="0" w:space="0"/>
              <w:bottom w:val="single" w:color="000000" w:sz="0" w:space="0"/>
            </w:tcBorders>
          </w:tcPr>
          <w:p w14:paraId="03E0FCBF">
            <w:pPr>
              <w:spacing w:after="0" w:line="240" w:lineRule="auto"/>
            </w:pPr>
            <w:r>
              <w:t>5</w:t>
            </w:r>
          </w:p>
        </w:tc>
        <w:tc>
          <w:tcPr>
            <w:tcBorders>
              <w:top w:val="single" w:color="000000" w:sz="0" w:space="0"/>
              <w:left w:val="single" w:color="000000" w:sz="0" w:space="0"/>
              <w:bottom w:val="single" w:color="000000" w:sz="0" w:space="0"/>
            </w:tcBorders>
          </w:tcPr>
          <w:p w14:paraId="7B7AC2DC">
            <w:pPr>
              <w:spacing w:after="0" w:line="240" w:lineRule="auto"/>
            </w:pPr>
            <w:r>
              <w:t>Latitude</w:t>
            </w:r>
          </w:p>
        </w:tc>
        <w:tc>
          <w:tcPr>
            <w:tcBorders>
              <w:top w:val="single" w:color="000000" w:sz="0" w:space="0"/>
              <w:left w:val="single" w:color="000000" w:sz="0" w:space="0"/>
              <w:bottom w:val="single" w:color="000000" w:sz="0" w:space="0"/>
            </w:tcBorders>
          </w:tcPr>
          <w:p w14:paraId="74887A82">
            <w:pPr>
              <w:spacing w:after="0" w:line="240" w:lineRule="auto"/>
            </w:pPr>
            <w:r>
              <w:rPr>
                <w:rFonts w:ascii="Georgia" w:hAnsi="Georgia" w:eastAsia="Georgia" w:cs="Georgia"/>
              </w:rPr>
              <w:t>纬度</w:t>
            </w:r>
          </w:p>
        </w:tc>
        <w:tc>
          <w:tcPr>
            <w:tcBorders>
              <w:top w:val="single" w:color="000000" w:sz="0" w:space="0"/>
              <w:left w:val="single" w:color="000000" w:sz="0" w:space="0"/>
              <w:bottom w:val="single" w:color="000000" w:sz="0" w:space="0"/>
            </w:tcBorders>
          </w:tcPr>
          <w:p w14:paraId="7C6A28D9">
            <w:pPr>
              <w:spacing w:after="0" w:line="240" w:lineRule="auto"/>
            </w:pPr>
            <w:r>
              <w:rPr>
                <w:rFonts w:ascii="Georgia" w:hAnsi="Georgia" w:eastAsia="Georgia" w:cs="Georgia"/>
              </w:rPr>
              <w:t>空间位置信息，捕捉南北差异</w:t>
            </w:r>
          </w:p>
        </w:tc>
      </w:tr>
    </w:tbl>
    <w:p w14:paraId="2A53E4AF">
      <w:pPr>
        <w:snapToGrid/>
        <w:spacing w:beforeAutospacing="0" w:after="0" w:afterAutospacing="0" w:line="400" w:lineRule="exact"/>
        <w:ind w:left="0" w:leftChars="0" w:right="0" w:rightChars="0" w:firstLine="480" w:firstLineChars="200"/>
        <w:jc w:val="both"/>
        <w:rPr>
          <w:rFonts w:ascii="Times New Roman" w:eastAsia="宋体"/>
          <w:sz w:val="24"/>
        </w:rPr>
      </w:pPr>
    </w:p>
    <w:p w14:paraId="767098FF">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从表6可以看出，化学需氧量（COD）在污染等级分类中起到主导作用，这与COD作为水质综合评价的关键指标相符。浊度排名第二，说明悬浮物污染对视觉水质的判断具有重要影响。值得注意的是，地理位置（经纬度）进入前五，表明不同区域的水质特征存在系统性差异，这可能与各地的产业结构、污染治理水平和自然条件相关。溶解氧的高重要性则强调了水体自净能力在污染评估中的核心地位。</w:t>
      </w:r>
    </w:p>
    <w:p w14:paraId="601A245C">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图8和图9从不同角度展示了分类任务中各特征的SHAP重要性分析结果。</w:t>
      </w:r>
    </w:p>
    <w:p w14:paraId="7E51E36C">
      <w:pPr>
        <w:snapToGrid/>
        <w:spacing w:beforeAutospacing="0" w:after="0" w:afterAutospacing="0" w:line="400" w:lineRule="exact"/>
        <w:ind w:left="0" w:leftChars="0" w:right="0" w:rightChars="0" w:firstLine="480" w:firstLineChars="200"/>
        <w:jc w:val="both"/>
        <w:rPr>
          <w:rFonts w:ascii="Times New Roman" w:eastAsia="宋体"/>
          <w:sz w:val="24"/>
        </w:rPr>
      </w:pPr>
    </w:p>
    <w:p w14:paraId="5ACB3E6F">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8展示了LightGBM分类模型的SHAP摘要图。图中每个点代表一个样本，横轴为SHAP值（正值推向更高污染等级，负值推向更低等级），纵轴为特征排序。点的颜色表示特征值的高低（红色=高值，蓝色=低值）。可以清晰看到COD和浊度的SHAP值分布范围最广，且高特征值（红点）对应正SHAP值，证实了这两个指标与污染等级的正相关关系。</w:t>
      </w:r>
    </w:p>
    <w:p w14:paraId="06FB10CF">
      <w:pPr>
        <w:snapToGrid/>
        <w:spacing w:beforeAutospacing="0" w:after="0" w:afterAutospacing="0" w:line="400" w:lineRule="exact"/>
        <w:ind w:left="0" w:leftChars="0" w:right="0" w:rightChars="0" w:firstLine="480" w:firstLineChars="200"/>
        <w:jc w:val="both"/>
        <w:rPr>
          <w:rFonts w:ascii="Times New Roman" w:eastAsia="宋体"/>
          <w:sz w:val="24"/>
        </w:rPr>
      </w:pPr>
    </w:p>
    <w:p w14:paraId="1A06B1AD">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注，图9以条形图形式直观展示了各特征的平均绝对SHAP值。COD以绝对优势位居第一（</w:t>
      </w:r>
      <m:oMath>
        <m:r>
          <m:rPr>
            <m:sty m:val="p"/>
          </m:rPr>
          <w:rPr>
            <w:rFonts w:ascii="Times New Roman" w:hAnsi="Times New Roman" w:eastAsia="宋体"/>
            <w:sz w:val="24"/>
          </w:rPr>
          <m:t>|</m:t>
        </m:r>
        <m:r>
          <m:rPr>
            <m:nor/>
            <m:sty m:val="p"/>
          </m:rPr>
          <w:rPr>
            <w:rFonts w:ascii="Times New Roman" w:hAnsi="Times New Roman" w:eastAsia="宋体"/>
            <w:sz w:val="24"/>
          </w:rPr>
          <m:t>SHAP</m:t>
        </m:r>
        <m:r>
          <m:rPr>
            <m:sty m:val="p"/>
          </m:rPr>
          <w:rPr>
            <w:rFonts w:ascii="Times New Roman" w:hAnsi="Times New Roman" w:eastAsia="宋体"/>
            <w:sz w:val="24"/>
          </w:rPr>
          <m:t>|≈0.42</m:t>
        </m:r>
      </m:oMath>
      <w:r>
        <w:rPr>
          <w:rFonts w:ascii="Times New Roman" w:eastAsia="宋体"/>
          <w:i/>
          <w:sz w:val="24"/>
        </w:rPr>
        <w:t>），浊度次之（</w:t>
      </w:r>
      <m:oMath>
        <m:r>
          <m:rPr>
            <m:sty m:val="p"/>
          </m:rPr>
          <w:rPr>
            <w:rFonts w:ascii="Times New Roman" w:hAnsi="Times New Roman" w:eastAsia="宋体"/>
            <w:sz w:val="24"/>
          </w:rPr>
          <m:t>|</m:t>
        </m:r>
        <m:r>
          <m:rPr>
            <m:nor/>
            <m:sty m:val="p"/>
          </m:rPr>
          <w:rPr>
            <w:rFonts w:ascii="Times New Roman" w:hAnsi="Times New Roman" w:eastAsia="宋体"/>
            <w:sz w:val="24"/>
          </w:rPr>
          <m:t>SHAP</m:t>
        </m:r>
        <m:r>
          <m:rPr>
            <m:sty m:val="p"/>
          </m:rPr>
          <w:rPr>
            <w:rFonts w:ascii="Times New Roman" w:hAnsi="Times New Roman" w:eastAsia="宋体"/>
            <w:sz w:val="24"/>
          </w:rPr>
          <m:t>|≈0.31</m:t>
        </m:r>
      </m:oMath>
      <w:r>
        <w:rPr>
          <w:rFonts w:ascii="Times New Roman" w:eastAsia="宋体"/>
          <w:i/>
          <w:sz w:val="24"/>
        </w:rPr>
        <w:t>），经度和溶解氧分别排在第三、第四位。这一排序与表6完全一致，为特征重要性分析提供了可视化支持。条形长度直观反映了各特征对模型预测的平均贡献度。</w:t>
      </w:r>
    </w:p>
    <w:p w14:paraId="13319D98">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表7 回归任务（pH值预测）的SHAP特征重要性排序</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765"/>
        <w:gridCol w:w="2554"/>
        <w:gridCol w:w="1420"/>
        <w:gridCol w:w="3405"/>
      </w:tblGrid>
      <w:tr w14:paraId="545A7DEF">
        <w:trPr>
          <w:cantSplit/>
          <w:tblCellSpacing w:w="0" w:type="dxa"/>
          <w:jc w:val="center"/>
        </w:trPr>
        <w:tc>
          <w:tcPr>
            <w:tcBorders>
              <w:top w:val="single" w:color="000000" w:sz="0" w:space="0"/>
              <w:bottom w:val="single" w:color="000000" w:sz="0" w:space="0"/>
            </w:tcBorders>
          </w:tcPr>
          <w:p w14:paraId="7254DA52">
            <w:pPr>
              <w:spacing w:after="0" w:line="240" w:lineRule="auto"/>
            </w:pPr>
            <w:r>
              <w:rPr>
                <w:rFonts w:ascii="Georgia" w:hAnsi="Georgia" w:eastAsia="Georgia" w:cs="Georgia"/>
              </w:rPr>
              <w:t>排名</w:t>
            </w:r>
          </w:p>
        </w:tc>
        <w:tc>
          <w:tcPr>
            <w:tcBorders>
              <w:top w:val="single" w:color="000000" w:sz="0" w:space="0"/>
              <w:left w:val="single" w:color="000000" w:sz="0" w:space="0"/>
              <w:bottom w:val="single" w:color="000000" w:sz="0" w:space="0"/>
            </w:tcBorders>
          </w:tcPr>
          <w:p w14:paraId="6B57A19C">
            <w:pPr>
              <w:spacing w:after="0" w:line="240" w:lineRule="auto"/>
            </w:pPr>
            <w:r>
              <w:rPr>
                <w:rFonts w:ascii="Georgia" w:hAnsi="Georgia" w:eastAsia="Georgia" w:cs="Georgia"/>
              </w:rPr>
              <w:t>特征名称</w:t>
            </w:r>
          </w:p>
        </w:tc>
        <w:tc>
          <w:tcPr>
            <w:tcBorders>
              <w:top w:val="single" w:color="000000" w:sz="0" w:space="0"/>
              <w:left w:val="single" w:color="000000" w:sz="0" w:space="0"/>
              <w:bottom w:val="single" w:color="000000" w:sz="0" w:space="0"/>
            </w:tcBorders>
          </w:tcPr>
          <w:p w14:paraId="629121E5">
            <w:pPr>
              <w:spacing w:after="0" w:line="240" w:lineRule="auto"/>
            </w:pPr>
            <w:r>
              <w:rPr>
                <w:rFonts w:ascii="Georgia" w:hAnsi="Georgia" w:eastAsia="Georgia" w:cs="Georgia"/>
              </w:rPr>
              <w:t>中文名称</w:t>
            </w:r>
          </w:p>
        </w:tc>
        <w:tc>
          <w:tcPr>
            <w:tcBorders>
              <w:top w:val="single" w:color="000000" w:sz="0" w:space="0"/>
              <w:left w:val="single" w:color="000000" w:sz="0" w:space="0"/>
              <w:bottom w:val="single" w:color="000000" w:sz="0" w:space="0"/>
            </w:tcBorders>
          </w:tcPr>
          <w:p w14:paraId="05178684">
            <w:pPr>
              <w:spacing w:after="0" w:line="240" w:lineRule="auto"/>
            </w:pPr>
            <w:r>
              <w:rPr>
                <w:rFonts w:ascii="Georgia" w:hAnsi="Georgia" w:eastAsia="Georgia" w:cs="Georgia"/>
              </w:rPr>
              <w:t>重要性解读</w:t>
            </w:r>
          </w:p>
        </w:tc>
      </w:tr>
      <w:tr w14:paraId="759D9AD3">
        <w:trPr>
          <w:cantSplit/>
          <w:tblCellSpacing w:w="0" w:type="dxa"/>
          <w:jc w:val="center"/>
        </w:trPr>
        <w:tc>
          <w:tcPr>
            <w:tcBorders>
              <w:top w:val="single" w:color="000000" w:sz="0" w:space="0"/>
              <w:bottom w:val="single" w:color="000000" w:sz="0" w:space="0"/>
            </w:tcBorders>
          </w:tcPr>
          <w:p w14:paraId="320247F9">
            <w:pPr>
              <w:spacing w:after="0" w:line="240" w:lineRule="auto"/>
            </w:pPr>
            <w:r>
              <w:t>1</w:t>
            </w:r>
          </w:p>
        </w:tc>
        <w:tc>
          <w:tcPr>
            <w:tcBorders>
              <w:top w:val="single" w:color="000000" w:sz="0" w:space="0"/>
              <w:left w:val="single" w:color="000000" w:sz="0" w:space="0"/>
              <w:bottom w:val="single" w:color="000000" w:sz="0" w:space="0"/>
            </w:tcBorders>
          </w:tcPr>
          <w:p w14:paraId="53BD0A90">
            <w:pPr>
              <w:spacing w:after="0" w:line="240" w:lineRule="auto"/>
            </w:pPr>
            <w:r>
              <w:rPr>
                <w:rFonts w:ascii="Georgia" w:hAnsi="Georgia" w:eastAsia="Georgia" w:cs="Georgia"/>
              </w:rPr>
              <w:t>Total_Nitrogen_mg_L</w:t>
            </w:r>
          </w:p>
        </w:tc>
        <w:tc>
          <w:tcPr>
            <w:tcBorders>
              <w:top w:val="single" w:color="000000" w:sz="0" w:space="0"/>
              <w:left w:val="single" w:color="000000" w:sz="0" w:space="0"/>
              <w:bottom w:val="single" w:color="000000" w:sz="0" w:space="0"/>
            </w:tcBorders>
          </w:tcPr>
          <w:p w14:paraId="69FE46ED">
            <w:pPr>
              <w:spacing w:after="0" w:line="240" w:lineRule="auto"/>
            </w:pPr>
            <w:r>
              <w:rPr>
                <w:rFonts w:ascii="Georgia" w:hAnsi="Georgia" w:eastAsia="Georgia" w:cs="Georgia"/>
              </w:rPr>
              <w:t>总氮</w:t>
            </w:r>
          </w:p>
        </w:tc>
        <w:tc>
          <w:tcPr>
            <w:tcBorders>
              <w:top w:val="single" w:color="000000" w:sz="0" w:space="0"/>
              <w:left w:val="single" w:color="000000" w:sz="0" w:space="0"/>
              <w:bottom w:val="single" w:color="000000" w:sz="0" w:space="0"/>
            </w:tcBorders>
          </w:tcPr>
          <w:p w14:paraId="4CE0B994">
            <w:pPr>
              <w:spacing w:after="0" w:line="240" w:lineRule="auto"/>
            </w:pPr>
            <w:r>
              <w:rPr>
                <w:rFonts w:ascii="Georgia" w:hAnsi="Georgia" w:eastAsia="Georgia" w:cs="Georgia"/>
              </w:rPr>
              <w:t>营养盐指标，影响水体酸碱平衡</w:t>
            </w:r>
          </w:p>
        </w:tc>
      </w:tr>
      <w:tr w14:paraId="15FC601D">
        <w:trPr>
          <w:cantSplit/>
          <w:tblCellSpacing w:w="0" w:type="dxa"/>
          <w:jc w:val="center"/>
        </w:trPr>
        <w:tc>
          <w:tcPr>
            <w:tcBorders>
              <w:top w:val="single" w:color="000000" w:sz="0" w:space="0"/>
              <w:bottom w:val="single" w:color="000000" w:sz="0" w:space="0"/>
            </w:tcBorders>
          </w:tcPr>
          <w:p w14:paraId="44300E9D">
            <w:pPr>
              <w:spacing w:after="0" w:line="240" w:lineRule="auto"/>
            </w:pPr>
            <w:r>
              <w:t>2</w:t>
            </w:r>
          </w:p>
        </w:tc>
        <w:tc>
          <w:tcPr>
            <w:tcBorders>
              <w:top w:val="single" w:color="000000" w:sz="0" w:space="0"/>
              <w:left w:val="single" w:color="000000" w:sz="0" w:space="0"/>
              <w:bottom w:val="single" w:color="000000" w:sz="0" w:space="0"/>
            </w:tcBorders>
          </w:tcPr>
          <w:p w14:paraId="1F5C9D18">
            <w:pPr>
              <w:spacing w:after="0" w:line="240" w:lineRule="auto"/>
            </w:pPr>
            <w:r>
              <w:rPr>
                <w:rFonts w:ascii="Georgia" w:hAnsi="Georgia" w:eastAsia="Georgia" w:cs="Georgia"/>
              </w:rPr>
              <w:t>NP_Ratio</w:t>
            </w:r>
          </w:p>
        </w:tc>
        <w:tc>
          <w:tcPr>
            <w:tcBorders>
              <w:top w:val="single" w:color="000000" w:sz="0" w:space="0"/>
              <w:left w:val="single" w:color="000000" w:sz="0" w:space="0"/>
              <w:bottom w:val="single" w:color="000000" w:sz="0" w:space="0"/>
            </w:tcBorders>
          </w:tcPr>
          <w:p w14:paraId="1867B635">
            <w:pPr>
              <w:spacing w:after="0" w:line="240" w:lineRule="auto"/>
            </w:pPr>
            <w:r>
              <w:rPr>
                <w:rFonts w:ascii="Georgia" w:hAnsi="Georgia" w:eastAsia="Georgia" w:cs="Georgia"/>
              </w:rPr>
              <w:t>氮磷比</w:t>
            </w:r>
          </w:p>
        </w:tc>
        <w:tc>
          <w:tcPr>
            <w:tcBorders>
              <w:top w:val="single" w:color="000000" w:sz="0" w:space="0"/>
              <w:left w:val="single" w:color="000000" w:sz="0" w:space="0"/>
              <w:bottom w:val="single" w:color="000000" w:sz="0" w:space="0"/>
            </w:tcBorders>
          </w:tcPr>
          <w:p w14:paraId="492F9BFA">
            <w:pPr>
              <w:spacing w:after="0" w:line="240" w:lineRule="auto"/>
            </w:pPr>
            <w:r>
              <w:rPr>
                <w:rFonts w:ascii="Georgia" w:hAnsi="Georgia" w:eastAsia="Georgia" w:cs="Georgia"/>
              </w:rPr>
              <w:t>工程特征，反映营养盐结构</w:t>
            </w:r>
          </w:p>
        </w:tc>
      </w:tr>
      <w:tr w14:paraId="58D16854">
        <w:trPr>
          <w:cantSplit/>
          <w:tblCellSpacing w:w="0" w:type="dxa"/>
          <w:jc w:val="center"/>
        </w:trPr>
        <w:tc>
          <w:tcPr>
            <w:tcBorders>
              <w:top w:val="single" w:color="000000" w:sz="0" w:space="0"/>
              <w:bottom w:val="single" w:color="000000" w:sz="0" w:space="0"/>
            </w:tcBorders>
          </w:tcPr>
          <w:p w14:paraId="46A4D243">
            <w:pPr>
              <w:spacing w:after="0" w:line="240" w:lineRule="auto"/>
            </w:pPr>
            <w:r>
              <w:t>3</w:t>
            </w:r>
          </w:p>
        </w:tc>
        <w:tc>
          <w:tcPr>
            <w:tcBorders>
              <w:top w:val="single" w:color="000000" w:sz="0" w:space="0"/>
              <w:left w:val="single" w:color="000000" w:sz="0" w:space="0"/>
              <w:bottom w:val="single" w:color="000000" w:sz="0" w:space="0"/>
            </w:tcBorders>
          </w:tcPr>
          <w:p w14:paraId="08D5CA31">
            <w:pPr>
              <w:spacing w:after="0" w:line="240" w:lineRule="auto"/>
            </w:pPr>
            <w:r>
              <w:rPr>
                <w:rFonts w:ascii="Georgia" w:hAnsi="Georgia" w:eastAsia="Georgia" w:cs="Georgia"/>
              </w:rPr>
              <w:t>Nitrate_mg_L</w:t>
            </w:r>
          </w:p>
        </w:tc>
        <w:tc>
          <w:tcPr>
            <w:tcBorders>
              <w:top w:val="single" w:color="000000" w:sz="0" w:space="0"/>
              <w:left w:val="single" w:color="000000" w:sz="0" w:space="0"/>
              <w:bottom w:val="single" w:color="000000" w:sz="0" w:space="0"/>
            </w:tcBorders>
          </w:tcPr>
          <w:p w14:paraId="6954C8E8">
            <w:pPr>
              <w:spacing w:after="0" w:line="240" w:lineRule="auto"/>
            </w:pPr>
            <w:r>
              <w:rPr>
                <w:rFonts w:ascii="Georgia" w:hAnsi="Georgia" w:eastAsia="Georgia" w:cs="Georgia"/>
              </w:rPr>
              <w:t>硝酸盐</w:t>
            </w:r>
          </w:p>
        </w:tc>
        <w:tc>
          <w:tcPr>
            <w:tcBorders>
              <w:top w:val="single" w:color="000000" w:sz="0" w:space="0"/>
              <w:left w:val="single" w:color="000000" w:sz="0" w:space="0"/>
              <w:bottom w:val="single" w:color="000000" w:sz="0" w:space="0"/>
            </w:tcBorders>
          </w:tcPr>
          <w:p w14:paraId="2D511FF2">
            <w:pPr>
              <w:spacing w:after="0" w:line="240" w:lineRule="auto"/>
            </w:pPr>
            <w:r>
              <w:rPr>
                <w:rFonts w:ascii="Georgia" w:hAnsi="Georgia" w:eastAsia="Georgia" w:cs="Georgia"/>
              </w:rPr>
              <w:t>氮循环产物，与pH密切相关</w:t>
            </w:r>
          </w:p>
        </w:tc>
      </w:tr>
      <w:tr w14:paraId="5942B044">
        <w:trPr>
          <w:cantSplit/>
          <w:tblCellSpacing w:w="0" w:type="dxa"/>
          <w:jc w:val="center"/>
        </w:trPr>
        <w:tc>
          <w:tcPr>
            <w:tcBorders>
              <w:top w:val="single" w:color="000000" w:sz="0" w:space="0"/>
              <w:bottom w:val="single" w:color="000000" w:sz="0" w:space="0"/>
            </w:tcBorders>
          </w:tcPr>
          <w:p w14:paraId="4AC4A853">
            <w:pPr>
              <w:spacing w:after="0" w:line="240" w:lineRule="auto"/>
            </w:pPr>
            <w:r>
              <w:t>4</w:t>
            </w:r>
          </w:p>
        </w:tc>
        <w:tc>
          <w:tcPr>
            <w:tcBorders>
              <w:top w:val="single" w:color="000000" w:sz="0" w:space="0"/>
              <w:left w:val="single" w:color="000000" w:sz="0" w:space="0"/>
              <w:bottom w:val="single" w:color="000000" w:sz="0" w:space="0"/>
            </w:tcBorders>
          </w:tcPr>
          <w:p w14:paraId="019E4FF5">
            <w:pPr>
              <w:spacing w:after="0" w:line="240" w:lineRule="auto"/>
            </w:pPr>
            <w:r>
              <w:rPr>
                <w:rFonts w:ascii="Georgia" w:hAnsi="Georgia" w:eastAsia="Georgia" w:cs="Georgia"/>
              </w:rPr>
              <w:t>Conductivity_uS_cm</w:t>
            </w:r>
          </w:p>
        </w:tc>
        <w:tc>
          <w:tcPr>
            <w:tcBorders>
              <w:top w:val="single" w:color="000000" w:sz="0" w:space="0"/>
              <w:left w:val="single" w:color="000000" w:sz="0" w:space="0"/>
              <w:bottom w:val="single" w:color="000000" w:sz="0" w:space="0"/>
            </w:tcBorders>
          </w:tcPr>
          <w:p w14:paraId="51447FF8">
            <w:pPr>
              <w:spacing w:after="0" w:line="240" w:lineRule="auto"/>
            </w:pPr>
            <w:r>
              <w:rPr>
                <w:rFonts w:ascii="Georgia" w:hAnsi="Georgia" w:eastAsia="Georgia" w:cs="Georgia"/>
              </w:rPr>
              <w:t>电导率</w:t>
            </w:r>
          </w:p>
        </w:tc>
        <w:tc>
          <w:tcPr>
            <w:tcBorders>
              <w:top w:val="single" w:color="000000" w:sz="0" w:space="0"/>
              <w:left w:val="single" w:color="000000" w:sz="0" w:space="0"/>
              <w:bottom w:val="single" w:color="000000" w:sz="0" w:space="0"/>
            </w:tcBorders>
          </w:tcPr>
          <w:p w14:paraId="515FBA85">
            <w:pPr>
              <w:spacing w:after="0" w:line="240" w:lineRule="auto"/>
            </w:pPr>
            <w:r>
              <w:rPr>
                <w:rFonts w:ascii="Georgia" w:hAnsi="Georgia" w:eastAsia="Georgia" w:cs="Georgia"/>
              </w:rPr>
              <w:t>反映离子总量，间接指示pH</w:t>
            </w:r>
          </w:p>
        </w:tc>
      </w:tr>
      <w:tr w14:paraId="42E97434">
        <w:trPr>
          <w:cantSplit/>
          <w:tblCellSpacing w:w="0" w:type="dxa"/>
          <w:jc w:val="center"/>
        </w:trPr>
        <w:tc>
          <w:tcPr>
            <w:tcBorders>
              <w:top w:val="single" w:color="000000" w:sz="0" w:space="0"/>
              <w:bottom w:val="single" w:color="000000" w:sz="0" w:space="0"/>
            </w:tcBorders>
          </w:tcPr>
          <w:p w14:paraId="536FF54A">
            <w:pPr>
              <w:spacing w:after="0" w:line="240" w:lineRule="auto"/>
            </w:pPr>
            <w:r>
              <w:t>5</w:t>
            </w:r>
          </w:p>
        </w:tc>
        <w:tc>
          <w:tcPr>
            <w:tcBorders>
              <w:top w:val="single" w:color="000000" w:sz="0" w:space="0"/>
              <w:left w:val="single" w:color="000000" w:sz="0" w:space="0"/>
              <w:bottom w:val="single" w:color="000000" w:sz="0" w:space="0"/>
            </w:tcBorders>
          </w:tcPr>
          <w:p w14:paraId="5CF21811">
            <w:pPr>
              <w:spacing w:after="0" w:line="240" w:lineRule="auto"/>
            </w:pPr>
            <w:r>
              <w:rPr>
                <w:rFonts w:ascii="Georgia" w:hAnsi="Georgia" w:eastAsia="Georgia" w:cs="Georgia"/>
              </w:rPr>
              <w:t>BOD_mg_L</w:t>
            </w:r>
          </w:p>
        </w:tc>
        <w:tc>
          <w:tcPr>
            <w:tcBorders>
              <w:top w:val="single" w:color="000000" w:sz="0" w:space="0"/>
              <w:left w:val="single" w:color="000000" w:sz="0" w:space="0"/>
              <w:bottom w:val="single" w:color="000000" w:sz="0" w:space="0"/>
            </w:tcBorders>
          </w:tcPr>
          <w:p w14:paraId="21FD9856">
            <w:pPr>
              <w:spacing w:after="0" w:line="240" w:lineRule="auto"/>
            </w:pPr>
            <w:r>
              <w:rPr>
                <w:rFonts w:ascii="Georgia" w:hAnsi="Georgia" w:eastAsia="Georgia" w:cs="Georgia"/>
              </w:rPr>
              <w:t>生化需氧量</w:t>
            </w:r>
          </w:p>
        </w:tc>
        <w:tc>
          <w:tcPr>
            <w:tcBorders>
              <w:top w:val="single" w:color="000000" w:sz="0" w:space="0"/>
              <w:left w:val="single" w:color="000000" w:sz="0" w:space="0"/>
              <w:bottom w:val="single" w:color="000000" w:sz="0" w:space="0"/>
            </w:tcBorders>
          </w:tcPr>
          <w:p w14:paraId="2D2D1286">
            <w:pPr>
              <w:spacing w:after="0" w:line="240" w:lineRule="auto"/>
            </w:pPr>
            <w:r>
              <w:rPr>
                <w:rFonts w:ascii="Georgia" w:hAnsi="Georgia" w:eastAsia="Georgia" w:cs="Georgia"/>
              </w:rPr>
              <w:t>有机物降解消耗氧气，影响pH</w:t>
            </w:r>
          </w:p>
        </w:tc>
      </w:tr>
    </w:tbl>
    <w:p w14:paraId="5060A0B9">
      <w:pPr>
        <w:snapToGrid/>
        <w:spacing w:beforeAutospacing="0" w:after="0" w:afterAutospacing="0" w:line="400" w:lineRule="exact"/>
        <w:ind w:left="0" w:leftChars="0" w:right="0" w:rightChars="0" w:firstLine="480" w:firstLineChars="200"/>
        <w:jc w:val="both"/>
        <w:rPr>
          <w:rFonts w:ascii="Times New Roman" w:eastAsia="宋体"/>
          <w:sz w:val="24"/>
        </w:rPr>
      </w:pPr>
    </w:p>
    <w:p w14:paraId="403649AA">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表7显示，在pH值预测任务中，氮相关指标占据主导地位。总氮和硝酸盐分别位列第一和第三，氮磷比（工程特征）排名第二，这一结果揭示了氮循环与水体酸碱性之间的强关联。硝化作用（氨氮转化为硝酸盐）会释放氢离子，从而降低pH值，这一化学过程在SHAP分析中得到了数据支持。电导率排名第四，说明总离子浓度对pH预测具有一定的指示作用。BOD的入选则提示有机物分解过程对水体酸碱平衡的潜在影响。</w:t>
      </w:r>
    </w:p>
    <w:p w14:paraId="360D8580">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图10和图11展示了回归任务（pH值预测）的SHAP分析结果。</w:t>
      </w:r>
    </w:p>
    <w:p w14:paraId="7B939AB8">
      <w:pPr>
        <w:snapToGrid/>
        <w:spacing w:beforeAutospacing="0" w:after="0" w:afterAutospacing="0" w:line="400" w:lineRule="exact"/>
        <w:ind w:left="0" w:leftChars="0" w:right="0" w:rightChars="0" w:firstLine="480" w:firstLineChars="200"/>
        <w:jc w:val="both"/>
        <w:rPr>
          <w:rFonts w:ascii="Times New Roman" w:eastAsia="宋体"/>
          <w:sz w:val="24"/>
        </w:rPr>
      </w:pPr>
    </w:p>
    <w:p w14:paraId="75609DF3">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10展示了XGBoost回归模型的SHAP摘要图。与分类任务不同，回归任务中总氮（Total_Nitrogen_mg_L）的SHAP值分布最为分散，表明其对pH预测的影响力最强。氮磷比（NP_Ratio）作为工程特征排名第二，验证了特征工程的有效性。图中可以看到，高总氮值（红点）对应正SHAP值，意味着总氮浓度升高会导致pH值预测上升，这与氮循环的化学机制相符。</w:t>
      </w:r>
    </w:p>
    <w:p w14:paraId="1FCB27F3">
      <w:pPr>
        <w:snapToGrid/>
        <w:spacing w:beforeAutospacing="0" w:after="0" w:afterAutospacing="0" w:line="400" w:lineRule="exact"/>
        <w:ind w:left="0" w:leftChars="0" w:right="0" w:rightChars="0" w:firstLine="480" w:firstLineChars="200"/>
        <w:jc w:val="both"/>
        <w:rPr>
          <w:rFonts w:ascii="Times New Roman" w:eastAsia="宋体"/>
          <w:sz w:val="24"/>
        </w:rPr>
      </w:pPr>
    </w:p>
    <w:p w14:paraId="2C99F4BC">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11以条形图形式展示了回归任务中各特征的平均绝对SHAP值。总氮以显著优势位居第一，氮磷比、硝酸盐紧随其后，三者均为氮相关指标，共同占据了前三位。这一排序与表7完全一致，进一步证实了氮循环在pH值预测中的核心作用。电导率和BOD分别排名第四和第五，反映了离子浓度和有机物分解过程对pH的辅助影响。</w:t>
      </w:r>
    </w:p>
    <w:p w14:paraId="7C288EA9">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通过对比表6和表7，可以发现不同预测任务的关键特征存在显著差异。分类任务更依赖于直观的污染指标（COD、浊度）和空间信息，而回归任务则突出了特定化学过程的影响。这一发现为特征工程和模型优化提供了明确的方向，在分类场景中应优先保证有机污染和浊度的测量精度，而在pH预测场景中则需重点关注氮循环相关指标的质量控制。</w:t>
      </w:r>
    </w:p>
    <w:p w14:paraId="0C6EFC2F">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除了全局特征重要性排序，SHAP依赖图还能够揭示特征值与SHAP值之间的非线性关系，以及特征间的交互效应。图12和图13展示了COD特征的依赖性分析。</w:t>
      </w:r>
    </w:p>
    <w:p w14:paraId="4594DA0A">
      <w:pPr>
        <w:snapToGrid/>
        <w:spacing w:beforeAutospacing="0" w:after="0" w:afterAutospacing="0" w:line="400" w:lineRule="exact"/>
        <w:ind w:left="0" w:leftChars="0" w:right="0" w:rightChars="0" w:firstLine="480" w:firstLineChars="200"/>
        <w:jc w:val="both"/>
        <w:rPr>
          <w:rFonts w:ascii="Times New Roman" w:eastAsia="宋体"/>
          <w:sz w:val="24"/>
        </w:rPr>
      </w:pPr>
    </w:p>
    <w:p w14:paraId="107F11F1">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注，图12展示了COD_mg_L特征的SHAP依赖图。横轴为COD的实际浓度值，纵轴为对应的SHAP值。可以观察到明显的非线性关系，当COD浓度低于约</w:t>
      </w:r>
      <m:oMath>
        <m:r>
          <m:rPr>
            <m:sty m:val="p"/>
          </m:rPr>
          <w:rPr>
            <w:rFonts w:ascii="Times New Roman" w:hAnsi="Times New Roman" w:eastAsia="宋体"/>
            <w:sz w:val="24"/>
          </w:rPr>
          <m:t>20</m:t>
        </m:r>
        <m:r>
          <m:rPr>
            <m:nor/>
            <m:sty m:val="p"/>
          </m:rPr>
          <w:rPr>
            <w:rFonts w:ascii="Times New Roman" w:hAnsi="Times New Roman" w:eastAsia="宋体"/>
            <w:sz w:val="24"/>
          </w:rPr>
          <m:t> mg/L</m:t>
        </m:r>
      </m:oMath>
      <w:r>
        <w:rPr>
          <w:rFonts w:ascii="Times New Roman" w:eastAsia="宋体"/>
          <w:i/>
          <w:sz w:val="24"/>
        </w:rPr>
        <w:t>时，SHAP值相对较低且变化平缓，一旦COD超过</w:t>
      </w:r>
      <m:oMath>
        <m:r>
          <m:rPr>
            <m:sty m:val="p"/>
          </m:rPr>
          <w:rPr>
            <w:rFonts w:ascii="Times New Roman" w:hAnsi="Times New Roman" w:eastAsia="宋体"/>
            <w:sz w:val="24"/>
          </w:rPr>
          <m:t>20</m:t>
        </m:r>
        <m:r>
          <m:rPr>
            <m:nor/>
            <m:sty m:val="p"/>
          </m:rPr>
          <w:rPr>
            <w:rFonts w:ascii="Times New Roman" w:hAnsi="Times New Roman" w:eastAsia="宋体"/>
            <w:sz w:val="24"/>
          </w:rPr>
          <m:t> mg/L</m:t>
        </m:r>
      </m:oMath>
      <w:r>
        <w:rPr>
          <w:rFonts w:ascii="Times New Roman" w:eastAsia="宋体"/>
          <w:i/>
          <w:sz w:val="24"/>
        </w:rPr>
        <w:t>，SHAP值急剧上升，表明存在阈值效应。这一发现为预警系统的阈值设定提供了数据支持，</w:t>
      </w:r>
      <m:oMath>
        <m:r>
          <m:rPr>
            <m:nor/>
            <m:sty m:val="p"/>
          </m:rPr>
          <w:rPr>
            <w:rFonts w:ascii="Times New Roman" w:hAnsi="Times New Roman" w:eastAsia="宋体"/>
            <w:b w:val="0"/>
            <w:i w:val="0"/>
            <w:sz w:val="24"/>
          </w:rPr>
          <m:t>COD</m:t>
        </m:r>
        <m:r>
          <m:rPr>
            <m:sty m:val="p"/>
          </m:rPr>
          <w:rPr>
            <w:rFonts w:ascii="Times New Roman" w:hAnsi="Times New Roman" w:eastAsia="宋体"/>
            <w:sz w:val="24"/>
          </w:rPr>
          <m:t>=20</m:t>
        </m:r>
        <m:r>
          <m:rPr>
            <m:nor/>
            <m:sty m:val="p"/>
          </m:rPr>
          <w:rPr>
            <w:rFonts w:ascii="Times New Roman" w:hAnsi="Times New Roman" w:eastAsia="宋体"/>
            <w:sz w:val="24"/>
          </w:rPr>
          <m:t> mg/L</m:t>
        </m:r>
      </m:oMath>
      <w:r>
        <w:rPr>
          <w:rFonts w:ascii="Times New Roman" w:eastAsia="宋体"/>
          <w:i/>
          <w:sz w:val="24"/>
        </w:rPr>
        <w:t>可作为从常规监测升级到提高警戒的关键分界点。图中点的颜色表示BOD值的高低，颜色分布显示COD与BOD存在协同效应。</w:t>
      </w:r>
    </w:p>
    <w:p w14:paraId="03ABF078">
      <w:pPr>
        <w:snapToGrid/>
        <w:spacing w:beforeAutospacing="0" w:after="0" w:afterAutospacing="0" w:line="400" w:lineRule="exact"/>
        <w:ind w:left="0" w:leftChars="0" w:right="0" w:rightChars="0" w:firstLine="480" w:firstLineChars="200"/>
        <w:jc w:val="both"/>
        <w:rPr>
          <w:rFonts w:ascii="Times New Roman" w:eastAsia="宋体"/>
          <w:sz w:val="24"/>
        </w:rPr>
      </w:pPr>
    </w:p>
    <w:p w14:paraId="7574501E">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13进一步展示了COD与浊度（Turbidity_NTU）之间的交互效应。横轴仍为COD浓度，纵轴为SHAP值，但点的颜色现在表示浊度的高低。可以清晰看到两个聚类，左下角的蓝色点簇（低COD+低浊度+负SHAP值）对应清洁水体，右上角的红色点簇（高COD+高浊度+正SHAP值）对应重污染水体。这种模式揭示了有机污染和悬浮物污染的协同作用，当两者同时升高时，对污染等级的推动作用呈现超线性增长，即"1+1&gt;2"的协同污染效应。这一发现提示在污染治理中需要同时控制有机物和悬浮物，单一指标的改善可能效果有限。</w:t>
      </w:r>
    </w:p>
    <w:p w14:paraId="1E7DC115">
      <w:pPr>
        <w:snapToGrid/>
        <w:spacing w:before="240" w:beforeAutospacing="0" w:after="120" w:afterAutospacing="0" w:line="240" w:lineRule="auto"/>
        <w:ind w:left="0" w:leftChars="0" w:right="0" w:rightChars="0" w:firstLine="0" w:firstLineChars="0"/>
        <w:jc w:val="both"/>
        <w:outlineLvl w:val="2"/>
        <w:rPr>
          <w:rFonts w:ascii="黑体" w:eastAsia="黑体"/>
          <w:b w:val="0"/>
          <w:sz w:val="26"/>
        </w:rPr>
      </w:pPr>
      <w:bookmarkStart w:id="63" w:name="bm_4_4_2_贝叶斯网络关联分析"/>
      <w:bookmarkStart w:id="64" w:name="_Toc1034067606"/>
      <w:r>
        <w:rPr>
          <w:rFonts w:ascii="黑体" w:hAnsi="Georgia" w:eastAsia="黑体" w:cs="Georgia"/>
          <w:b w:val="0"/>
          <w:sz w:val="26"/>
        </w:rPr>
        <w:t>4.4.2 贝叶斯网络关联分析</w:t>
      </w:r>
      <w:bookmarkEnd w:id="63"/>
      <w:bookmarkEnd w:id="64"/>
    </w:p>
    <w:p w14:paraId="1180B143">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除了预测模型，本研究还尝试探索水质污染的关联模式，特别是微生物污染（以大肠菌群为代表）与其他水质指标之间的条件依赖关系。贝叶斯网络是一种基于概率图模型的关联分析工具，能够表示变量之间的条件依赖关系。</w:t>
      </w:r>
    </w:p>
    <w:p w14:paraId="1E416B8F">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由于缺乏人口密度、建成区面积、降雨量等外部环境数据，本节构建的"有机污染负荷"（OPL）和"重金属污染压力"等变量本质上是基于COD、氨氮、重金属等内部水质指标的加权组合，属于污染指标而非社会经济指标。因此，本节的分析应被严格理解为</w:t>
      </w:r>
      <w:r>
        <w:rPr>
          <w:rFonts w:ascii="Times New Roman" w:eastAsia="宋体"/>
          <w:b/>
          <w:sz w:val="24"/>
        </w:rPr>
        <w:t>探索性关联分析</w:t>
      </w:r>
      <w:r>
        <w:rPr>
          <w:rFonts w:ascii="Times New Roman" w:hAnsi="Georgia" w:eastAsia="宋体" w:cs="Georgia"/>
          <w:sz w:val="24"/>
        </w:rPr>
        <w:t>（揭示不同污染指标间的共现模式和关联规律），而非因果推断。分析结果反映的是不同污染指标可能存在共同的污染源（如生活污水中同时包含有机物和微生物），在数据中表现为共现概率的统计关联，而非外部环境因素对水质的因果影响。这一方法局限性在解读结果时必须充分考虑。</w:t>
      </w:r>
    </w:p>
    <w:p w14:paraId="282FD8DA">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具体而言，本研究构建了以下代理变量，</w:t>
      </w:r>
    </w:p>
    <w:p w14:paraId="72A6DCCD">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1. 有机污染负荷（Organic Pollution Load, OPL）</w:t>
      </w:r>
    </w:p>
    <w:p w14:paraId="5DEFADC5">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本研究基于有机污染物浓度构建复合指标以反映有机污染的综合程度。计算公式为，</w:t>
      </w:r>
    </w:p>
    <w:p w14:paraId="58C061D1">
      <w:pPr>
        <w:snapToGrid/>
        <w:spacing w:beforeAutospacing="0" w:after="0" w:afterAutospacing="0" w:line="400" w:lineRule="exact"/>
        <w:ind w:left="0" w:leftChars="0" w:right="0" w:rightChars="0" w:firstLine="480" w:firstLineChars="200"/>
        <w:jc w:val="both"/>
        <w:rPr>
          <w:rFonts w:ascii="Times New Roman" w:eastAsia="宋体"/>
          <w:sz w:val="24"/>
        </w:rPr>
      </w:pPr>
      <m:oMathPara>
        <m:oMath>
          <m:r>
            <m:rPr>
              <m:nor/>
              <m:sty m:val="p"/>
            </m:rPr>
            <w:rPr>
              <w:rFonts w:ascii="Times New Roman" w:hAnsi="Times New Roman" w:eastAsia="宋体"/>
              <w:b w:val="0"/>
              <w:i w:val="0"/>
              <w:sz w:val="24"/>
            </w:rPr>
            <m:t>OPL</m:t>
          </m:r>
          <m:r>
            <m:rPr>
              <m:sty m:val="p"/>
            </m:rPr>
            <w:rPr>
              <w:rFonts w:ascii="Times New Roman" w:hAnsi="Times New Roman" w:eastAsia="宋体"/>
              <w:sz w:val="24"/>
            </w:rPr>
            <m:t>=</m:t>
          </m:r>
          <m:f>
            <m:fPr>
              <m:ctrlPr>
                <w:rPr>
                  <w:rFonts w:ascii="DejaVu Math TeX Gyre" w:hAnsi="DejaVu Math TeX Gyre" w:eastAsia="宋体"/>
                  <w:sz w:val="24"/>
                </w:rPr>
              </m:ctrlPr>
            </m:fPr>
            <m:num>
              <m:r>
                <m:rPr>
                  <m:nor/>
                  <m:sty m:val="p"/>
                </m:rPr>
                <w:rPr>
                  <w:rFonts w:ascii="Times New Roman" w:hAnsi="Times New Roman" w:eastAsia="宋体"/>
                  <w:b w:val="0"/>
                  <w:i w:val="0"/>
                  <w:sz w:val="24"/>
                </w:rPr>
                <m:t>COD (mg/L)</m:t>
              </m:r>
              <m:r>
                <m:rPr>
                  <m:sty m:val="p"/>
                </m:rPr>
                <w:rPr>
                  <w:rFonts w:ascii="Times New Roman" w:hAnsi="Times New Roman" w:eastAsia="宋体"/>
                  <w:sz w:val="24"/>
                </w:rPr>
                <m:t>+</m:t>
              </m:r>
              <m:sSub>
                <m:sSubPr>
                  <m:ctrlPr>
                    <w:rPr>
                      <w:rFonts w:ascii="DejaVu Math TeX Gyre" w:hAnsi="DejaVu Math TeX Gyre" w:eastAsia="宋体"/>
                      <w:sz w:val="24"/>
                    </w:rPr>
                  </m:ctrlPr>
                </m:sSubPr>
                <m:e>
                  <m:r>
                    <m:rPr>
                      <m:nor/>
                      <m:sty m:val="p"/>
                    </m:rPr>
                    <w:rPr>
                      <w:rFonts w:ascii="Times New Roman" w:hAnsi="Times New Roman" w:eastAsia="宋体"/>
                      <w:b w:val="0"/>
                      <w:i w:val="0"/>
                      <w:sz w:val="24"/>
                    </w:rPr>
                    <m:t>NH</m:t>
                  </m:r>
                  <m:ctrlPr>
                    <w:rPr>
                      <w:rFonts w:ascii="DejaVu Math TeX Gyre" w:hAnsi="DejaVu Math TeX Gyre" w:eastAsia="宋体"/>
                      <w:sz w:val="24"/>
                    </w:rPr>
                  </m:ctrlPr>
                </m:e>
                <m:sub>
                  <m:r>
                    <m:rPr>
                      <m:sty m:val="p"/>
                    </m:rPr>
                    <w:rPr>
                      <w:rFonts w:ascii="Times New Roman" w:hAnsi="Times New Roman" w:eastAsia="宋体"/>
                      <w:sz w:val="24"/>
                    </w:rPr>
                    <m:t>3</m:t>
                  </m:r>
                  <m:ctrlPr>
                    <w:rPr>
                      <w:rFonts w:ascii="DejaVu Math TeX Gyre" w:hAnsi="DejaVu Math TeX Gyre" w:eastAsia="宋体"/>
                      <w:sz w:val="24"/>
                    </w:rPr>
                  </m:ctrlPr>
                </m:sub>
              </m:sSub>
              <m:r>
                <m:rPr>
                  <m:nor/>
                  <m:sty m:val="p"/>
                </m:rPr>
                <w:rPr>
                  <w:rFonts w:ascii="Times New Roman" w:hAnsi="Times New Roman" w:eastAsia="宋体"/>
                  <w:b w:val="0"/>
                  <w:i w:val="0"/>
                  <w:sz w:val="24"/>
                </w:rPr>
                <m:t>-N (mg/L)</m:t>
              </m:r>
              <m:r>
                <m:rPr>
                  <m:sty m:val="p"/>
                </m:rPr>
                <w:rPr>
                  <w:rFonts w:ascii="Times New Roman" w:hAnsi="Times New Roman" w:eastAsia="宋体"/>
                  <w:sz w:val="24"/>
                </w:rPr>
                <m:t>×10</m:t>
              </m:r>
              <m:ctrlPr>
                <w:rPr>
                  <w:rFonts w:ascii="DejaVu Math TeX Gyre" w:hAnsi="DejaVu Math TeX Gyre" w:eastAsia="宋体"/>
                  <w:sz w:val="24"/>
                </w:rPr>
              </m:ctrlPr>
            </m:num>
            <m:den>
              <m:r>
                <m:rPr>
                  <m:sty m:val="p"/>
                </m:rPr>
                <w:rPr>
                  <w:rFonts w:ascii="Times New Roman" w:hAnsi="Times New Roman" w:eastAsia="宋体"/>
                  <w:sz w:val="24"/>
                </w:rPr>
                <m:t>2</m:t>
              </m:r>
              <m:ctrlPr>
                <w:rPr>
                  <w:rFonts w:ascii="DejaVu Math TeX Gyre" w:hAnsi="DejaVu Math TeX Gyre" w:eastAsia="宋体"/>
                  <w:sz w:val="24"/>
                </w:rPr>
              </m:ctrlPr>
            </m:den>
          </m:f>
        </m:oMath>
      </m:oMathPara>
    </w:p>
    <w:p w14:paraId="02D8C825">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其中，COD反映总有机物负荷，氨氮乘以10是因为其浓度数量级较小（通常&lt;2 mg/L），需要放大权重以匹配COD的数量级（通常10-50 mg/L）。基于该指数的分布特征，将有机污染负荷离散化为三个等级，当OPL小于10时为低负荷（Low），10至20之间为中等负荷（Medium），大于等于20时为高负荷（High）。这一划分标准基于数据集的三分位数分布，确保各等级样本量基本均衡。</w:t>
      </w:r>
    </w:p>
    <w:p w14:paraId="4C12F3D7">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重金属污染压力（Heavy Metal Stress）</w:t>
      </w:r>
    </w:p>
    <w:p w14:paraId="5633B11C">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使用重金属总量（Total_Heavy_Metals_ug_L）作为重金属污染压力指标。离散化阈值设定为小于3 μg/L时为低压力（Low），3-6 μg/L为中等压力（Medium），大于等于6 μg/L为高压力（High）。</w:t>
      </w:r>
    </w:p>
    <w:p w14:paraId="73EB53EA">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降雨事件代理（Rainfall Proxy）</w:t>
      </w:r>
    </w:p>
    <w:p w14:paraId="15149ED6">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使用浊度（Turbidity_NTU）作为降雨冲刷的间接指标，因为强降雨会冲刷地表污染物进入水体，导致浊度升高。离散化阈值设定为浊度小于5 NTU时为无降雨影响（Low），5-15 NTU为中等降雨（Medium），大于等于15 NTU为强降雨（High）。</w:t>
      </w:r>
    </w:p>
    <w:p w14:paraId="36844105">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污水处理效果（Sewage Treatment Effectiveness）</w:t>
      </w:r>
    </w:p>
    <w:p w14:paraId="6EE25461">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使用溶解氧的倒数（DO_Inverse = 1 / (DO + 0.1)）作为污水处理不充分的指标。溶解氧越低，说明有机物耗氧严重，污水处理可能不足。离散化阈值设定为DO_Inverse小于0.1时（对应DO &gt; 10 mg/L）为良好处理（Good），0.1-0.15（对应DO约7-10 mg/L）为中等处理（Medium），大于等于0.15（对应DO &lt; 7 mg/L）为差处理（Poor）。</w:t>
      </w:r>
    </w:p>
    <w:p w14:paraId="3295FAB6">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基于上述代理变量构建的贝叶斯网络显示，大肠菌群污染与有机污染负荷之间存在关联模式。条件概率分析表明，在有机污染负荷较高的样本中，大肠菌群超标的风险相对较高，而在有机污染负荷较低的清洁水体中，微生物污染的概率相对较低。这种共现模式与生活污水中有机物和微生物共同来源的特征相一致。</w:t>
      </w:r>
    </w:p>
    <w:p w14:paraId="1139170C">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需要注意的是，这种关联关系</w:t>
      </w:r>
      <w:r>
        <w:rPr>
          <w:rFonts w:ascii="Times New Roman" w:eastAsia="宋体"/>
          <w:b/>
          <w:sz w:val="24"/>
        </w:rPr>
        <w:t>并不等同于因果关系</w:t>
      </w:r>
      <w:r>
        <w:rPr>
          <w:rFonts w:ascii="Times New Roman" w:hAnsi="Georgia" w:eastAsia="宋体" w:cs="Georgia"/>
          <w:sz w:val="24"/>
        </w:rPr>
        <w:t>。COD和氨氮本身就反映了有机污染，而大肠菌群也是有机污染的组成部分，因此观察到的"有机污染负荷"与大肠菌群的关联，本质上是不同污染指标之间的共变关系，反映的是它们可能存在共同的污染源（如生活污水），而非某一指标对另一指标的因果影响。要建立严格的因果推断，需要引入真实的外部数据（如人口密度、GDP、污水处理厂覆盖率等）作为贝叶斯网络的节点，而非使用内部水质指标作为代理变量。</w:t>
      </w:r>
    </w:p>
    <w:p w14:paraId="21A3D040">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图14展示了基于贝叶斯网络的大肠菌群污染风险关联分析结果。</w:t>
      </w:r>
    </w:p>
    <w:p w14:paraId="48FD5C16">
      <w:pPr>
        <w:snapToGrid/>
        <w:spacing w:beforeAutospacing="0" w:after="0" w:afterAutospacing="0" w:line="400" w:lineRule="exact"/>
        <w:ind w:left="0" w:leftChars="0" w:right="0" w:rightChars="0" w:firstLine="480" w:firstLineChars="200"/>
        <w:jc w:val="both"/>
        <w:rPr>
          <w:rFonts w:ascii="Times New Roman" w:eastAsia="宋体"/>
          <w:sz w:val="24"/>
        </w:rPr>
      </w:pPr>
    </w:p>
    <w:p w14:paraId="34AE28B9">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14展示了四种代理变量（有机污染负荷、重金属污染压力、降雨事件、污水处理效果）与大肠菌群高风险污染之间的条件概率关系。左上角显示有机污染负荷（OPL）与风险的关联，低、中、高等级分别对应约47%、47%和约59%的高风险概率，表明有机污染负荷与微生物污染存在正向共现模式。右上角展示重金属污染压力的关联相对较弱且不单调。左下角显示浊度（降雨代理）的关联同样较为平缓。右下角则表明溶解氧与风险呈负相关。总体而言，有机污染负荷是大肠菌群污染风险的最主要关联因素，高有机污染负荷条件下的高风险概率比低负荷条件高出约12个百分点。需再次强调，这是探索性的关联分析结果，反映的是不同污染指标的共现模式而非因果关系，代理变量的构建方法限制了其因果解释能力。</w:t>
      </w:r>
    </w:p>
    <w:p w14:paraId="659E6E3B">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需要说明的是，由于贝叶斯网络对数据质量和因果假设的要求较高，且代理变量的构建涉及一定的主观判断，该部分结果应视为探索性分析，其可靠性低于前述的预测模型。未来研究可考虑引入更直接的人类活动数据（如人口密度、工业产值等）以及更长时间跨度的观测序列，从而更准确地揭示水质污染的驱动机制。</w:t>
      </w:r>
    </w:p>
    <w:p w14:paraId="3BE0C619">
      <w:pPr>
        <w:rPr>
          <w:rFonts w:ascii="Times New Roman" w:eastAsia="宋体"/>
          <w:sz w:val="24"/>
        </w:rPr>
      </w:pPr>
      <w:r>
        <w:rPr>
          <w:rFonts w:ascii="Times New Roman" w:eastAsia="宋体"/>
          <w:sz w:val="24"/>
        </w:rPr>
        <w:pict>
          <v:rect id="_x0000_i1031" o:spt="1" style="height:0.05pt;width:432pt;" coordsize="21600,21600" o:hr="t" o:hrstd="t" o:hralign="center">
            <v:path/>
            <v:fill focussize="0,0"/>
            <v:stroke/>
            <v:imagedata o:title=""/>
            <o:lock v:ext="edit"/>
            <w10:wrap type="none"/>
            <w10:anchorlock/>
          </v:rect>
        </w:pict>
      </w:r>
    </w:p>
    <w:p w14:paraId="1A9E2D62">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65" w:name="bm_4_5_实验设置"/>
      <w:bookmarkStart w:id="66" w:name="_Toc2136582518"/>
      <w:r>
        <w:rPr>
          <w:rFonts w:ascii="黑体" w:hAnsi="Georgia" w:eastAsia="黑体" w:cs="Georgia"/>
          <w:b w:val="0"/>
          <w:sz w:val="28"/>
        </w:rPr>
        <w:t>4.5 实验设置</w:t>
      </w:r>
      <w:bookmarkEnd w:id="65"/>
      <w:bookmarkEnd w:id="66"/>
    </w:p>
    <w:p w14:paraId="580F5804">
      <w:pPr>
        <w:snapToGrid/>
        <w:spacing w:before="240" w:beforeAutospacing="0" w:after="120" w:afterAutospacing="0" w:line="240" w:lineRule="auto"/>
        <w:ind w:left="0" w:leftChars="0" w:right="0" w:rightChars="0" w:firstLine="0" w:firstLineChars="0"/>
        <w:jc w:val="both"/>
        <w:outlineLvl w:val="2"/>
        <w:rPr>
          <w:rFonts w:ascii="黑体" w:eastAsia="黑体"/>
          <w:b w:val="0"/>
          <w:sz w:val="26"/>
        </w:rPr>
      </w:pPr>
      <w:bookmarkStart w:id="67" w:name="bm_4_5_1_数据分割策略"/>
      <w:bookmarkStart w:id="68" w:name="_Toc1468318539"/>
      <w:r>
        <w:rPr>
          <w:rFonts w:ascii="黑体" w:hAnsi="Georgia" w:eastAsia="黑体" w:cs="Georgia"/>
          <w:b w:val="0"/>
          <w:sz w:val="26"/>
        </w:rPr>
        <w:t>4.5.1 数据分割策略</w:t>
      </w:r>
      <w:bookmarkEnd w:id="67"/>
      <w:bookmarkEnd w:id="68"/>
    </w:p>
    <w:p w14:paraId="4D1FB9DE">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合理的数据分割策略是机器学习实验设计的基石。训练集与测试集的分离确保了模型性能评估的可靠性和泛化能力的准确度量。如果在训练过程中接触到测试数据，模型可能会"记住"这些样本的特征，导致在真实未知数据上的性能被严重高估。这种数据泄露问题在环境监测领域尤为关键，因为错误的性能评估可能导致监测系统在实际部署后无法有效预警污染事件。</w:t>
      </w:r>
    </w:p>
    <w:p w14:paraId="46D11B81">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针对本研究涉及的不同任务类型，我们采用了差异化的数据分割策略。对于污染等级分类和水质指标回归等横截面任务，采用分层随机分割方法，将15,524条观测记录按80:20的比例划分为训练集和测试集，分别包含12,419条和3,105条样本。分层采样的依据是污染等级（Pollution_Level）的五个类别，确保训练集和测试集中各污染等级的样本比例与原始数据集保持一致。例如，"良"等级在原始数据中占比53.3%，在训练集和测试集中的占比也分别维持在53.3%左右。这一策略对于处理类别不均衡问题至关重要，因为如果训练集中"极差"类样本（占比仅3.5%）被过度稀释，模型可能完全无法学习到该类别的特征模式。</w:t>
      </w:r>
    </w:p>
    <w:p w14:paraId="541180F8">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需要说明的是，由于采用按样本随机划分而非按站点划分的策略，同一监测站的不同时间记录可能同时出现在训练集和测试集中。这种划分方式的优势在于最大化样本利用率和保持类别平衡，但也意味着模型评估结果更接近于"已知站点未来时刻"的预测性能，而非"全新站点"的泛化性能。由于模型可以利用站点的地理位置特征（经纬度、省份）以及该站点在训练集中的历史表现，对同一站点测试集样本的预测可能略显乐观。然而，鉴于实际应用场景中通常是对已有监测站进行持续预测而非频繁增设新站，这种评估方式仍具有实际参考价值。未来研究可考虑按站点划分或按时间划分的更严格评估策略，以量化不同泛化场景下的性能差异。</w:t>
      </w:r>
    </w:p>
    <w:p w14:paraId="43D32C64">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时间序列预测任务则采用基于时间的前向分割策略，以模拟真实场景中"根据历史数据预测未来状态"的应用需求。具体而言，2023年的全部13,820条观测记录（占总样本的89.0%）作为训练集，2024年的1,704条记录（占总样本的11.0%）作为测试集。这种分割方式严格遵循时间顺序，避免了"使用未来信息预测过去"的时间泄露问题。尽管测试集样本量相对较小，但考虑到本研究的时间序列方法最终未能取得有效预测结果（如5.3节所述，主要原因是采样不规则性），这一分割比例足以支撑性能不佳机制的诊断分析。</w:t>
      </w:r>
    </w:p>
    <w:p w14:paraId="22D9A6D6">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为了提高模型性能评估的稳定性和超参数选择的可靠性，本研究在训练集内部进一步采用K折交叉验证策略。具体而言，将训练集划分为5个子集（folds），依次选择其中1个子集作为验证集，其余4个子集作为训练子集，重复5次训练和验证过程，最终取5次验证结果的平均值作为模型性能估计。这一策略在超参数调优阶段发挥了重要作用，通过网格搜索遍历不同超参数组合（如XGBoost的max_depth从4到10、learning_rate从0.01到0.2），在每个组合下进行5折交叉验证，选择验证性能最优的超参数配置用于最终模型训练。与单次固定分割相比，K折交叉验证能够更充分地利用训练数据，减少因数据分割随机性导致的性能波动，提高超参数选择的鲁棒性。</w:t>
      </w:r>
    </w:p>
    <w:p w14:paraId="317BB1F9">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整个数据分割和特征工程流程中，本研究严格遵循"测试集不可见"原则，以防止任何形式的数据泄露。所有特征标准化操作（StandardScaler）仅基于训练集拟合参数（均值和标准差），测试集使用训练集拟合的参数进行转换，而非独立计算测试集的统计量。特征选择和降维操作（如果涉及）同样仅依赖训练集数据，避免测试集信息影响特征子集的确定。对于回归任务中的目标指标预测，严格限制输入特征不能包含目标指标本身或其直接衍生特征，例如在预测溶解氧（Dissolved_Oxygen_mg_L）时，特征集中排除了溶解氧及其任何变换形式，以确保预测的真实性。</w:t>
      </w:r>
    </w:p>
    <w:p w14:paraId="435DDF90">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表8总结了本研究针对不同任务类型采用的数据分割策略及其关键参数。</w:t>
      </w:r>
    </w:p>
    <w:p w14:paraId="3903EF85">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表8 数据分割策略对比表</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536"/>
        <w:gridCol w:w="1531"/>
        <w:gridCol w:w="1875"/>
        <w:gridCol w:w="1746"/>
        <w:gridCol w:w="1135"/>
        <w:gridCol w:w="1147"/>
      </w:tblGrid>
      <w:tr w14:paraId="5325E774">
        <w:trPr>
          <w:cantSplit/>
          <w:tblCellSpacing w:w="0" w:type="dxa"/>
          <w:jc w:val="center"/>
        </w:trPr>
        <w:tc>
          <w:tcPr>
            <w:tcBorders>
              <w:top w:val="single" w:color="000000" w:sz="0" w:space="0"/>
              <w:bottom w:val="single" w:color="000000" w:sz="0" w:space="0"/>
            </w:tcBorders>
          </w:tcPr>
          <w:p w14:paraId="2406C3ED">
            <w:pPr>
              <w:spacing w:after="0" w:line="240" w:lineRule="auto"/>
            </w:pPr>
            <w:r>
              <w:rPr>
                <w:rFonts w:ascii="Georgia" w:hAnsi="Georgia" w:eastAsia="Georgia" w:cs="Georgia"/>
              </w:rPr>
              <w:t>任务类型</w:t>
            </w:r>
          </w:p>
        </w:tc>
        <w:tc>
          <w:tcPr>
            <w:tcBorders>
              <w:top w:val="single" w:color="000000" w:sz="0" w:space="0"/>
              <w:left w:val="single" w:color="000000" w:sz="0" w:space="0"/>
              <w:bottom w:val="single" w:color="000000" w:sz="0" w:space="0"/>
            </w:tcBorders>
          </w:tcPr>
          <w:p w14:paraId="1B9CF1C0">
            <w:pPr>
              <w:spacing w:after="0" w:line="240" w:lineRule="auto"/>
            </w:pPr>
            <w:r>
              <w:rPr>
                <w:rFonts w:ascii="Georgia" w:hAnsi="Georgia" w:eastAsia="Georgia" w:cs="Georgia"/>
              </w:rPr>
              <w:t>分割方式</w:t>
            </w:r>
          </w:p>
        </w:tc>
        <w:tc>
          <w:tcPr>
            <w:tcBorders>
              <w:top w:val="single" w:color="000000" w:sz="0" w:space="0"/>
              <w:left w:val="single" w:color="000000" w:sz="0" w:space="0"/>
              <w:bottom w:val="single" w:color="000000" w:sz="0" w:space="0"/>
            </w:tcBorders>
          </w:tcPr>
          <w:p w14:paraId="22E0B269">
            <w:pPr>
              <w:spacing w:after="0" w:line="240" w:lineRule="auto"/>
            </w:pPr>
            <w:r>
              <w:rPr>
                <w:rFonts w:ascii="Georgia" w:hAnsi="Georgia" w:eastAsia="Georgia" w:cs="Georgia"/>
              </w:rPr>
              <w:t>训练集规模</w:t>
            </w:r>
          </w:p>
        </w:tc>
        <w:tc>
          <w:tcPr>
            <w:tcBorders>
              <w:top w:val="single" w:color="000000" w:sz="0" w:space="0"/>
              <w:left w:val="single" w:color="000000" w:sz="0" w:space="0"/>
              <w:bottom w:val="single" w:color="000000" w:sz="0" w:space="0"/>
            </w:tcBorders>
          </w:tcPr>
          <w:p w14:paraId="2EDF82D6">
            <w:pPr>
              <w:spacing w:after="0" w:line="240" w:lineRule="auto"/>
            </w:pPr>
            <w:r>
              <w:rPr>
                <w:rFonts w:ascii="Georgia" w:hAnsi="Georgia" w:eastAsia="Georgia" w:cs="Georgia"/>
              </w:rPr>
              <w:t>测试集规模</w:t>
            </w:r>
          </w:p>
        </w:tc>
        <w:tc>
          <w:tcPr>
            <w:tcBorders>
              <w:top w:val="single" w:color="000000" w:sz="0" w:space="0"/>
              <w:left w:val="single" w:color="000000" w:sz="0" w:space="0"/>
              <w:bottom w:val="single" w:color="000000" w:sz="0" w:space="0"/>
            </w:tcBorders>
          </w:tcPr>
          <w:p w14:paraId="24382427">
            <w:pPr>
              <w:spacing w:after="0" w:line="240" w:lineRule="auto"/>
            </w:pPr>
            <w:r>
              <w:rPr>
                <w:rFonts w:ascii="Georgia" w:hAnsi="Georgia" w:eastAsia="Georgia" w:cs="Georgia"/>
              </w:rPr>
              <w:t>分层依据</w:t>
            </w:r>
          </w:p>
        </w:tc>
        <w:tc>
          <w:tcPr>
            <w:tcBorders>
              <w:top w:val="single" w:color="000000" w:sz="0" w:space="0"/>
              <w:left w:val="single" w:color="000000" w:sz="0" w:space="0"/>
              <w:bottom w:val="single" w:color="000000" w:sz="0" w:space="0"/>
            </w:tcBorders>
          </w:tcPr>
          <w:p w14:paraId="6572E192">
            <w:pPr>
              <w:spacing w:after="0" w:line="240" w:lineRule="auto"/>
            </w:pPr>
            <w:r>
              <w:rPr>
                <w:rFonts w:ascii="Georgia" w:hAnsi="Georgia" w:eastAsia="Georgia" w:cs="Georgia"/>
              </w:rPr>
              <w:t>交叉验证</w:t>
            </w:r>
          </w:p>
        </w:tc>
      </w:tr>
      <w:tr w14:paraId="14082E13">
        <w:trPr>
          <w:cantSplit/>
          <w:tblCellSpacing w:w="0" w:type="dxa"/>
          <w:jc w:val="center"/>
        </w:trPr>
        <w:tc>
          <w:tcPr>
            <w:tcBorders>
              <w:top w:val="single" w:color="000000" w:sz="0" w:space="0"/>
              <w:bottom w:val="single" w:color="000000" w:sz="0" w:space="0"/>
            </w:tcBorders>
          </w:tcPr>
          <w:p w14:paraId="4807BFE1">
            <w:pPr>
              <w:spacing w:after="0" w:line="240" w:lineRule="auto"/>
            </w:pPr>
            <w:r>
              <w:rPr>
                <w:rFonts w:ascii="Georgia" w:hAnsi="Georgia" w:eastAsia="Georgia" w:cs="Georgia"/>
              </w:rPr>
              <w:t>污染等级分类</w:t>
            </w:r>
          </w:p>
        </w:tc>
        <w:tc>
          <w:tcPr>
            <w:tcBorders>
              <w:top w:val="single" w:color="000000" w:sz="0" w:space="0"/>
              <w:left w:val="single" w:color="000000" w:sz="0" w:space="0"/>
              <w:bottom w:val="single" w:color="000000" w:sz="0" w:space="0"/>
            </w:tcBorders>
          </w:tcPr>
          <w:p w14:paraId="7BCDA5FF">
            <w:pPr>
              <w:spacing w:after="0" w:line="240" w:lineRule="auto"/>
            </w:pPr>
            <w:r>
              <w:rPr>
                <w:rFonts w:ascii="Georgia" w:hAnsi="Georgia" w:eastAsia="Georgia" w:cs="Georgia"/>
              </w:rPr>
              <w:t>分层随机分割</w:t>
            </w:r>
          </w:p>
        </w:tc>
        <w:tc>
          <w:tcPr>
            <w:tcBorders>
              <w:top w:val="single" w:color="000000" w:sz="0" w:space="0"/>
              <w:left w:val="single" w:color="000000" w:sz="0" w:space="0"/>
              <w:bottom w:val="single" w:color="000000" w:sz="0" w:space="0"/>
            </w:tcBorders>
          </w:tcPr>
          <w:p w14:paraId="4C777C0F">
            <w:pPr>
              <w:spacing w:after="0" w:line="240" w:lineRule="auto"/>
            </w:pPr>
            <w:r>
              <w:t>12,419 (80%)</w:t>
            </w:r>
          </w:p>
        </w:tc>
        <w:tc>
          <w:tcPr>
            <w:tcBorders>
              <w:top w:val="single" w:color="000000" w:sz="0" w:space="0"/>
              <w:left w:val="single" w:color="000000" w:sz="0" w:space="0"/>
              <w:bottom w:val="single" w:color="000000" w:sz="0" w:space="0"/>
            </w:tcBorders>
          </w:tcPr>
          <w:p w14:paraId="17D78764">
            <w:pPr>
              <w:spacing w:after="0" w:line="240" w:lineRule="auto"/>
            </w:pPr>
            <w:r>
              <w:t>3,105 (20%)</w:t>
            </w:r>
          </w:p>
        </w:tc>
        <w:tc>
          <w:tcPr>
            <w:tcBorders>
              <w:top w:val="single" w:color="000000" w:sz="0" w:space="0"/>
              <w:left w:val="single" w:color="000000" w:sz="0" w:space="0"/>
              <w:bottom w:val="single" w:color="000000" w:sz="0" w:space="0"/>
            </w:tcBorders>
          </w:tcPr>
          <w:p w14:paraId="2FAFF64E">
            <w:pPr>
              <w:spacing w:after="0" w:line="240" w:lineRule="auto"/>
            </w:pPr>
            <w:r>
              <w:rPr>
                <w:rFonts w:ascii="Georgia" w:hAnsi="Georgia" w:eastAsia="Georgia" w:cs="Georgia"/>
              </w:rPr>
              <w:t>污染等级</w:t>
            </w:r>
          </w:p>
        </w:tc>
        <w:tc>
          <w:tcPr>
            <w:tcBorders>
              <w:top w:val="single" w:color="000000" w:sz="0" w:space="0"/>
              <w:left w:val="single" w:color="000000" w:sz="0" w:space="0"/>
              <w:bottom w:val="single" w:color="000000" w:sz="0" w:space="0"/>
            </w:tcBorders>
          </w:tcPr>
          <w:p w14:paraId="671A049E">
            <w:pPr>
              <w:spacing w:after="0" w:line="240" w:lineRule="auto"/>
            </w:pPr>
            <w:r>
              <w:rPr>
                <w:rFonts w:ascii="Georgia" w:hAnsi="Georgia" w:eastAsia="Georgia" w:cs="Georgia"/>
              </w:rPr>
              <w:t>5折CV</w:t>
            </w:r>
          </w:p>
        </w:tc>
      </w:tr>
      <w:tr w14:paraId="591FD556">
        <w:trPr>
          <w:cantSplit/>
          <w:tblCellSpacing w:w="0" w:type="dxa"/>
          <w:jc w:val="center"/>
        </w:trPr>
        <w:tc>
          <w:tcPr>
            <w:tcBorders>
              <w:top w:val="single" w:color="000000" w:sz="0" w:space="0"/>
              <w:bottom w:val="single" w:color="000000" w:sz="0" w:space="0"/>
            </w:tcBorders>
          </w:tcPr>
          <w:p w14:paraId="39723A88">
            <w:pPr>
              <w:spacing w:after="0" w:line="240" w:lineRule="auto"/>
            </w:pPr>
            <w:r>
              <w:rPr>
                <w:rFonts w:ascii="Georgia" w:hAnsi="Georgia" w:eastAsia="Georgia" w:cs="Georgia"/>
              </w:rPr>
              <w:t>水质指标回归</w:t>
            </w:r>
          </w:p>
        </w:tc>
        <w:tc>
          <w:tcPr>
            <w:tcBorders>
              <w:top w:val="single" w:color="000000" w:sz="0" w:space="0"/>
              <w:left w:val="single" w:color="000000" w:sz="0" w:space="0"/>
              <w:bottom w:val="single" w:color="000000" w:sz="0" w:space="0"/>
            </w:tcBorders>
          </w:tcPr>
          <w:p w14:paraId="586F59B7">
            <w:pPr>
              <w:spacing w:after="0" w:line="240" w:lineRule="auto"/>
            </w:pPr>
            <w:r>
              <w:rPr>
                <w:rFonts w:ascii="Georgia" w:hAnsi="Georgia" w:eastAsia="Georgia" w:cs="Georgia"/>
              </w:rPr>
              <w:t>分层随机分割</w:t>
            </w:r>
          </w:p>
        </w:tc>
        <w:tc>
          <w:tcPr>
            <w:tcBorders>
              <w:top w:val="single" w:color="000000" w:sz="0" w:space="0"/>
              <w:left w:val="single" w:color="000000" w:sz="0" w:space="0"/>
              <w:bottom w:val="single" w:color="000000" w:sz="0" w:space="0"/>
            </w:tcBorders>
          </w:tcPr>
          <w:p w14:paraId="68043B72">
            <w:pPr>
              <w:spacing w:after="0" w:line="240" w:lineRule="auto"/>
            </w:pPr>
            <w:r>
              <w:t>12,419 (80%)</w:t>
            </w:r>
          </w:p>
        </w:tc>
        <w:tc>
          <w:tcPr>
            <w:tcBorders>
              <w:top w:val="single" w:color="000000" w:sz="0" w:space="0"/>
              <w:left w:val="single" w:color="000000" w:sz="0" w:space="0"/>
              <w:bottom w:val="single" w:color="000000" w:sz="0" w:space="0"/>
            </w:tcBorders>
          </w:tcPr>
          <w:p w14:paraId="7A988F47">
            <w:pPr>
              <w:spacing w:after="0" w:line="240" w:lineRule="auto"/>
            </w:pPr>
            <w:r>
              <w:t>3,105 (20%)</w:t>
            </w:r>
          </w:p>
        </w:tc>
        <w:tc>
          <w:tcPr>
            <w:tcBorders>
              <w:top w:val="single" w:color="000000" w:sz="0" w:space="0"/>
              <w:left w:val="single" w:color="000000" w:sz="0" w:space="0"/>
              <w:bottom w:val="single" w:color="000000" w:sz="0" w:space="0"/>
            </w:tcBorders>
          </w:tcPr>
          <w:p w14:paraId="70338167">
            <w:pPr>
              <w:spacing w:after="0" w:line="240" w:lineRule="auto"/>
            </w:pPr>
            <w:r>
              <w:rPr>
                <w:rFonts w:ascii="Georgia" w:hAnsi="Georgia" w:eastAsia="Georgia" w:cs="Georgia"/>
              </w:rPr>
              <w:t>无</w:t>
            </w:r>
          </w:p>
        </w:tc>
        <w:tc>
          <w:tcPr>
            <w:tcBorders>
              <w:top w:val="single" w:color="000000" w:sz="0" w:space="0"/>
              <w:left w:val="single" w:color="000000" w:sz="0" w:space="0"/>
              <w:bottom w:val="single" w:color="000000" w:sz="0" w:space="0"/>
            </w:tcBorders>
          </w:tcPr>
          <w:p w14:paraId="54F52DC1">
            <w:pPr>
              <w:spacing w:after="0" w:line="240" w:lineRule="auto"/>
            </w:pPr>
            <w:r>
              <w:rPr>
                <w:rFonts w:ascii="Georgia" w:hAnsi="Georgia" w:eastAsia="Georgia" w:cs="Georgia"/>
              </w:rPr>
              <w:t>5折CV</w:t>
            </w:r>
          </w:p>
        </w:tc>
      </w:tr>
      <w:tr w14:paraId="07B023CE">
        <w:trPr>
          <w:cantSplit/>
          <w:tblCellSpacing w:w="0" w:type="dxa"/>
          <w:jc w:val="center"/>
        </w:trPr>
        <w:tc>
          <w:tcPr>
            <w:tcBorders>
              <w:top w:val="single" w:color="000000" w:sz="0" w:space="0"/>
              <w:bottom w:val="single" w:color="000000" w:sz="0" w:space="0"/>
            </w:tcBorders>
          </w:tcPr>
          <w:p w14:paraId="3CD8D90F">
            <w:pPr>
              <w:spacing w:after="0" w:line="240" w:lineRule="auto"/>
            </w:pPr>
            <w:r>
              <w:rPr>
                <w:rFonts w:ascii="Georgia" w:hAnsi="Georgia" w:eastAsia="Georgia" w:cs="Georgia"/>
              </w:rPr>
              <w:t>时间序列预测</w:t>
            </w:r>
          </w:p>
        </w:tc>
        <w:tc>
          <w:tcPr>
            <w:tcBorders>
              <w:top w:val="single" w:color="000000" w:sz="0" w:space="0"/>
              <w:left w:val="single" w:color="000000" w:sz="0" w:space="0"/>
              <w:bottom w:val="single" w:color="000000" w:sz="0" w:space="0"/>
            </w:tcBorders>
          </w:tcPr>
          <w:p w14:paraId="02B5CD92">
            <w:pPr>
              <w:spacing w:after="0" w:line="240" w:lineRule="auto"/>
            </w:pPr>
            <w:r>
              <w:rPr>
                <w:rFonts w:ascii="Georgia" w:hAnsi="Georgia" w:eastAsia="Georgia" w:cs="Georgia"/>
              </w:rPr>
              <w:t>时间前向分割</w:t>
            </w:r>
          </w:p>
        </w:tc>
        <w:tc>
          <w:tcPr>
            <w:tcBorders>
              <w:top w:val="single" w:color="000000" w:sz="0" w:space="0"/>
              <w:left w:val="single" w:color="000000" w:sz="0" w:space="0"/>
              <w:bottom w:val="single" w:color="000000" w:sz="0" w:space="0"/>
            </w:tcBorders>
          </w:tcPr>
          <w:p w14:paraId="3D0F0DC6">
            <w:pPr>
              <w:spacing w:after="0" w:line="240" w:lineRule="auto"/>
            </w:pPr>
            <w:r>
              <w:rPr>
                <w:rFonts w:ascii="Georgia" w:hAnsi="Georgia" w:eastAsia="Georgia" w:cs="Georgia"/>
              </w:rPr>
              <w:t>13,820 (2023年)</w:t>
            </w:r>
          </w:p>
        </w:tc>
        <w:tc>
          <w:tcPr>
            <w:tcBorders>
              <w:top w:val="single" w:color="000000" w:sz="0" w:space="0"/>
              <w:left w:val="single" w:color="000000" w:sz="0" w:space="0"/>
              <w:bottom w:val="single" w:color="000000" w:sz="0" w:space="0"/>
            </w:tcBorders>
          </w:tcPr>
          <w:p w14:paraId="560AAE09">
            <w:pPr>
              <w:spacing w:after="0" w:line="240" w:lineRule="auto"/>
            </w:pPr>
            <w:r>
              <w:rPr>
                <w:rFonts w:ascii="Georgia" w:hAnsi="Georgia" w:eastAsia="Georgia" w:cs="Georgia"/>
              </w:rPr>
              <w:t>1,704 (2024年)</w:t>
            </w:r>
          </w:p>
        </w:tc>
        <w:tc>
          <w:tcPr>
            <w:tcBorders>
              <w:top w:val="single" w:color="000000" w:sz="0" w:space="0"/>
              <w:left w:val="single" w:color="000000" w:sz="0" w:space="0"/>
              <w:bottom w:val="single" w:color="000000" w:sz="0" w:space="0"/>
            </w:tcBorders>
          </w:tcPr>
          <w:p w14:paraId="796D1AFF">
            <w:pPr>
              <w:spacing w:after="0" w:line="240" w:lineRule="auto"/>
            </w:pPr>
            <w:r>
              <w:rPr>
                <w:rFonts w:ascii="Georgia" w:hAnsi="Georgia" w:eastAsia="Georgia" w:cs="Georgia"/>
              </w:rPr>
              <w:t>年份</w:t>
            </w:r>
          </w:p>
        </w:tc>
        <w:tc>
          <w:tcPr>
            <w:tcBorders>
              <w:top w:val="single" w:color="000000" w:sz="0" w:space="0"/>
              <w:left w:val="single" w:color="000000" w:sz="0" w:space="0"/>
              <w:bottom w:val="single" w:color="000000" w:sz="0" w:space="0"/>
            </w:tcBorders>
          </w:tcPr>
          <w:p w14:paraId="55AA9E3B">
            <w:pPr>
              <w:spacing w:after="0" w:line="240" w:lineRule="auto"/>
            </w:pPr>
            <w:r>
              <w:rPr>
                <w:rFonts w:ascii="Georgia" w:hAnsi="Georgia" w:eastAsia="Georgia" w:cs="Georgia"/>
              </w:rPr>
              <w:t>无</w:t>
            </w:r>
          </w:p>
        </w:tc>
      </w:tr>
    </w:tbl>
    <w:p w14:paraId="1D23C868">
      <w:pPr>
        <w:snapToGrid/>
        <w:spacing w:beforeAutospacing="0" w:after="0" w:afterAutospacing="0" w:line="400" w:lineRule="exact"/>
        <w:ind w:left="0" w:leftChars="0" w:right="0" w:rightChars="0" w:firstLine="480" w:firstLineChars="200"/>
        <w:jc w:val="both"/>
        <w:rPr>
          <w:rFonts w:ascii="Times New Roman" w:eastAsia="宋体"/>
          <w:sz w:val="24"/>
        </w:rPr>
      </w:pPr>
    </w:p>
    <w:p w14:paraId="678817DB">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从表8可以看出，横截面任务与时间序列任务在数据分割策略上存在显著差异。横截面任务的样本在时间维度上是独立的，因此可以采用随机分割并结合交叉验证,充分利用数据资源。而时间序列任务必须尊重时间顺序，采用前向分割且不进行交叉验证（因为交叉验证会引入未来信息泄露），这也从侧面反映了时间序列方法对数据特征的更严格要求。</w:t>
      </w:r>
    </w:p>
    <w:p w14:paraId="56E425D7">
      <w:pPr>
        <w:ind w:left="0" w:leftChars="0" w:right="0" w:rightChars="0" w:firstLine="0" w:firstLineChars="0"/>
        <w:jc w:val="center"/>
        <w:rPr>
          <w:rFonts w:ascii="Times New Roman" w:eastAsia="宋体"/>
          <w:sz w:val="24"/>
        </w:rPr>
      </w:pPr>
      <w:r>
        <w:rPr>
          <w:rFonts w:ascii="Times New Roman" w:eastAsia="宋体"/>
          <w:sz w:val="24"/>
        </w:rPr>
        <w:drawing>
          <wp:inline distT="0" distB="0" distL="0" distR="0">
            <wp:extent cx="952500" cy="952500"/>
            <wp:effectExtent l="0" t="0" r="0" b="0"/>
            <wp:docPr id="6" name="image-not-found.png"/>
            <wp:cNvGraphicFramePr/>
            <a:graphic xmlns:a="http://schemas.openxmlformats.org/drawingml/2006/main">
              <a:graphicData uri="http://schemas.openxmlformats.org/drawingml/2006/picture">
                <pic:pic xmlns:pic="http://schemas.openxmlformats.org/drawingml/2006/picture">
                  <pic:nvPicPr>
                    <pic:cNvPr id="6" name="image-not-found.png"/>
                    <pic:cNvPicPr/>
                  </pic:nvPicPr>
                  <pic:blipFill>
                    <a:blip r:embed="rId6" cstate="print"/>
                    <a:srcRect/>
                    <a:stretch>
                      <a:fillRect/>
                    </a:stretch>
                  </pic:blipFill>
                  <pic:spPr>
                    <a:xfrm>
                      <a:off x="0" y="0"/>
                      <a:ext cx="952500" cy="952500"/>
                    </a:xfrm>
                    <a:prstGeom prst="rect">
                      <a:avLst/>
                    </a:prstGeom>
                  </pic:spPr>
                </pic:pic>
              </a:graphicData>
            </a:graphic>
          </wp:inline>
        </w:drawing>
      </w:r>
    </w:p>
    <w:p w14:paraId="0728B6B9">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13对比了三种数据分割策略（随机分割、时间前向分割、按站点分割）的差异、目的和适用场景。图表采用复合示意图形式，上半部分展示时间维度对比（时间轴+样本分布柱状图），下半部分展示空间维度对比（中国地图+监测站点分布），底部附有三种策略的对比表格（训练集、测试集、站点重叠、时间分离、目的、适用场景）。详细设计规格见FIGURE_DESIGN_SPECIFICATIONS.md。</w:t>
      </w:r>
    </w:p>
    <w:p w14:paraId="4B8F55A8">
      <w:pPr>
        <w:snapToGrid/>
        <w:spacing w:before="240" w:beforeAutospacing="0" w:after="120" w:afterAutospacing="0" w:line="240" w:lineRule="auto"/>
        <w:ind w:left="0" w:leftChars="0" w:right="0" w:rightChars="0" w:firstLine="0" w:firstLineChars="0"/>
        <w:jc w:val="both"/>
        <w:outlineLvl w:val="2"/>
        <w:rPr>
          <w:rFonts w:ascii="黑体" w:eastAsia="黑体"/>
          <w:b w:val="0"/>
          <w:sz w:val="26"/>
        </w:rPr>
      </w:pPr>
      <w:bookmarkStart w:id="69" w:name="bm_4_5_2_评估指标体系"/>
      <w:bookmarkStart w:id="70" w:name="_Toc1295097296"/>
      <w:r>
        <w:rPr>
          <w:rFonts w:ascii="黑体" w:hAnsi="Georgia" w:eastAsia="黑体" w:cs="Georgia"/>
          <w:b w:val="0"/>
          <w:sz w:val="26"/>
        </w:rPr>
        <w:t>4.5.2 评估指标体系</w:t>
      </w:r>
      <w:bookmarkEnd w:id="69"/>
      <w:bookmarkEnd w:id="70"/>
    </w:p>
    <w:p w14:paraId="5A831BA6">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科学合理的评估指标体系是衡量模型性能和指导模型改进的关键依据。单一指标往往只能反映模型性能的某一个侧面，例如分类准确率虽然直观但在类别不均衡场景下可能产生误导，而回归R²虽然广泛使用但对异常值敏感。因此，本研究采用多指标综合评估策略，针对分类任务和回归任务分别设计了符合其特点的评估指标组合，并引入基线模型对比以量化机器学习方法的实际增益。</w:t>
      </w:r>
    </w:p>
    <w:p w14:paraId="7C493060">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对于污染等级分类任务，本研究采用准确率（Accuracy）、精确率（Precision）、召回率（Recall）、F1分数和混淆矩阵五个维度进行综合评估。准确率定义为所有样本中被正确分类的比例，计算公式为</w:t>
      </w:r>
    </w:p>
    <w:p w14:paraId="65741BA3">
      <w:pPr>
        <w:snapToGrid/>
        <w:spacing w:beforeAutospacing="0" w:after="0" w:afterAutospacing="0" w:line="400" w:lineRule="exact"/>
        <w:ind w:left="0" w:leftChars="0" w:right="0" w:rightChars="0" w:firstLine="480" w:firstLineChars="200"/>
        <w:jc w:val="both"/>
        <w:rPr>
          <w:rFonts w:ascii="Times New Roman" w:eastAsia="宋体"/>
          <w:sz w:val="24"/>
        </w:rPr>
      </w:pPr>
      <m:oMathPara>
        <m:oMath>
          <m:r>
            <m:rPr>
              <m:nor/>
              <m:sty m:val="p"/>
            </m:rPr>
            <w:rPr>
              <w:rFonts w:ascii="Times New Roman" w:hAnsi="Times New Roman" w:eastAsia="宋体"/>
              <w:b w:val="0"/>
              <w:i w:val="0"/>
              <w:sz w:val="24"/>
            </w:rPr>
            <m:t>Accuracy</m:t>
          </m:r>
          <m:r>
            <m:rPr>
              <m:sty m:val="p"/>
            </m:rPr>
            <w:rPr>
              <w:rFonts w:ascii="Times New Roman" w:hAnsi="Times New Roman" w:eastAsia="宋体"/>
              <w:sz w:val="24"/>
            </w:rPr>
            <m:t>=</m:t>
          </m:r>
          <m:f>
            <m:fPr>
              <m:ctrlPr>
                <w:rPr>
                  <w:rFonts w:ascii="DejaVu Math TeX Gyre" w:hAnsi="DejaVu Math TeX Gyre" w:eastAsia="宋体"/>
                  <w:sz w:val="24"/>
                </w:rPr>
              </m:ctrlPr>
            </m:fPr>
            <m:num>
              <m:r>
                <m:rPr/>
                <w:rPr>
                  <w:rFonts w:ascii="Times New Roman" w:hAnsi="Times New Roman" w:eastAsia="宋体"/>
                  <w:sz w:val="24"/>
                </w:rPr>
                <m:t>TP</m:t>
              </m:r>
              <m:r>
                <m:rPr>
                  <m:sty m:val="p"/>
                </m:rPr>
                <w:rPr>
                  <w:rFonts w:ascii="Times New Roman" w:hAnsi="Times New Roman" w:eastAsia="宋体"/>
                  <w:sz w:val="24"/>
                </w:rPr>
                <m:t>+</m:t>
              </m:r>
              <m:r>
                <m:rPr/>
                <w:rPr>
                  <w:rFonts w:ascii="Times New Roman" w:hAnsi="Times New Roman" w:eastAsia="宋体"/>
                  <w:sz w:val="24"/>
                </w:rPr>
                <m:t>TN</m:t>
              </m:r>
              <m:ctrlPr>
                <w:rPr>
                  <w:rFonts w:ascii="DejaVu Math TeX Gyre" w:hAnsi="DejaVu Math TeX Gyre" w:eastAsia="宋体"/>
                  <w:sz w:val="24"/>
                </w:rPr>
              </m:ctrlPr>
            </m:num>
            <m:den>
              <m:r>
                <m:rPr>
                  <m:nor/>
                  <m:sty m:val="p"/>
                </m:rPr>
                <w:rPr>
                  <w:rFonts w:ascii="Times New Roman" w:hAnsi="Times New Roman" w:eastAsia="宋体"/>
                  <w:b w:val="0"/>
                  <w:i w:val="0"/>
                  <w:sz w:val="24"/>
                </w:rPr>
                <m:t>Total</m:t>
              </m:r>
              <m:ctrlPr>
                <w:rPr>
                  <w:rFonts w:ascii="DejaVu Math TeX Gyre" w:hAnsi="DejaVu Math TeX Gyre" w:eastAsia="宋体"/>
                  <w:sz w:val="24"/>
                </w:rPr>
              </m:ctrlPr>
            </m:den>
          </m:f>
        </m:oMath>
      </m:oMathPara>
    </w:p>
    <w:p w14:paraId="21D22E58">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其中TP为真阳性（True Positive）、TN为真阴性（True Negative），Total为总样本数。准确率提供了模型整体性能的直观度量，但在类别不均衡情况下（如本研究中"差"和"极差"两类样本合计仅占7%）可能产生误导。</w:t>
      </w:r>
    </w:p>
    <w:p w14:paraId="47DF5BC1">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精确率和召回率则从不同角度衡量模型在特定类别上的表现。精确率衡量被模型预测为正类的样本中真正为正类的比例，计算公式为</w:t>
      </w:r>
    </w:p>
    <w:p w14:paraId="09F47D36">
      <w:pPr>
        <w:snapToGrid/>
        <w:spacing w:beforeAutospacing="0" w:after="0" w:afterAutospacing="0" w:line="400" w:lineRule="exact"/>
        <w:ind w:left="0" w:leftChars="0" w:right="0" w:rightChars="0" w:firstLine="480" w:firstLineChars="200"/>
        <w:jc w:val="both"/>
        <w:rPr>
          <w:rFonts w:ascii="Times New Roman" w:eastAsia="宋体"/>
          <w:sz w:val="24"/>
        </w:rPr>
      </w:pPr>
      <m:oMathPara>
        <m:oMath>
          <m:r>
            <m:rPr>
              <m:nor/>
              <m:sty m:val="p"/>
            </m:rPr>
            <w:rPr>
              <w:rFonts w:ascii="Times New Roman" w:hAnsi="Times New Roman" w:eastAsia="宋体"/>
              <w:b w:val="0"/>
              <w:i w:val="0"/>
              <w:sz w:val="24"/>
            </w:rPr>
            <m:t>Precision</m:t>
          </m:r>
          <m:r>
            <m:rPr>
              <m:sty m:val="p"/>
            </m:rPr>
            <w:rPr>
              <w:rFonts w:ascii="Times New Roman" w:hAnsi="Times New Roman" w:eastAsia="宋体"/>
              <w:sz w:val="24"/>
            </w:rPr>
            <m:t>=</m:t>
          </m:r>
          <m:f>
            <m:fPr>
              <m:ctrlPr>
                <w:rPr>
                  <w:rFonts w:ascii="DejaVu Math TeX Gyre" w:hAnsi="DejaVu Math TeX Gyre" w:eastAsia="宋体"/>
                  <w:sz w:val="24"/>
                </w:rPr>
              </m:ctrlPr>
            </m:fPr>
            <m:num>
              <m:r>
                <m:rPr/>
                <w:rPr>
                  <w:rFonts w:ascii="Times New Roman" w:hAnsi="Times New Roman" w:eastAsia="宋体"/>
                  <w:sz w:val="24"/>
                </w:rPr>
                <m:t>TP</m:t>
              </m:r>
              <m:ctrlPr>
                <w:rPr>
                  <w:rFonts w:ascii="DejaVu Math TeX Gyre" w:hAnsi="DejaVu Math TeX Gyre" w:eastAsia="宋体"/>
                  <w:sz w:val="24"/>
                </w:rPr>
              </m:ctrlPr>
            </m:num>
            <m:den>
              <m:r>
                <m:rPr/>
                <w:rPr>
                  <w:rFonts w:ascii="Times New Roman" w:hAnsi="Times New Roman" w:eastAsia="宋体"/>
                  <w:sz w:val="24"/>
                </w:rPr>
                <m:t>TP</m:t>
              </m:r>
              <m:r>
                <m:rPr>
                  <m:sty m:val="p"/>
                </m:rPr>
                <w:rPr>
                  <w:rFonts w:ascii="Times New Roman" w:hAnsi="Times New Roman" w:eastAsia="宋体"/>
                  <w:sz w:val="24"/>
                </w:rPr>
                <m:t>+</m:t>
              </m:r>
              <m:r>
                <m:rPr/>
                <w:rPr>
                  <w:rFonts w:ascii="Times New Roman" w:hAnsi="Times New Roman" w:eastAsia="宋体"/>
                  <w:sz w:val="24"/>
                </w:rPr>
                <m:t>FP</m:t>
              </m:r>
              <m:ctrlPr>
                <w:rPr>
                  <w:rFonts w:ascii="DejaVu Math TeX Gyre" w:hAnsi="DejaVu Math TeX Gyre" w:eastAsia="宋体"/>
                  <w:sz w:val="24"/>
                </w:rPr>
              </m:ctrlPr>
            </m:den>
          </m:f>
        </m:oMath>
      </m:oMathPara>
    </w:p>
    <w:p w14:paraId="5616314B">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召回率衡量真正为正类的样本中被模型成功识别的比例，计算公式为</w:t>
      </w:r>
    </w:p>
    <w:p w14:paraId="1835ABFA">
      <w:pPr>
        <w:snapToGrid/>
        <w:spacing w:beforeAutospacing="0" w:after="0" w:afterAutospacing="0" w:line="400" w:lineRule="exact"/>
        <w:ind w:left="0" w:leftChars="0" w:right="0" w:rightChars="0" w:firstLine="480" w:firstLineChars="200"/>
        <w:jc w:val="both"/>
        <w:rPr>
          <w:rFonts w:ascii="Times New Roman" w:eastAsia="宋体"/>
          <w:sz w:val="24"/>
        </w:rPr>
      </w:pPr>
      <m:oMathPara>
        <m:oMath>
          <m:r>
            <m:rPr>
              <m:nor/>
              <m:sty m:val="p"/>
            </m:rPr>
            <w:rPr>
              <w:rFonts w:ascii="Times New Roman" w:hAnsi="Times New Roman" w:eastAsia="宋体"/>
              <w:b w:val="0"/>
              <w:i w:val="0"/>
              <w:sz w:val="24"/>
            </w:rPr>
            <m:t>Recall</m:t>
          </m:r>
          <m:r>
            <m:rPr>
              <m:sty m:val="p"/>
            </m:rPr>
            <w:rPr>
              <w:rFonts w:ascii="Times New Roman" w:hAnsi="Times New Roman" w:eastAsia="宋体"/>
              <w:sz w:val="24"/>
            </w:rPr>
            <m:t>=</m:t>
          </m:r>
          <m:f>
            <m:fPr>
              <m:ctrlPr>
                <w:rPr>
                  <w:rFonts w:ascii="DejaVu Math TeX Gyre" w:hAnsi="DejaVu Math TeX Gyre" w:eastAsia="宋体"/>
                  <w:sz w:val="24"/>
                </w:rPr>
              </m:ctrlPr>
            </m:fPr>
            <m:num>
              <m:r>
                <m:rPr/>
                <w:rPr>
                  <w:rFonts w:ascii="Times New Roman" w:hAnsi="Times New Roman" w:eastAsia="宋体"/>
                  <w:sz w:val="24"/>
                </w:rPr>
                <m:t>TP</m:t>
              </m:r>
              <m:ctrlPr>
                <w:rPr>
                  <w:rFonts w:ascii="DejaVu Math TeX Gyre" w:hAnsi="DejaVu Math TeX Gyre" w:eastAsia="宋体"/>
                  <w:sz w:val="24"/>
                </w:rPr>
              </m:ctrlPr>
            </m:num>
            <m:den>
              <m:r>
                <m:rPr/>
                <w:rPr>
                  <w:rFonts w:ascii="Times New Roman" w:hAnsi="Times New Roman" w:eastAsia="宋体"/>
                  <w:sz w:val="24"/>
                </w:rPr>
                <m:t>TP</m:t>
              </m:r>
              <m:r>
                <m:rPr>
                  <m:sty m:val="p"/>
                </m:rPr>
                <w:rPr>
                  <w:rFonts w:ascii="Times New Roman" w:hAnsi="Times New Roman" w:eastAsia="宋体"/>
                  <w:sz w:val="24"/>
                </w:rPr>
                <m:t>+</m:t>
              </m:r>
              <m:r>
                <m:rPr/>
                <w:rPr>
                  <w:rFonts w:ascii="Times New Roman" w:hAnsi="Times New Roman" w:eastAsia="宋体"/>
                  <w:sz w:val="24"/>
                </w:rPr>
                <m:t>FN</m:t>
              </m:r>
              <m:ctrlPr>
                <w:rPr>
                  <w:rFonts w:ascii="DejaVu Math TeX Gyre" w:hAnsi="DejaVu Math TeX Gyre" w:eastAsia="宋体"/>
                  <w:sz w:val="24"/>
                </w:rPr>
              </m:ctrlPr>
            </m:den>
          </m:f>
        </m:oMath>
      </m:oMathPara>
    </w:p>
    <w:p w14:paraId="2E539470">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F1分数作为精确率和召回率的调和平均数，计算公式为</w:t>
      </w:r>
    </w:p>
    <w:p w14:paraId="229695AE">
      <w:pPr>
        <w:snapToGrid/>
        <w:spacing w:beforeAutospacing="0" w:after="0" w:afterAutospacing="0" w:line="400" w:lineRule="exact"/>
        <w:ind w:left="0" w:leftChars="0" w:right="0" w:rightChars="0" w:firstLine="480" w:firstLineChars="200"/>
        <w:jc w:val="both"/>
        <w:rPr>
          <w:rFonts w:ascii="Times New Roman" w:eastAsia="宋体"/>
          <w:sz w:val="24"/>
        </w:rPr>
      </w:pPr>
      <m:oMathPara>
        <m:oMath>
          <m:r>
            <m:rPr/>
            <w:rPr>
              <w:rFonts w:ascii="Times New Roman" w:hAnsi="Times New Roman" w:eastAsia="宋体"/>
              <w:sz w:val="24"/>
            </w:rPr>
            <m:t>F</m:t>
          </m:r>
          <m:r>
            <m:rPr>
              <m:sty m:val="p"/>
            </m:rPr>
            <w:rPr>
              <w:rFonts w:ascii="Times New Roman" w:hAnsi="Times New Roman" w:eastAsia="宋体"/>
              <w:sz w:val="24"/>
            </w:rPr>
            <m:t>1=</m:t>
          </m:r>
          <m:f>
            <m:fPr>
              <m:ctrlPr>
                <w:rPr>
                  <w:rFonts w:ascii="DejaVu Math TeX Gyre" w:hAnsi="DejaVu Math TeX Gyre" w:eastAsia="宋体"/>
                  <w:sz w:val="24"/>
                </w:rPr>
              </m:ctrlPr>
            </m:fPr>
            <m:num>
              <m:r>
                <m:rPr>
                  <m:sty m:val="p"/>
                </m:rPr>
                <w:rPr>
                  <w:rFonts w:ascii="Times New Roman" w:hAnsi="Times New Roman" w:eastAsia="宋体"/>
                  <w:sz w:val="24"/>
                </w:rPr>
                <m:t>2×</m:t>
              </m:r>
              <m:r>
                <m:rPr/>
                <w:rPr>
                  <w:rFonts w:ascii="Times New Roman" w:hAnsi="Times New Roman" w:eastAsia="宋体"/>
                  <w:sz w:val="24"/>
                </w:rPr>
                <m:t>P</m:t>
              </m:r>
              <m:r>
                <m:rPr>
                  <m:sty m:val="p"/>
                </m:rPr>
                <w:rPr>
                  <w:rFonts w:ascii="Times New Roman" w:hAnsi="Times New Roman" w:eastAsia="宋体"/>
                  <w:sz w:val="24"/>
                </w:rPr>
                <m:t>×</m:t>
              </m:r>
              <m:r>
                <m:rPr/>
                <w:rPr>
                  <w:rFonts w:ascii="Times New Roman" w:hAnsi="Times New Roman" w:eastAsia="宋体"/>
                  <w:sz w:val="24"/>
                </w:rPr>
                <m:t>R</m:t>
              </m:r>
              <m:ctrlPr>
                <w:rPr>
                  <w:rFonts w:ascii="DejaVu Math TeX Gyre" w:hAnsi="DejaVu Math TeX Gyre" w:eastAsia="宋体"/>
                  <w:sz w:val="24"/>
                </w:rPr>
              </m:ctrlPr>
            </m:num>
            <m:den>
              <m:r>
                <m:rPr/>
                <w:rPr>
                  <w:rFonts w:ascii="Times New Roman" w:hAnsi="Times New Roman" w:eastAsia="宋体"/>
                  <w:sz w:val="24"/>
                </w:rPr>
                <m:t>P</m:t>
              </m:r>
              <m:r>
                <m:rPr>
                  <m:sty m:val="p"/>
                </m:rPr>
                <w:rPr>
                  <w:rFonts w:ascii="Times New Roman" w:hAnsi="Times New Roman" w:eastAsia="宋体"/>
                  <w:sz w:val="24"/>
                </w:rPr>
                <m:t>+</m:t>
              </m:r>
              <m:r>
                <m:rPr/>
                <w:rPr>
                  <w:rFonts w:ascii="Times New Roman" w:hAnsi="Times New Roman" w:eastAsia="宋体"/>
                  <w:sz w:val="24"/>
                </w:rPr>
                <m:t>R</m:t>
              </m:r>
              <m:ctrlPr>
                <w:rPr>
                  <w:rFonts w:ascii="DejaVu Math TeX Gyre" w:hAnsi="DejaVu Math TeX Gyre" w:eastAsia="宋体"/>
                  <w:sz w:val="24"/>
                </w:rPr>
              </m:ctrlPr>
            </m:den>
          </m:f>
        </m:oMath>
      </m:oMathPara>
    </w:p>
    <w:p w14:paraId="1C8418E5">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其中P代表精确率，R代表召回率。F1分数兼顾了两者的平衡性，在类别不均衡场景下比准确率更具参考价值。</w:t>
      </w:r>
    </w:p>
    <w:p w14:paraId="7254CB1F">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混淆矩阵（Confusion Matrix）为五分类任务提供了最全面的性能展示。该矩阵的行表示真实标签，列表示预测标签，矩阵中的第(i,j)个元素表示真实类别为i但被预测为类别j的样本数量。对角线元素代表正确分类的样本数，而非对角线元素则揭示了模型的误分类模式。例如，如果混淆矩阵显示大量"中"等级样本被误判为"良"等级，说明模型在临界区域的判别能力不足，可能需要增加这两个类别之间的区分性特征。此外，混淆矩阵还可用于计算每个类别的精确率、召回率和F1分数，提供更细粒度的性能诊断。</w:t>
      </w:r>
    </w:p>
    <w:p w14:paraId="3AB77BA2">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表9总结了分类任务中使用的评估指标及其定义。</w:t>
      </w:r>
    </w:p>
    <w:p w14:paraId="582E4022">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表9 分类评估指标定义表</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332"/>
        <w:gridCol w:w="1810"/>
        <w:gridCol w:w="921"/>
        <w:gridCol w:w="1045"/>
        <w:gridCol w:w="1251"/>
        <w:gridCol w:w="1611"/>
      </w:tblGrid>
      <w:tr w14:paraId="35F17FBD">
        <w:trPr>
          <w:cantSplit/>
          <w:tblCellSpacing w:w="0" w:type="dxa"/>
          <w:jc w:val="center"/>
        </w:trPr>
        <w:tc>
          <w:tcPr>
            <w:tcBorders>
              <w:top w:val="single" w:color="000000" w:sz="0" w:space="0"/>
              <w:bottom w:val="single" w:color="000000" w:sz="0" w:space="0"/>
            </w:tcBorders>
          </w:tcPr>
          <w:p w14:paraId="103E2EDB">
            <w:pPr>
              <w:spacing w:after="0" w:line="240" w:lineRule="auto"/>
            </w:pPr>
            <w:r>
              <w:rPr>
                <w:rFonts w:ascii="Georgia" w:hAnsi="Georgia" w:eastAsia="Georgia" w:cs="Georgia"/>
              </w:rPr>
              <w:t>指标名称</w:t>
            </w:r>
          </w:p>
        </w:tc>
        <w:tc>
          <w:tcPr>
            <w:tcBorders>
              <w:top w:val="single" w:color="000000" w:sz="0" w:space="0"/>
              <w:left w:val="single" w:color="000000" w:sz="0" w:space="0"/>
              <w:bottom w:val="single" w:color="000000" w:sz="0" w:space="0"/>
            </w:tcBorders>
          </w:tcPr>
          <w:p w14:paraId="2CC1353F">
            <w:pPr>
              <w:spacing w:after="0" w:line="240" w:lineRule="auto"/>
            </w:pPr>
            <w:r>
              <w:rPr>
                <w:rFonts w:ascii="Georgia" w:hAnsi="Georgia" w:eastAsia="Georgia" w:cs="Georgia"/>
              </w:rPr>
              <w:t>计算公式</w:t>
            </w:r>
          </w:p>
        </w:tc>
        <w:tc>
          <w:tcPr>
            <w:tcBorders>
              <w:top w:val="single" w:color="000000" w:sz="0" w:space="0"/>
              <w:left w:val="single" w:color="000000" w:sz="0" w:space="0"/>
              <w:bottom w:val="single" w:color="000000" w:sz="0" w:space="0"/>
            </w:tcBorders>
          </w:tcPr>
          <w:p w14:paraId="31D03AB7">
            <w:pPr>
              <w:spacing w:after="0" w:line="240" w:lineRule="auto"/>
            </w:pPr>
            <w:r>
              <w:rPr>
                <w:rFonts w:ascii="Georgia" w:hAnsi="Georgia" w:eastAsia="Georgia" w:cs="Georgia"/>
              </w:rPr>
              <w:t>取值范围</w:t>
            </w:r>
          </w:p>
        </w:tc>
        <w:tc>
          <w:tcPr>
            <w:tcBorders>
              <w:top w:val="single" w:color="000000" w:sz="0" w:space="0"/>
              <w:left w:val="single" w:color="000000" w:sz="0" w:space="0"/>
              <w:bottom w:val="single" w:color="000000" w:sz="0" w:space="0"/>
            </w:tcBorders>
          </w:tcPr>
          <w:p w14:paraId="3C11DDFA">
            <w:pPr>
              <w:spacing w:after="0" w:line="240" w:lineRule="auto"/>
            </w:pPr>
            <w:r>
              <w:rPr>
                <w:rFonts w:ascii="Georgia" w:hAnsi="Georgia" w:eastAsia="Georgia" w:cs="Georgia"/>
              </w:rPr>
              <w:t>最优值</w:t>
            </w:r>
          </w:p>
        </w:tc>
        <w:tc>
          <w:tcPr>
            <w:tcBorders>
              <w:top w:val="single" w:color="000000" w:sz="0" w:space="0"/>
              <w:left w:val="single" w:color="000000" w:sz="0" w:space="0"/>
              <w:bottom w:val="single" w:color="000000" w:sz="0" w:space="0"/>
            </w:tcBorders>
          </w:tcPr>
          <w:p w14:paraId="1C60329A">
            <w:pPr>
              <w:spacing w:after="0" w:line="240" w:lineRule="auto"/>
            </w:pPr>
            <w:r>
              <w:rPr>
                <w:rFonts w:ascii="Georgia" w:hAnsi="Georgia" w:eastAsia="Georgia" w:cs="Georgia"/>
              </w:rPr>
              <w:t>适用场景</w:t>
            </w:r>
          </w:p>
        </w:tc>
        <w:tc>
          <w:tcPr>
            <w:tcBorders>
              <w:top w:val="single" w:color="000000" w:sz="0" w:space="0"/>
              <w:left w:val="single" w:color="000000" w:sz="0" w:space="0"/>
              <w:bottom w:val="single" w:color="000000" w:sz="0" w:space="0"/>
            </w:tcBorders>
          </w:tcPr>
          <w:p w14:paraId="5EE3BF7D">
            <w:pPr>
              <w:spacing w:after="0" w:line="240" w:lineRule="auto"/>
            </w:pPr>
            <w:r>
              <w:rPr>
                <w:rFonts w:ascii="Georgia" w:hAnsi="Georgia" w:eastAsia="Georgia" w:cs="Georgia"/>
              </w:rPr>
              <w:t>物理意义</w:t>
            </w:r>
          </w:p>
        </w:tc>
      </w:tr>
      <w:tr w14:paraId="654A4414">
        <w:trPr>
          <w:cantSplit/>
          <w:tblCellSpacing w:w="0" w:type="dxa"/>
          <w:jc w:val="center"/>
        </w:trPr>
        <w:tc>
          <w:tcPr>
            <w:tcBorders>
              <w:top w:val="single" w:color="000000" w:sz="0" w:space="0"/>
              <w:bottom w:val="single" w:color="000000" w:sz="0" w:space="0"/>
            </w:tcBorders>
          </w:tcPr>
          <w:p w14:paraId="258F7ABB">
            <w:pPr>
              <w:spacing w:after="0" w:line="240" w:lineRule="auto"/>
            </w:pPr>
            <w:r>
              <w:rPr>
                <w:rFonts w:ascii="Georgia" w:hAnsi="Georgia" w:eastAsia="Georgia" w:cs="Georgia"/>
              </w:rPr>
              <w:t>准确率 (Accuracy)</w:t>
            </w:r>
          </w:p>
        </w:tc>
        <w:tc>
          <w:tcPr>
            <w:tcBorders>
              <w:top w:val="single" w:color="000000" w:sz="0" w:space="0"/>
              <w:left w:val="single" w:color="000000" w:sz="0" w:space="0"/>
              <w:bottom w:val="single" w:color="000000" w:sz="0" w:space="0"/>
            </w:tcBorders>
          </w:tcPr>
          <w:p w14:paraId="50078847">
            <w:pPr>
              <w:spacing w:after="0" w:line="240" w:lineRule="auto"/>
            </w:pPr>
            <w:r>
              <w:t>(TP+TN)/Total</w:t>
            </w:r>
          </w:p>
        </w:tc>
        <w:tc>
          <w:tcPr>
            <w:tcBorders>
              <w:top w:val="single" w:color="000000" w:sz="0" w:space="0"/>
              <w:left w:val="single" w:color="000000" w:sz="0" w:space="0"/>
              <w:bottom w:val="single" w:color="000000" w:sz="0" w:space="0"/>
            </w:tcBorders>
          </w:tcPr>
          <w:p w14:paraId="02AF7CAC">
            <w:pPr>
              <w:spacing w:after="0" w:line="240" w:lineRule="auto"/>
            </w:pPr>
            <w:r>
              <w:t>[0, 1]</w:t>
            </w:r>
          </w:p>
        </w:tc>
        <w:tc>
          <w:tcPr>
            <w:tcBorders>
              <w:top w:val="single" w:color="000000" w:sz="0" w:space="0"/>
              <w:left w:val="single" w:color="000000" w:sz="0" w:space="0"/>
              <w:bottom w:val="single" w:color="000000" w:sz="0" w:space="0"/>
            </w:tcBorders>
          </w:tcPr>
          <w:p w14:paraId="10CAE959">
            <w:pPr>
              <w:spacing w:after="0" w:line="240" w:lineRule="auto"/>
            </w:pPr>
            <w:r>
              <w:t>1.0</w:t>
            </w:r>
          </w:p>
        </w:tc>
        <w:tc>
          <w:tcPr>
            <w:tcBorders>
              <w:top w:val="single" w:color="000000" w:sz="0" w:space="0"/>
              <w:left w:val="single" w:color="000000" w:sz="0" w:space="0"/>
              <w:bottom w:val="single" w:color="000000" w:sz="0" w:space="0"/>
            </w:tcBorders>
          </w:tcPr>
          <w:p w14:paraId="58F4CDD9">
            <w:pPr>
              <w:spacing w:after="0" w:line="240" w:lineRule="auto"/>
            </w:pPr>
            <w:r>
              <w:rPr>
                <w:rFonts w:ascii="Georgia" w:hAnsi="Georgia" w:eastAsia="Georgia" w:cs="Georgia"/>
              </w:rPr>
              <w:t>类别均衡</w:t>
            </w:r>
          </w:p>
        </w:tc>
        <w:tc>
          <w:tcPr>
            <w:tcBorders>
              <w:top w:val="single" w:color="000000" w:sz="0" w:space="0"/>
              <w:left w:val="single" w:color="000000" w:sz="0" w:space="0"/>
              <w:bottom w:val="single" w:color="000000" w:sz="0" w:space="0"/>
            </w:tcBorders>
          </w:tcPr>
          <w:p w14:paraId="719D9982">
            <w:pPr>
              <w:spacing w:after="0" w:line="240" w:lineRule="auto"/>
            </w:pPr>
            <w:r>
              <w:rPr>
                <w:rFonts w:ascii="Georgia" w:hAnsi="Georgia" w:eastAsia="Georgia" w:cs="Georgia"/>
              </w:rPr>
              <w:t>整体正确率</w:t>
            </w:r>
          </w:p>
        </w:tc>
      </w:tr>
      <w:tr w14:paraId="7DBE57B0">
        <w:trPr>
          <w:cantSplit/>
          <w:tblCellSpacing w:w="0" w:type="dxa"/>
          <w:jc w:val="center"/>
        </w:trPr>
        <w:tc>
          <w:tcPr>
            <w:tcBorders>
              <w:top w:val="single" w:color="000000" w:sz="0" w:space="0"/>
              <w:bottom w:val="single" w:color="000000" w:sz="0" w:space="0"/>
            </w:tcBorders>
          </w:tcPr>
          <w:p w14:paraId="03FF39F8">
            <w:pPr>
              <w:spacing w:after="0" w:line="240" w:lineRule="auto"/>
            </w:pPr>
            <w:r>
              <w:rPr>
                <w:rFonts w:ascii="Georgia" w:hAnsi="Georgia" w:eastAsia="Georgia" w:cs="Georgia"/>
              </w:rPr>
              <w:t>精确率 (Precision)</w:t>
            </w:r>
          </w:p>
        </w:tc>
        <w:tc>
          <w:tcPr>
            <w:tcBorders>
              <w:top w:val="single" w:color="000000" w:sz="0" w:space="0"/>
              <w:left w:val="single" w:color="000000" w:sz="0" w:space="0"/>
              <w:bottom w:val="single" w:color="000000" w:sz="0" w:space="0"/>
            </w:tcBorders>
          </w:tcPr>
          <w:p w14:paraId="2CE14872">
            <w:pPr>
              <w:spacing w:after="0" w:line="240" w:lineRule="auto"/>
            </w:pPr>
            <w:r>
              <w:t>TP/(TP+FP)</w:t>
            </w:r>
          </w:p>
        </w:tc>
        <w:tc>
          <w:tcPr>
            <w:tcBorders>
              <w:top w:val="single" w:color="000000" w:sz="0" w:space="0"/>
              <w:left w:val="single" w:color="000000" w:sz="0" w:space="0"/>
              <w:bottom w:val="single" w:color="000000" w:sz="0" w:space="0"/>
            </w:tcBorders>
          </w:tcPr>
          <w:p w14:paraId="65BFF618">
            <w:pPr>
              <w:spacing w:after="0" w:line="240" w:lineRule="auto"/>
            </w:pPr>
            <w:r>
              <w:t>[0, 1]</w:t>
            </w:r>
          </w:p>
        </w:tc>
        <w:tc>
          <w:tcPr>
            <w:tcBorders>
              <w:top w:val="single" w:color="000000" w:sz="0" w:space="0"/>
              <w:left w:val="single" w:color="000000" w:sz="0" w:space="0"/>
              <w:bottom w:val="single" w:color="000000" w:sz="0" w:space="0"/>
            </w:tcBorders>
          </w:tcPr>
          <w:p w14:paraId="04EC0FF4">
            <w:pPr>
              <w:spacing w:after="0" w:line="240" w:lineRule="auto"/>
            </w:pPr>
            <w:r>
              <w:t>1.0</w:t>
            </w:r>
          </w:p>
        </w:tc>
        <w:tc>
          <w:tcPr>
            <w:tcBorders>
              <w:top w:val="single" w:color="000000" w:sz="0" w:space="0"/>
              <w:left w:val="single" w:color="000000" w:sz="0" w:space="0"/>
              <w:bottom w:val="single" w:color="000000" w:sz="0" w:space="0"/>
            </w:tcBorders>
          </w:tcPr>
          <w:p w14:paraId="35CFFC42">
            <w:pPr>
              <w:spacing w:after="0" w:line="240" w:lineRule="auto"/>
            </w:pPr>
            <w:r>
              <w:rPr>
                <w:rFonts w:ascii="Georgia" w:hAnsi="Georgia" w:eastAsia="Georgia" w:cs="Georgia"/>
              </w:rPr>
              <w:t>重视误报成本</w:t>
            </w:r>
          </w:p>
        </w:tc>
        <w:tc>
          <w:tcPr>
            <w:tcBorders>
              <w:top w:val="single" w:color="000000" w:sz="0" w:space="0"/>
              <w:left w:val="single" w:color="000000" w:sz="0" w:space="0"/>
              <w:bottom w:val="single" w:color="000000" w:sz="0" w:space="0"/>
            </w:tcBorders>
          </w:tcPr>
          <w:p w14:paraId="52769522">
            <w:pPr>
              <w:spacing w:after="0" w:line="240" w:lineRule="auto"/>
            </w:pPr>
            <w:r>
              <w:rPr>
                <w:rFonts w:ascii="Georgia" w:hAnsi="Georgia" w:eastAsia="Georgia" w:cs="Georgia"/>
              </w:rPr>
              <w:t>预测为正类的可信度</w:t>
            </w:r>
          </w:p>
        </w:tc>
      </w:tr>
      <w:tr w14:paraId="50874264">
        <w:trPr>
          <w:cantSplit/>
          <w:tblCellSpacing w:w="0" w:type="dxa"/>
          <w:jc w:val="center"/>
        </w:trPr>
        <w:tc>
          <w:tcPr>
            <w:tcBorders>
              <w:top w:val="single" w:color="000000" w:sz="0" w:space="0"/>
              <w:bottom w:val="single" w:color="000000" w:sz="0" w:space="0"/>
            </w:tcBorders>
          </w:tcPr>
          <w:p w14:paraId="74AAFFB4">
            <w:pPr>
              <w:spacing w:after="0" w:line="240" w:lineRule="auto"/>
            </w:pPr>
            <w:r>
              <w:rPr>
                <w:rFonts w:ascii="Georgia" w:hAnsi="Georgia" w:eastAsia="Georgia" w:cs="Georgia"/>
              </w:rPr>
              <w:t>召回率 (Recall)</w:t>
            </w:r>
          </w:p>
        </w:tc>
        <w:tc>
          <w:tcPr>
            <w:tcBorders>
              <w:top w:val="single" w:color="000000" w:sz="0" w:space="0"/>
              <w:left w:val="single" w:color="000000" w:sz="0" w:space="0"/>
              <w:bottom w:val="single" w:color="000000" w:sz="0" w:space="0"/>
            </w:tcBorders>
          </w:tcPr>
          <w:p w14:paraId="02C081DA">
            <w:pPr>
              <w:spacing w:after="0" w:line="240" w:lineRule="auto"/>
            </w:pPr>
            <w:r>
              <w:t>TP/(TP+FN)</w:t>
            </w:r>
          </w:p>
        </w:tc>
        <w:tc>
          <w:tcPr>
            <w:tcBorders>
              <w:top w:val="single" w:color="000000" w:sz="0" w:space="0"/>
              <w:left w:val="single" w:color="000000" w:sz="0" w:space="0"/>
              <w:bottom w:val="single" w:color="000000" w:sz="0" w:space="0"/>
            </w:tcBorders>
          </w:tcPr>
          <w:p w14:paraId="70956980">
            <w:pPr>
              <w:spacing w:after="0" w:line="240" w:lineRule="auto"/>
            </w:pPr>
            <w:r>
              <w:t>[0, 1]</w:t>
            </w:r>
          </w:p>
        </w:tc>
        <w:tc>
          <w:tcPr>
            <w:tcBorders>
              <w:top w:val="single" w:color="000000" w:sz="0" w:space="0"/>
              <w:left w:val="single" w:color="000000" w:sz="0" w:space="0"/>
              <w:bottom w:val="single" w:color="000000" w:sz="0" w:space="0"/>
            </w:tcBorders>
          </w:tcPr>
          <w:p w14:paraId="375EE2CA">
            <w:pPr>
              <w:spacing w:after="0" w:line="240" w:lineRule="auto"/>
            </w:pPr>
            <w:r>
              <w:t>1.0</w:t>
            </w:r>
          </w:p>
        </w:tc>
        <w:tc>
          <w:tcPr>
            <w:tcBorders>
              <w:top w:val="single" w:color="000000" w:sz="0" w:space="0"/>
              <w:left w:val="single" w:color="000000" w:sz="0" w:space="0"/>
              <w:bottom w:val="single" w:color="000000" w:sz="0" w:space="0"/>
            </w:tcBorders>
          </w:tcPr>
          <w:p w14:paraId="02013D25">
            <w:pPr>
              <w:spacing w:after="0" w:line="240" w:lineRule="auto"/>
            </w:pPr>
            <w:r>
              <w:rPr>
                <w:rFonts w:ascii="Georgia" w:hAnsi="Georgia" w:eastAsia="Georgia" w:cs="Georgia"/>
              </w:rPr>
              <w:t>重视漏报成本</w:t>
            </w:r>
          </w:p>
        </w:tc>
        <w:tc>
          <w:tcPr>
            <w:tcBorders>
              <w:top w:val="single" w:color="000000" w:sz="0" w:space="0"/>
              <w:left w:val="single" w:color="000000" w:sz="0" w:space="0"/>
              <w:bottom w:val="single" w:color="000000" w:sz="0" w:space="0"/>
            </w:tcBorders>
          </w:tcPr>
          <w:p w14:paraId="5552120D">
            <w:pPr>
              <w:spacing w:after="0" w:line="240" w:lineRule="auto"/>
            </w:pPr>
            <w:r>
              <w:rPr>
                <w:rFonts w:ascii="Georgia" w:hAnsi="Georgia" w:eastAsia="Georgia" w:cs="Georgia"/>
              </w:rPr>
              <w:t>真正类被识别的比例</w:t>
            </w:r>
          </w:p>
        </w:tc>
      </w:tr>
      <w:tr w14:paraId="4BC7CC49">
        <w:trPr>
          <w:cantSplit/>
          <w:tblCellSpacing w:w="0" w:type="dxa"/>
          <w:jc w:val="center"/>
        </w:trPr>
        <w:tc>
          <w:tcPr>
            <w:tcBorders>
              <w:top w:val="single" w:color="000000" w:sz="0" w:space="0"/>
              <w:bottom w:val="single" w:color="000000" w:sz="0" w:space="0"/>
            </w:tcBorders>
          </w:tcPr>
          <w:p w14:paraId="6C3882BA">
            <w:pPr>
              <w:spacing w:after="0" w:line="240" w:lineRule="auto"/>
            </w:pPr>
            <w:r>
              <w:rPr>
                <w:rFonts w:ascii="Georgia" w:hAnsi="Georgia" w:eastAsia="Georgia" w:cs="Georgia"/>
              </w:rPr>
              <w:t>F1分数 (F1-score)</w:t>
            </w:r>
          </w:p>
        </w:tc>
        <w:tc>
          <w:tcPr>
            <w:tcBorders>
              <w:top w:val="single" w:color="000000" w:sz="0" w:space="0"/>
              <w:left w:val="single" w:color="000000" w:sz="0" w:space="0"/>
              <w:bottom w:val="single" w:color="000000" w:sz="0" w:space="0"/>
            </w:tcBorders>
          </w:tcPr>
          <w:p w14:paraId="46102446">
            <w:pPr>
              <w:spacing w:after="0" w:line="240" w:lineRule="auto"/>
            </w:pPr>
            <w:r>
              <w:rPr>
                <w:rFonts w:ascii="Georgia" w:hAnsi="Georgia" w:eastAsia="Georgia" w:cs="Georgia"/>
              </w:rPr>
              <w:t>2×P×R/(P+R)</w:t>
            </w:r>
          </w:p>
        </w:tc>
        <w:tc>
          <w:tcPr>
            <w:tcBorders>
              <w:top w:val="single" w:color="000000" w:sz="0" w:space="0"/>
              <w:left w:val="single" w:color="000000" w:sz="0" w:space="0"/>
              <w:bottom w:val="single" w:color="000000" w:sz="0" w:space="0"/>
            </w:tcBorders>
          </w:tcPr>
          <w:p w14:paraId="517514F3">
            <w:pPr>
              <w:spacing w:after="0" w:line="240" w:lineRule="auto"/>
            </w:pPr>
            <w:r>
              <w:t>[0, 1]</w:t>
            </w:r>
          </w:p>
        </w:tc>
        <w:tc>
          <w:tcPr>
            <w:tcBorders>
              <w:top w:val="single" w:color="000000" w:sz="0" w:space="0"/>
              <w:left w:val="single" w:color="000000" w:sz="0" w:space="0"/>
              <w:bottom w:val="single" w:color="000000" w:sz="0" w:space="0"/>
            </w:tcBorders>
          </w:tcPr>
          <w:p w14:paraId="738FB152">
            <w:pPr>
              <w:spacing w:after="0" w:line="240" w:lineRule="auto"/>
            </w:pPr>
            <w:r>
              <w:t>1.0</w:t>
            </w:r>
          </w:p>
        </w:tc>
        <w:tc>
          <w:tcPr>
            <w:tcBorders>
              <w:top w:val="single" w:color="000000" w:sz="0" w:space="0"/>
              <w:left w:val="single" w:color="000000" w:sz="0" w:space="0"/>
              <w:bottom w:val="single" w:color="000000" w:sz="0" w:space="0"/>
            </w:tcBorders>
          </w:tcPr>
          <w:p w14:paraId="7B0380D7">
            <w:pPr>
              <w:spacing w:after="0" w:line="240" w:lineRule="auto"/>
            </w:pPr>
            <w:r>
              <w:rPr>
                <w:rFonts w:ascii="Georgia" w:hAnsi="Georgia" w:eastAsia="Georgia" w:cs="Georgia"/>
              </w:rPr>
              <w:t>类别不均衡</w:t>
            </w:r>
          </w:p>
        </w:tc>
        <w:tc>
          <w:tcPr>
            <w:tcBorders>
              <w:top w:val="single" w:color="000000" w:sz="0" w:space="0"/>
              <w:left w:val="single" w:color="000000" w:sz="0" w:space="0"/>
              <w:bottom w:val="single" w:color="000000" w:sz="0" w:space="0"/>
            </w:tcBorders>
          </w:tcPr>
          <w:p w14:paraId="7C3B2B86">
            <w:pPr>
              <w:spacing w:after="0" w:line="240" w:lineRule="auto"/>
            </w:pPr>
            <w:r>
              <w:rPr>
                <w:rFonts w:ascii="Georgia" w:hAnsi="Georgia" w:eastAsia="Georgia" w:cs="Georgia"/>
              </w:rPr>
              <w:t>精确率和召回率的平衡</w:t>
            </w:r>
          </w:p>
        </w:tc>
      </w:tr>
      <w:tr w14:paraId="72C05BEF">
        <w:trPr>
          <w:cantSplit/>
          <w:tblCellSpacing w:w="0" w:type="dxa"/>
          <w:jc w:val="center"/>
        </w:trPr>
        <w:tc>
          <w:tcPr>
            <w:tcBorders>
              <w:top w:val="single" w:color="000000" w:sz="0" w:space="0"/>
              <w:bottom w:val="single" w:color="000000" w:sz="0" w:space="0"/>
            </w:tcBorders>
          </w:tcPr>
          <w:p w14:paraId="244723DA">
            <w:pPr>
              <w:spacing w:after="0" w:line="240" w:lineRule="auto"/>
            </w:pPr>
            <w:r>
              <w:rPr>
                <w:rFonts w:ascii="Georgia" w:hAnsi="Georgia" w:eastAsia="Georgia" w:cs="Georgia"/>
              </w:rPr>
              <w:t>混淆矩阵 (Confusion Matrix)</w:t>
            </w:r>
          </w:p>
        </w:tc>
        <w:tc>
          <w:tcPr>
            <w:tcBorders>
              <w:top w:val="single" w:color="000000" w:sz="0" w:space="0"/>
              <w:left w:val="single" w:color="000000" w:sz="0" w:space="0"/>
              <w:bottom w:val="single" w:color="000000" w:sz="0" w:space="0"/>
            </w:tcBorders>
          </w:tcPr>
          <w:p w14:paraId="01C948B5">
            <w:pPr>
              <w:spacing w:after="0" w:line="240" w:lineRule="auto"/>
            </w:pPr>
            <w:r>
              <w:rPr>
                <w:rFonts w:ascii="Georgia" w:hAnsi="Georgia" w:eastAsia="Georgia" w:cs="Georgia"/>
              </w:rPr>
              <w:t>—</w:t>
            </w:r>
          </w:p>
        </w:tc>
        <w:tc>
          <w:tcPr>
            <w:tcBorders>
              <w:top w:val="single" w:color="000000" w:sz="0" w:space="0"/>
              <w:left w:val="single" w:color="000000" w:sz="0" w:space="0"/>
              <w:bottom w:val="single" w:color="000000" w:sz="0" w:space="0"/>
            </w:tcBorders>
          </w:tcPr>
          <w:p w14:paraId="31E1D046">
            <w:pPr>
              <w:spacing w:after="0" w:line="240" w:lineRule="auto"/>
            </w:pPr>
            <w:r>
              <w:rPr>
                <w:rFonts w:ascii="Georgia" w:hAnsi="Georgia" w:eastAsia="Georgia" w:cs="Georgia"/>
              </w:rPr>
              <w:t>—</w:t>
            </w:r>
          </w:p>
        </w:tc>
        <w:tc>
          <w:tcPr>
            <w:tcBorders>
              <w:top w:val="single" w:color="000000" w:sz="0" w:space="0"/>
              <w:left w:val="single" w:color="000000" w:sz="0" w:space="0"/>
              <w:bottom w:val="single" w:color="000000" w:sz="0" w:space="0"/>
            </w:tcBorders>
          </w:tcPr>
          <w:p w14:paraId="221EF686">
            <w:pPr>
              <w:spacing w:after="0" w:line="240" w:lineRule="auto"/>
            </w:pPr>
            <w:r>
              <w:rPr>
                <w:rFonts w:ascii="Georgia" w:hAnsi="Georgia" w:eastAsia="Georgia" w:cs="Georgia"/>
              </w:rPr>
              <w:t>对角线最大</w:t>
            </w:r>
          </w:p>
        </w:tc>
        <w:tc>
          <w:tcPr>
            <w:tcBorders>
              <w:top w:val="single" w:color="000000" w:sz="0" w:space="0"/>
              <w:left w:val="single" w:color="000000" w:sz="0" w:space="0"/>
              <w:bottom w:val="single" w:color="000000" w:sz="0" w:space="0"/>
            </w:tcBorders>
          </w:tcPr>
          <w:p w14:paraId="69B76CF8">
            <w:pPr>
              <w:spacing w:after="0" w:line="240" w:lineRule="auto"/>
            </w:pPr>
            <w:r>
              <w:rPr>
                <w:rFonts w:ascii="Georgia" w:hAnsi="Georgia" w:eastAsia="Georgia" w:cs="Georgia"/>
              </w:rPr>
              <w:t>多分类详细诊断</w:t>
            </w:r>
          </w:p>
        </w:tc>
        <w:tc>
          <w:tcPr>
            <w:tcBorders>
              <w:top w:val="single" w:color="000000" w:sz="0" w:space="0"/>
              <w:left w:val="single" w:color="000000" w:sz="0" w:space="0"/>
              <w:bottom w:val="single" w:color="000000" w:sz="0" w:space="0"/>
            </w:tcBorders>
          </w:tcPr>
          <w:p w14:paraId="7DA84BAB">
            <w:pPr>
              <w:spacing w:after="0" w:line="240" w:lineRule="auto"/>
            </w:pPr>
            <w:r>
              <w:rPr>
                <w:rFonts w:ascii="Georgia" w:hAnsi="Georgia" w:eastAsia="Georgia" w:cs="Georgia"/>
              </w:rPr>
              <w:t>类别间误分类模式</w:t>
            </w:r>
          </w:p>
        </w:tc>
      </w:tr>
    </w:tbl>
    <w:p w14:paraId="1E52524F">
      <w:pPr>
        <w:snapToGrid/>
        <w:spacing w:beforeAutospacing="0" w:after="0" w:afterAutospacing="0" w:line="400" w:lineRule="exact"/>
        <w:ind w:left="0" w:leftChars="0" w:right="0" w:rightChars="0" w:firstLine="480" w:firstLineChars="200"/>
        <w:jc w:val="both"/>
        <w:rPr>
          <w:rFonts w:ascii="Times New Roman" w:eastAsia="宋体"/>
          <w:sz w:val="24"/>
        </w:rPr>
      </w:pPr>
    </w:p>
    <w:p w14:paraId="30D4CC44">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对于水质指标回归任务，本研究采用决定系数R²、平均绝对误差MAE和均方根误差RMSE三个指标进行评估。决定系数R²定义为</w:t>
      </w:r>
    </w:p>
    <w:p w14:paraId="25F7B24F">
      <w:pPr>
        <w:snapToGrid/>
        <w:spacing w:beforeAutospacing="0" w:after="0" w:afterAutospacing="0" w:line="400" w:lineRule="exact"/>
        <w:ind w:left="0" w:leftChars="0" w:right="0" w:rightChars="0" w:firstLine="480" w:firstLineChars="200"/>
        <w:jc w:val="both"/>
        <w:rPr>
          <w:rFonts w:ascii="Times New Roman" w:eastAsia="宋体"/>
          <w:sz w:val="24"/>
        </w:rPr>
      </w:pPr>
      <m:oMathPara>
        <m:oMath>
          <m:sSup>
            <m:sSupPr>
              <m:ctrlPr>
                <w:rPr>
                  <w:rFonts w:ascii="DejaVu Math TeX Gyre" w:hAnsi="DejaVu Math TeX Gyre" w:eastAsia="宋体"/>
                  <w:sz w:val="24"/>
                </w:rPr>
              </m:ctrlPr>
            </m:sSupPr>
            <m:e>
              <m:r>
                <m:rPr/>
                <w:rPr>
                  <w:rFonts w:ascii="Times New Roman" w:hAnsi="Times New Roman" w:eastAsia="宋体"/>
                  <w:sz w:val="24"/>
                </w:rPr>
                <m:t>R</m:t>
              </m:r>
              <m:ctrlPr>
                <w:rPr>
                  <w:rFonts w:ascii="DejaVu Math TeX Gyre" w:hAnsi="DejaVu Math TeX Gyre" w:eastAsia="宋体"/>
                  <w:sz w:val="24"/>
                </w:rPr>
              </m:ctrlPr>
            </m:e>
            <m:sup>
              <m:r>
                <m:rPr>
                  <m:sty m:val="p"/>
                </m:rPr>
                <w:rPr>
                  <w:rFonts w:ascii="Times New Roman" w:hAnsi="Times New Roman" w:eastAsia="宋体"/>
                  <w:sz w:val="24"/>
                </w:rPr>
                <m:t>2</m:t>
              </m:r>
              <m:ctrlPr>
                <w:rPr>
                  <w:rFonts w:ascii="DejaVu Math TeX Gyre" w:hAnsi="DejaVu Math TeX Gyre" w:eastAsia="宋体"/>
                  <w:sz w:val="24"/>
                </w:rPr>
              </m:ctrlPr>
            </m:sup>
          </m:sSup>
          <m:r>
            <m:rPr>
              <m:sty m:val="p"/>
            </m:rPr>
            <w:rPr>
              <w:rFonts w:ascii="Times New Roman" w:hAnsi="Times New Roman" w:eastAsia="宋体"/>
              <w:sz w:val="24"/>
            </w:rPr>
            <m:t>=1−</m:t>
          </m:r>
          <m:f>
            <m:fPr>
              <m:ctrlPr>
                <w:rPr>
                  <w:rFonts w:ascii="DejaVu Math TeX Gyre" w:hAnsi="DejaVu Math TeX Gyre" w:eastAsia="宋体"/>
                  <w:sz w:val="24"/>
                </w:rPr>
              </m:ctrlPr>
            </m:fPr>
            <m:num>
              <m:r>
                <m:rPr/>
                <w:rPr>
                  <w:rFonts w:ascii="Times New Roman" w:hAnsi="Times New Roman" w:eastAsia="宋体"/>
                  <w:sz w:val="24"/>
                </w:rPr>
                <m:t>S</m:t>
              </m:r>
              <m:sSub>
                <m:sSubPr>
                  <m:ctrlPr>
                    <w:rPr>
                      <w:rFonts w:ascii="DejaVu Math TeX Gyre" w:hAnsi="DejaVu Math TeX Gyre" w:eastAsia="宋体"/>
                      <w:sz w:val="24"/>
                    </w:rPr>
                  </m:ctrlPr>
                </m:sSubPr>
                <m:e>
                  <m:r>
                    <m:rPr/>
                    <w:rPr>
                      <w:rFonts w:ascii="Times New Roman" w:hAnsi="Times New Roman" w:eastAsia="宋体"/>
                      <w:sz w:val="24"/>
                    </w:rPr>
                    <m:t>S</m:t>
                  </m:r>
                  <m:ctrlPr>
                    <w:rPr>
                      <w:rFonts w:ascii="DejaVu Math TeX Gyre" w:hAnsi="DejaVu Math TeX Gyre" w:eastAsia="宋体"/>
                      <w:sz w:val="24"/>
                    </w:rPr>
                  </m:ctrlPr>
                </m:e>
                <m:sub>
                  <m:r>
                    <m:rPr/>
                    <w:rPr>
                      <w:rFonts w:ascii="Times New Roman" w:hAnsi="Times New Roman" w:eastAsia="宋体"/>
                      <w:sz w:val="24"/>
                    </w:rPr>
                    <m:t>res</m:t>
                  </m:r>
                  <m:ctrlPr>
                    <w:rPr>
                      <w:rFonts w:ascii="DejaVu Math TeX Gyre" w:hAnsi="DejaVu Math TeX Gyre" w:eastAsia="宋体"/>
                      <w:sz w:val="24"/>
                    </w:rPr>
                  </m:ctrlPr>
                </m:sub>
              </m:sSub>
              <m:ctrlPr>
                <w:rPr>
                  <w:rFonts w:ascii="DejaVu Math TeX Gyre" w:hAnsi="DejaVu Math TeX Gyre" w:eastAsia="宋体"/>
                  <w:sz w:val="24"/>
                </w:rPr>
              </m:ctrlPr>
            </m:num>
            <m:den>
              <m:r>
                <m:rPr/>
                <w:rPr>
                  <w:rFonts w:ascii="Times New Roman" w:hAnsi="Times New Roman" w:eastAsia="宋体"/>
                  <w:sz w:val="24"/>
                </w:rPr>
                <m:t>S</m:t>
              </m:r>
              <m:sSub>
                <m:sSubPr>
                  <m:ctrlPr>
                    <w:rPr>
                      <w:rFonts w:ascii="DejaVu Math TeX Gyre" w:hAnsi="DejaVu Math TeX Gyre" w:eastAsia="宋体"/>
                      <w:sz w:val="24"/>
                    </w:rPr>
                  </m:ctrlPr>
                </m:sSubPr>
                <m:e>
                  <m:r>
                    <m:rPr/>
                    <w:rPr>
                      <w:rFonts w:ascii="Times New Roman" w:hAnsi="Times New Roman" w:eastAsia="宋体"/>
                      <w:sz w:val="24"/>
                    </w:rPr>
                    <m:t>S</m:t>
                  </m:r>
                  <m:ctrlPr>
                    <w:rPr>
                      <w:rFonts w:ascii="DejaVu Math TeX Gyre" w:hAnsi="DejaVu Math TeX Gyre" w:eastAsia="宋体"/>
                      <w:sz w:val="24"/>
                    </w:rPr>
                  </m:ctrlPr>
                </m:e>
                <m:sub>
                  <m:r>
                    <m:rPr/>
                    <w:rPr>
                      <w:rFonts w:ascii="Times New Roman" w:hAnsi="Times New Roman" w:eastAsia="宋体"/>
                      <w:sz w:val="24"/>
                    </w:rPr>
                    <m:t>tot</m:t>
                  </m:r>
                  <m:ctrlPr>
                    <w:rPr>
                      <w:rFonts w:ascii="DejaVu Math TeX Gyre" w:hAnsi="DejaVu Math TeX Gyre" w:eastAsia="宋体"/>
                      <w:sz w:val="24"/>
                    </w:rPr>
                  </m:ctrlPr>
                </m:sub>
              </m:sSub>
              <m:ctrlPr>
                <w:rPr>
                  <w:rFonts w:ascii="DejaVu Math TeX Gyre" w:hAnsi="DejaVu Math TeX Gyre" w:eastAsia="宋体"/>
                  <w:sz w:val="24"/>
                </w:rPr>
              </m:ctrlPr>
            </m:den>
          </m:f>
        </m:oMath>
      </m:oMathPara>
    </w:p>
    <w:p w14:paraId="16CA7CC3">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其中</w:t>
      </w:r>
      <m:oMath>
        <m:r>
          <m:rPr/>
          <w:rPr>
            <w:rFonts w:ascii="Times New Roman" w:hAnsi="Times New Roman" w:eastAsia="宋体"/>
            <w:sz w:val="24"/>
          </w:rPr>
          <m:t>S</m:t>
        </m:r>
        <m:sSub>
          <m:sSubPr>
            <m:ctrlPr>
              <w:rPr>
                <w:rFonts w:ascii="DejaVu Math TeX Gyre" w:hAnsi="DejaVu Math TeX Gyre" w:eastAsia="宋体"/>
                <w:sz w:val="24"/>
              </w:rPr>
            </m:ctrlPr>
          </m:sSubPr>
          <m:e>
            <m:r>
              <m:rPr/>
              <w:rPr>
                <w:rFonts w:ascii="Times New Roman" w:hAnsi="Times New Roman" w:eastAsia="宋体"/>
                <w:sz w:val="24"/>
              </w:rPr>
              <m:t>S</m:t>
            </m:r>
            <m:ctrlPr>
              <w:rPr>
                <w:rFonts w:ascii="DejaVu Math TeX Gyre" w:hAnsi="DejaVu Math TeX Gyre" w:eastAsia="宋体"/>
                <w:sz w:val="24"/>
              </w:rPr>
            </m:ctrlPr>
          </m:e>
          <m:sub>
            <m:r>
              <m:rPr/>
              <w:rPr>
                <w:rFonts w:ascii="Times New Roman" w:hAnsi="Times New Roman" w:eastAsia="宋体"/>
                <w:sz w:val="24"/>
              </w:rPr>
              <m:t>res</m:t>
            </m:r>
            <m:ctrlPr>
              <w:rPr>
                <w:rFonts w:ascii="DejaVu Math TeX Gyre" w:hAnsi="DejaVu Math TeX Gyre" w:eastAsia="宋体"/>
                <w:sz w:val="24"/>
              </w:rPr>
            </m:ctrlPr>
          </m:sub>
        </m:sSub>
      </m:oMath>
      <w:r>
        <w:rPr>
          <w:rFonts w:ascii="Times New Roman" w:hAnsi="Georgia" w:eastAsia="宋体" w:cs="Georgia"/>
          <w:sz w:val="24"/>
        </w:rPr>
        <w:t>为残差平方和</w:t>
      </w:r>
    </w:p>
    <w:p w14:paraId="592C8BEE">
      <w:pPr>
        <w:snapToGrid/>
        <w:spacing w:beforeAutospacing="0" w:after="0" w:afterAutospacing="0" w:line="400" w:lineRule="exact"/>
        <w:ind w:left="0" w:leftChars="0" w:right="0" w:rightChars="0" w:firstLine="480" w:firstLineChars="200"/>
        <w:jc w:val="both"/>
        <w:rPr>
          <w:rFonts w:ascii="Times New Roman" w:eastAsia="宋体"/>
          <w:sz w:val="24"/>
        </w:rPr>
      </w:pPr>
      <m:oMathPara>
        <m:oMath>
          <m:r>
            <m:rPr/>
            <w:rPr>
              <w:rFonts w:ascii="Times New Roman" w:hAnsi="Times New Roman" w:eastAsia="宋体"/>
              <w:sz w:val="24"/>
            </w:rPr>
            <m:t>S</m:t>
          </m:r>
          <m:sSub>
            <m:sSubPr>
              <m:ctrlPr>
                <w:rPr>
                  <w:rFonts w:ascii="DejaVu Math TeX Gyre" w:hAnsi="DejaVu Math TeX Gyre" w:eastAsia="宋体"/>
                  <w:sz w:val="24"/>
                </w:rPr>
              </m:ctrlPr>
            </m:sSubPr>
            <m:e>
              <m:r>
                <m:rPr/>
                <w:rPr>
                  <w:rFonts w:ascii="Times New Roman" w:hAnsi="Times New Roman" w:eastAsia="宋体"/>
                  <w:sz w:val="24"/>
                </w:rPr>
                <m:t>S</m:t>
              </m:r>
              <m:ctrlPr>
                <w:rPr>
                  <w:rFonts w:ascii="DejaVu Math TeX Gyre" w:hAnsi="DejaVu Math TeX Gyre" w:eastAsia="宋体"/>
                  <w:sz w:val="24"/>
                </w:rPr>
              </m:ctrlPr>
            </m:e>
            <m:sub>
              <m:r>
                <m:rPr/>
                <w:rPr>
                  <w:rFonts w:ascii="Times New Roman" w:hAnsi="Times New Roman" w:eastAsia="宋体"/>
                  <w:sz w:val="24"/>
                </w:rPr>
                <m:t>res</m:t>
              </m:r>
              <m:ctrlPr>
                <w:rPr>
                  <w:rFonts w:ascii="DejaVu Math TeX Gyre" w:hAnsi="DejaVu Math TeX Gyre" w:eastAsia="宋体"/>
                  <w:sz w:val="24"/>
                </w:rPr>
              </m:ctrlPr>
            </m:sub>
          </m:sSub>
          <m:r>
            <m:rPr>
              <m:sty m:val="p"/>
            </m:rPr>
            <w:rPr>
              <w:rFonts w:ascii="Times New Roman" w:hAnsi="Times New Roman" w:eastAsia="宋体"/>
              <w:sz w:val="24"/>
            </w:rPr>
            <m:t>=</m:t>
          </m:r>
          <m:nary>
            <m:naryPr>
              <m:chr m:val="∑"/>
              <m:grow m:val="1"/>
              <m:limLoc m:val="undOvr"/>
              <m:ctrlPr>
                <w:rPr>
                  <w:rFonts w:ascii="DejaVu Math TeX Gyre" w:hAnsi="DejaVu Math TeX Gyre" w:eastAsia="宋体"/>
                  <w:sz w:val="24"/>
                </w:rPr>
              </m:ctrlPr>
            </m:naryPr>
            <m:sub>
              <m:r>
                <m:rPr/>
                <w:rPr>
                  <w:rFonts w:ascii="Times New Roman" w:hAnsi="Times New Roman" w:eastAsia="宋体"/>
                  <w:sz w:val="24"/>
                </w:rPr>
                <m:t>i</m:t>
              </m:r>
              <m:r>
                <m:rPr>
                  <m:sty m:val="p"/>
                </m:rPr>
                <w:rPr>
                  <w:rFonts w:ascii="Times New Roman" w:hAnsi="Times New Roman" w:eastAsia="宋体"/>
                  <w:sz w:val="24"/>
                </w:rPr>
                <m:t>=1</m:t>
              </m:r>
              <m:ctrlPr>
                <w:rPr>
                  <w:rFonts w:ascii="DejaVu Math TeX Gyre" w:hAnsi="DejaVu Math TeX Gyre" w:eastAsia="宋体"/>
                  <w:sz w:val="24"/>
                </w:rPr>
              </m:ctrlPr>
            </m:sub>
            <m:sup>
              <m:r>
                <m:rPr/>
                <w:rPr>
                  <w:rFonts w:ascii="Times New Roman" w:hAnsi="Times New Roman" w:eastAsia="宋体"/>
                  <w:sz w:val="24"/>
                </w:rPr>
                <m:t>n</m:t>
              </m:r>
              <m:ctrlPr>
                <w:rPr>
                  <w:rFonts w:ascii="DejaVu Math TeX Gyre" w:hAnsi="DejaVu Math TeX Gyre" w:eastAsia="宋体"/>
                  <w:sz w:val="24"/>
                </w:rPr>
              </m:ctrlPr>
            </m:sup>
            <m:e>
              <m:r>
                <m:rPr>
                  <m:sty m:val="p"/>
                </m:rPr>
                <w:rPr>
                  <w:rFonts w:ascii="Times New Roman" w:hAnsi="Times New Roman" w:eastAsia="宋体"/>
                  <w:sz w:val="24"/>
                </w:rPr>
                <m:t> </m:t>
              </m:r>
              <m:ctrlPr>
                <w:rPr>
                  <w:rFonts w:ascii="DejaVu Math TeX Gyre" w:hAnsi="DejaVu Math TeX Gyre" w:eastAsia="宋体"/>
                  <w:sz w:val="24"/>
                </w:rPr>
              </m:ctrlPr>
            </m:e>
          </m:nary>
          <m:r>
            <m:rPr>
              <m:sty m:val="p"/>
            </m:rPr>
            <w:rPr>
              <w:rFonts w:ascii="Times New Roman" w:hAnsi="Times New Roman" w:eastAsia="宋体"/>
              <w:sz w:val="24"/>
            </w:rPr>
            <m:t>(</m:t>
          </m:r>
          <m:sSub>
            <m:sSubPr>
              <m:ctrlPr>
                <w:rPr>
                  <w:rFonts w:ascii="DejaVu Math TeX Gyre" w:hAnsi="DejaVu Math TeX Gyre" w:eastAsia="宋体"/>
                  <w:sz w:val="24"/>
                </w:rPr>
              </m:ctrlPr>
            </m:sSubPr>
            <m:e>
              <m:r>
                <m:rPr/>
                <w:rPr>
                  <w:rFonts w:ascii="Times New Roman" w:hAnsi="Times New Roman" w:eastAsia="宋体"/>
                  <w:sz w:val="24"/>
                </w:rPr>
                <m:t>y</m:t>
              </m:r>
              <m:ctrlPr>
                <w:rPr>
                  <w:rFonts w:ascii="DejaVu Math TeX Gyre" w:hAnsi="DejaVu Math TeX Gyre" w:eastAsia="宋体"/>
                  <w:sz w:val="24"/>
                </w:rPr>
              </m:ctrlPr>
            </m:e>
            <m:sub>
              <m:r>
                <m:rPr/>
                <w:rPr>
                  <w:rFonts w:ascii="Times New Roman" w:hAnsi="Times New Roman" w:eastAsia="宋体"/>
                  <w:sz w:val="24"/>
                </w:rPr>
                <m:t>i</m:t>
              </m:r>
              <m:ctrlPr>
                <w:rPr>
                  <w:rFonts w:ascii="DejaVu Math TeX Gyre" w:hAnsi="DejaVu Math TeX Gyre" w:eastAsia="宋体"/>
                  <w:sz w:val="24"/>
                </w:rPr>
              </m:ctrlPr>
            </m:sub>
          </m:sSub>
          <m:r>
            <m:rPr>
              <m:sty m:val="p"/>
            </m:rPr>
            <w:rPr>
              <w:rFonts w:ascii="Times New Roman" w:hAnsi="Times New Roman" w:eastAsia="宋体"/>
              <w:sz w:val="24"/>
            </w:rPr>
            <m:t>−</m:t>
          </m:r>
          <m:sSub>
            <m:sSubPr>
              <m:ctrlPr>
                <w:rPr>
                  <w:rFonts w:ascii="DejaVu Math TeX Gyre" w:hAnsi="DejaVu Math TeX Gyre" w:eastAsia="宋体"/>
                  <w:sz w:val="24"/>
                </w:rPr>
              </m:ctrlPr>
            </m:sSubPr>
            <m:e>
              <m:acc>
                <m:accPr>
                  <m:chr m:val="ˆ"/>
                  <m:ctrlPr>
                    <w:rPr>
                      <w:rFonts w:ascii="DejaVu Math TeX Gyre" w:hAnsi="DejaVu Math TeX Gyre" w:eastAsia="宋体"/>
                      <w:sz w:val="24"/>
                    </w:rPr>
                  </m:ctrlPr>
                </m:accPr>
                <m:e>
                  <m:r>
                    <m:rPr/>
                    <w:rPr>
                      <w:rFonts w:ascii="Times New Roman" w:hAnsi="Times New Roman" w:eastAsia="宋体"/>
                      <w:sz w:val="24"/>
                    </w:rPr>
                    <m:t>y</m:t>
                  </m:r>
                  <m:ctrlPr>
                    <w:rPr>
                      <w:rFonts w:ascii="DejaVu Math TeX Gyre" w:hAnsi="DejaVu Math TeX Gyre" w:eastAsia="宋体"/>
                      <w:sz w:val="24"/>
                    </w:rPr>
                  </m:ctrlPr>
                </m:e>
              </m:acc>
              <m:ctrlPr>
                <w:rPr>
                  <w:rFonts w:ascii="DejaVu Math TeX Gyre" w:hAnsi="DejaVu Math TeX Gyre" w:eastAsia="宋体"/>
                  <w:sz w:val="24"/>
                </w:rPr>
              </m:ctrlPr>
            </m:e>
            <m:sub>
              <m:r>
                <m:rPr/>
                <w:rPr>
                  <w:rFonts w:ascii="Times New Roman" w:hAnsi="Times New Roman" w:eastAsia="宋体"/>
                  <w:sz w:val="24"/>
                </w:rPr>
                <m:t>i</m:t>
              </m:r>
              <m:ctrlPr>
                <w:rPr>
                  <w:rFonts w:ascii="DejaVu Math TeX Gyre" w:hAnsi="DejaVu Math TeX Gyre" w:eastAsia="宋体"/>
                  <w:sz w:val="24"/>
                </w:rPr>
              </m:ctrlPr>
            </m:sub>
          </m:sSub>
          <m:sSup>
            <m:sSupPr>
              <m:ctrlPr>
                <w:rPr>
                  <w:rFonts w:ascii="DejaVu Math TeX Gyre" w:hAnsi="DejaVu Math TeX Gyre" w:eastAsia="宋体"/>
                  <w:sz w:val="24"/>
                </w:rPr>
              </m:ctrlPr>
            </m:sSupPr>
            <m:e>
              <m:r>
                <m:rPr>
                  <m:sty m:val="p"/>
                </m:rPr>
                <w:rPr>
                  <w:rFonts w:ascii="Times New Roman" w:hAnsi="Times New Roman" w:eastAsia="宋体"/>
                  <w:sz w:val="24"/>
                </w:rPr>
                <m:t>)</m:t>
              </m:r>
              <m:ctrlPr>
                <w:rPr>
                  <w:rFonts w:ascii="DejaVu Math TeX Gyre" w:hAnsi="DejaVu Math TeX Gyre" w:eastAsia="宋体"/>
                  <w:sz w:val="24"/>
                </w:rPr>
              </m:ctrlPr>
            </m:e>
            <m:sup>
              <m:r>
                <m:rPr>
                  <m:sty m:val="p"/>
                </m:rPr>
                <w:rPr>
                  <w:rFonts w:ascii="Times New Roman" w:hAnsi="Times New Roman" w:eastAsia="宋体"/>
                  <w:sz w:val="24"/>
                </w:rPr>
                <m:t>2</m:t>
              </m:r>
              <m:ctrlPr>
                <w:rPr>
                  <w:rFonts w:ascii="DejaVu Math TeX Gyre" w:hAnsi="DejaVu Math TeX Gyre" w:eastAsia="宋体"/>
                  <w:sz w:val="24"/>
                </w:rPr>
              </m:ctrlPr>
            </m:sup>
          </m:sSup>
        </m:oMath>
      </m:oMathPara>
    </w:p>
    <w:p w14:paraId="5E82BCD6">
      <w:pPr>
        <w:snapToGrid/>
        <w:spacing w:beforeAutospacing="0" w:after="0" w:afterAutospacing="0" w:line="400" w:lineRule="exact"/>
        <w:ind w:left="0" w:leftChars="0" w:right="0" w:rightChars="0" w:firstLine="480" w:firstLineChars="200"/>
        <w:jc w:val="both"/>
        <w:rPr>
          <w:rFonts w:ascii="Times New Roman" w:eastAsia="宋体"/>
          <w:sz w:val="24"/>
        </w:rPr>
      </w:pPr>
      <m:oMath>
        <m:r>
          <m:rPr/>
          <w:rPr>
            <w:rFonts w:ascii="Times New Roman" w:hAnsi="Times New Roman" w:eastAsia="宋体"/>
            <w:sz w:val="24"/>
          </w:rPr>
          <m:t>S</m:t>
        </m:r>
        <m:sSub>
          <m:sSubPr>
            <m:ctrlPr>
              <w:rPr>
                <w:rFonts w:ascii="DejaVu Math TeX Gyre" w:hAnsi="DejaVu Math TeX Gyre" w:eastAsia="宋体"/>
                <w:sz w:val="24"/>
              </w:rPr>
            </m:ctrlPr>
          </m:sSubPr>
          <m:e>
            <m:r>
              <m:rPr/>
              <w:rPr>
                <w:rFonts w:ascii="Times New Roman" w:hAnsi="Times New Roman" w:eastAsia="宋体"/>
                <w:sz w:val="24"/>
              </w:rPr>
              <m:t>S</m:t>
            </m:r>
            <m:ctrlPr>
              <w:rPr>
                <w:rFonts w:ascii="DejaVu Math TeX Gyre" w:hAnsi="DejaVu Math TeX Gyre" w:eastAsia="宋体"/>
                <w:sz w:val="24"/>
              </w:rPr>
            </m:ctrlPr>
          </m:e>
          <m:sub>
            <m:r>
              <m:rPr/>
              <w:rPr>
                <w:rFonts w:ascii="Times New Roman" w:hAnsi="Times New Roman" w:eastAsia="宋体"/>
                <w:sz w:val="24"/>
              </w:rPr>
              <m:t>tot</m:t>
            </m:r>
            <m:ctrlPr>
              <w:rPr>
                <w:rFonts w:ascii="DejaVu Math TeX Gyre" w:hAnsi="DejaVu Math TeX Gyre" w:eastAsia="宋体"/>
                <w:sz w:val="24"/>
              </w:rPr>
            </m:ctrlPr>
          </m:sub>
        </m:sSub>
      </m:oMath>
      <w:r>
        <w:rPr>
          <w:rFonts w:ascii="Times New Roman" w:hAnsi="Georgia" w:eastAsia="宋体" w:cs="Georgia"/>
          <w:sz w:val="24"/>
        </w:rPr>
        <w:t>为总平方和</w:t>
      </w:r>
    </w:p>
    <w:p w14:paraId="7CC0DDEA">
      <w:pPr>
        <w:snapToGrid/>
        <w:spacing w:beforeAutospacing="0" w:after="0" w:afterAutospacing="0" w:line="400" w:lineRule="exact"/>
        <w:ind w:left="0" w:leftChars="0" w:right="0" w:rightChars="0" w:firstLine="480" w:firstLineChars="200"/>
        <w:jc w:val="both"/>
        <w:rPr>
          <w:rFonts w:ascii="Times New Roman" w:eastAsia="宋体"/>
          <w:sz w:val="24"/>
        </w:rPr>
      </w:pPr>
      <m:oMathPara>
        <m:oMath>
          <m:r>
            <m:rPr/>
            <w:rPr>
              <w:rFonts w:ascii="Times New Roman" w:hAnsi="Times New Roman" w:eastAsia="宋体"/>
              <w:sz w:val="24"/>
            </w:rPr>
            <m:t>S</m:t>
          </m:r>
          <m:sSub>
            <m:sSubPr>
              <m:ctrlPr>
                <w:rPr>
                  <w:rFonts w:ascii="DejaVu Math TeX Gyre" w:hAnsi="DejaVu Math TeX Gyre" w:eastAsia="宋体"/>
                  <w:sz w:val="24"/>
                </w:rPr>
              </m:ctrlPr>
            </m:sSubPr>
            <m:e>
              <m:r>
                <m:rPr/>
                <w:rPr>
                  <w:rFonts w:ascii="Times New Roman" w:hAnsi="Times New Roman" w:eastAsia="宋体"/>
                  <w:sz w:val="24"/>
                </w:rPr>
                <m:t>S</m:t>
              </m:r>
              <m:ctrlPr>
                <w:rPr>
                  <w:rFonts w:ascii="DejaVu Math TeX Gyre" w:hAnsi="DejaVu Math TeX Gyre" w:eastAsia="宋体"/>
                  <w:sz w:val="24"/>
                </w:rPr>
              </m:ctrlPr>
            </m:e>
            <m:sub>
              <m:r>
                <m:rPr/>
                <w:rPr>
                  <w:rFonts w:ascii="Times New Roman" w:hAnsi="Times New Roman" w:eastAsia="宋体"/>
                  <w:sz w:val="24"/>
                </w:rPr>
                <m:t>tot</m:t>
              </m:r>
              <m:ctrlPr>
                <w:rPr>
                  <w:rFonts w:ascii="DejaVu Math TeX Gyre" w:hAnsi="DejaVu Math TeX Gyre" w:eastAsia="宋体"/>
                  <w:sz w:val="24"/>
                </w:rPr>
              </m:ctrlPr>
            </m:sub>
          </m:sSub>
          <m:r>
            <m:rPr>
              <m:sty m:val="p"/>
            </m:rPr>
            <w:rPr>
              <w:rFonts w:ascii="Times New Roman" w:hAnsi="Times New Roman" w:eastAsia="宋体"/>
              <w:sz w:val="24"/>
            </w:rPr>
            <m:t>=</m:t>
          </m:r>
          <m:nary>
            <m:naryPr>
              <m:chr m:val="∑"/>
              <m:grow m:val="1"/>
              <m:limLoc m:val="undOvr"/>
              <m:ctrlPr>
                <w:rPr>
                  <w:rFonts w:ascii="DejaVu Math TeX Gyre" w:hAnsi="DejaVu Math TeX Gyre" w:eastAsia="宋体"/>
                  <w:sz w:val="24"/>
                </w:rPr>
              </m:ctrlPr>
            </m:naryPr>
            <m:sub>
              <m:r>
                <m:rPr/>
                <w:rPr>
                  <w:rFonts w:ascii="Times New Roman" w:hAnsi="Times New Roman" w:eastAsia="宋体"/>
                  <w:sz w:val="24"/>
                </w:rPr>
                <m:t>i</m:t>
              </m:r>
              <m:r>
                <m:rPr>
                  <m:sty m:val="p"/>
                </m:rPr>
                <w:rPr>
                  <w:rFonts w:ascii="Times New Roman" w:hAnsi="Times New Roman" w:eastAsia="宋体"/>
                  <w:sz w:val="24"/>
                </w:rPr>
                <m:t>=1</m:t>
              </m:r>
              <m:ctrlPr>
                <w:rPr>
                  <w:rFonts w:ascii="DejaVu Math TeX Gyre" w:hAnsi="DejaVu Math TeX Gyre" w:eastAsia="宋体"/>
                  <w:sz w:val="24"/>
                </w:rPr>
              </m:ctrlPr>
            </m:sub>
            <m:sup>
              <m:r>
                <m:rPr/>
                <w:rPr>
                  <w:rFonts w:ascii="Times New Roman" w:hAnsi="Times New Roman" w:eastAsia="宋体"/>
                  <w:sz w:val="24"/>
                </w:rPr>
                <m:t>n</m:t>
              </m:r>
              <m:ctrlPr>
                <w:rPr>
                  <w:rFonts w:ascii="DejaVu Math TeX Gyre" w:hAnsi="DejaVu Math TeX Gyre" w:eastAsia="宋体"/>
                  <w:sz w:val="24"/>
                </w:rPr>
              </m:ctrlPr>
            </m:sup>
            <m:e>
              <m:r>
                <m:rPr>
                  <m:sty m:val="p"/>
                </m:rPr>
                <w:rPr>
                  <w:rFonts w:ascii="Times New Roman" w:hAnsi="Times New Roman" w:eastAsia="宋体"/>
                  <w:sz w:val="24"/>
                </w:rPr>
                <m:t> </m:t>
              </m:r>
              <m:ctrlPr>
                <w:rPr>
                  <w:rFonts w:ascii="DejaVu Math TeX Gyre" w:hAnsi="DejaVu Math TeX Gyre" w:eastAsia="宋体"/>
                  <w:sz w:val="24"/>
                </w:rPr>
              </m:ctrlPr>
            </m:e>
          </m:nary>
          <m:r>
            <m:rPr>
              <m:sty m:val="p"/>
            </m:rPr>
            <w:rPr>
              <w:rFonts w:ascii="Times New Roman" w:hAnsi="Times New Roman" w:eastAsia="宋体"/>
              <w:sz w:val="24"/>
            </w:rPr>
            <m:t>(</m:t>
          </m:r>
          <m:sSub>
            <m:sSubPr>
              <m:ctrlPr>
                <w:rPr>
                  <w:rFonts w:ascii="DejaVu Math TeX Gyre" w:hAnsi="DejaVu Math TeX Gyre" w:eastAsia="宋体"/>
                  <w:sz w:val="24"/>
                </w:rPr>
              </m:ctrlPr>
            </m:sSubPr>
            <m:e>
              <m:r>
                <m:rPr/>
                <w:rPr>
                  <w:rFonts w:ascii="Times New Roman" w:hAnsi="Times New Roman" w:eastAsia="宋体"/>
                  <w:sz w:val="24"/>
                </w:rPr>
                <m:t>y</m:t>
              </m:r>
              <m:ctrlPr>
                <w:rPr>
                  <w:rFonts w:ascii="DejaVu Math TeX Gyre" w:hAnsi="DejaVu Math TeX Gyre" w:eastAsia="宋体"/>
                  <w:sz w:val="24"/>
                </w:rPr>
              </m:ctrlPr>
            </m:e>
            <m:sub>
              <m:r>
                <m:rPr/>
                <w:rPr>
                  <w:rFonts w:ascii="Times New Roman" w:hAnsi="Times New Roman" w:eastAsia="宋体"/>
                  <w:sz w:val="24"/>
                </w:rPr>
                <m:t>i</m:t>
              </m:r>
              <m:ctrlPr>
                <w:rPr>
                  <w:rFonts w:ascii="DejaVu Math TeX Gyre" w:hAnsi="DejaVu Math TeX Gyre" w:eastAsia="宋体"/>
                  <w:sz w:val="24"/>
                </w:rPr>
              </m:ctrlPr>
            </m:sub>
          </m:sSub>
          <m:r>
            <m:rPr>
              <m:sty m:val="p"/>
            </m:rPr>
            <w:rPr>
              <w:rFonts w:ascii="Times New Roman" w:hAnsi="Times New Roman" w:eastAsia="宋体"/>
              <w:sz w:val="24"/>
            </w:rPr>
            <m:t>−</m:t>
          </m:r>
          <m:acc>
            <m:accPr>
              <m:chr m:val="‾"/>
              <m:ctrlPr>
                <w:rPr>
                  <w:rFonts w:ascii="DejaVu Math TeX Gyre" w:hAnsi="DejaVu Math TeX Gyre" w:eastAsia="宋体"/>
                  <w:sz w:val="24"/>
                </w:rPr>
              </m:ctrlPr>
            </m:accPr>
            <m:e>
              <m:r>
                <m:rPr/>
                <w:rPr>
                  <w:rFonts w:ascii="Times New Roman" w:hAnsi="Times New Roman" w:eastAsia="宋体"/>
                  <w:sz w:val="24"/>
                </w:rPr>
                <m:t>y</m:t>
              </m:r>
              <m:ctrlPr>
                <w:rPr>
                  <w:rFonts w:ascii="DejaVu Math TeX Gyre" w:hAnsi="DejaVu Math TeX Gyre" w:eastAsia="宋体"/>
                  <w:sz w:val="24"/>
                </w:rPr>
              </m:ctrlPr>
            </m:e>
          </m:acc>
          <m:sSup>
            <m:sSupPr>
              <m:ctrlPr>
                <w:rPr>
                  <w:rFonts w:ascii="DejaVu Math TeX Gyre" w:hAnsi="DejaVu Math TeX Gyre" w:eastAsia="宋体"/>
                  <w:sz w:val="24"/>
                </w:rPr>
              </m:ctrlPr>
            </m:sSupPr>
            <m:e>
              <m:r>
                <m:rPr>
                  <m:sty m:val="p"/>
                </m:rPr>
                <w:rPr>
                  <w:rFonts w:ascii="Times New Roman" w:hAnsi="Times New Roman" w:eastAsia="宋体"/>
                  <w:sz w:val="24"/>
                </w:rPr>
                <m:t>)</m:t>
              </m:r>
              <m:ctrlPr>
                <w:rPr>
                  <w:rFonts w:ascii="DejaVu Math TeX Gyre" w:hAnsi="DejaVu Math TeX Gyre" w:eastAsia="宋体"/>
                  <w:sz w:val="24"/>
                </w:rPr>
              </m:ctrlPr>
            </m:e>
            <m:sup>
              <m:r>
                <m:rPr>
                  <m:sty m:val="p"/>
                </m:rPr>
                <w:rPr>
                  <w:rFonts w:ascii="Times New Roman" w:hAnsi="Times New Roman" w:eastAsia="宋体"/>
                  <w:sz w:val="24"/>
                </w:rPr>
                <m:t>2</m:t>
              </m:r>
              <m:ctrlPr>
                <w:rPr>
                  <w:rFonts w:ascii="DejaVu Math TeX Gyre" w:hAnsi="DejaVu Math TeX Gyre" w:eastAsia="宋体"/>
                  <w:sz w:val="24"/>
                </w:rPr>
              </m:ctrlPr>
            </m:sup>
          </m:sSup>
        </m:oMath>
      </m:oMathPara>
    </w:p>
    <w:p w14:paraId="2D077A69">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R²的物理意义是模型解释的方差占总方差的比例，R²=1表示模型完美拟合数据，R²=0表示模型预测效果与均值预测相当，R²&lt;0则表示模型表现比预测均值还差。</w:t>
      </w:r>
    </w:p>
    <w:p w14:paraId="1C7A3A65">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平均绝对误差MAE衡量预测值与真实值之间的平均偏差，计算公式为</w:t>
      </w:r>
    </w:p>
    <w:p w14:paraId="716425E6">
      <w:pPr>
        <w:snapToGrid/>
        <w:spacing w:beforeAutospacing="0" w:after="0" w:afterAutospacing="0" w:line="400" w:lineRule="exact"/>
        <w:ind w:left="0" w:leftChars="0" w:right="0" w:rightChars="0" w:firstLine="480" w:firstLineChars="200"/>
        <w:jc w:val="both"/>
        <w:rPr>
          <w:rFonts w:ascii="Times New Roman" w:eastAsia="宋体"/>
          <w:sz w:val="24"/>
        </w:rPr>
      </w:pPr>
      <m:oMathPara>
        <m:oMath>
          <m:r>
            <m:rPr>
              <m:nor/>
              <m:sty m:val="p"/>
            </m:rPr>
            <w:rPr>
              <w:rFonts w:ascii="Times New Roman" w:hAnsi="Times New Roman" w:eastAsia="宋体"/>
              <w:b w:val="0"/>
              <w:i w:val="0"/>
              <w:sz w:val="24"/>
            </w:rPr>
            <m:t>MAE</m:t>
          </m:r>
          <m:r>
            <m:rPr>
              <m:sty m:val="p"/>
            </m:rPr>
            <w:rPr>
              <w:rFonts w:ascii="Times New Roman" w:hAnsi="Times New Roman" w:eastAsia="宋体"/>
              <w:sz w:val="24"/>
            </w:rPr>
            <m:t>=</m:t>
          </m:r>
          <m:f>
            <m:fPr>
              <m:ctrlPr>
                <w:rPr>
                  <w:rFonts w:ascii="DejaVu Math TeX Gyre" w:hAnsi="DejaVu Math TeX Gyre" w:eastAsia="宋体"/>
                  <w:sz w:val="24"/>
                </w:rPr>
              </m:ctrlPr>
            </m:fPr>
            <m:num>
              <m:r>
                <m:rPr>
                  <m:sty m:val="p"/>
                </m:rPr>
                <w:rPr>
                  <w:rFonts w:ascii="Times New Roman" w:hAnsi="Times New Roman" w:eastAsia="宋体"/>
                  <w:sz w:val="24"/>
                </w:rPr>
                <m:t>1</m:t>
              </m:r>
              <m:ctrlPr>
                <w:rPr>
                  <w:rFonts w:ascii="DejaVu Math TeX Gyre" w:hAnsi="DejaVu Math TeX Gyre" w:eastAsia="宋体"/>
                  <w:sz w:val="24"/>
                </w:rPr>
              </m:ctrlPr>
            </m:num>
            <m:den>
              <m:r>
                <m:rPr/>
                <w:rPr>
                  <w:rFonts w:ascii="Times New Roman" w:hAnsi="Times New Roman" w:eastAsia="宋体"/>
                  <w:sz w:val="24"/>
                </w:rPr>
                <m:t>n</m:t>
              </m:r>
              <m:ctrlPr>
                <w:rPr>
                  <w:rFonts w:ascii="DejaVu Math TeX Gyre" w:hAnsi="DejaVu Math TeX Gyre" w:eastAsia="宋体"/>
                  <w:sz w:val="24"/>
                </w:rPr>
              </m:ctrlPr>
            </m:den>
          </m:f>
          <m:nary>
            <m:naryPr>
              <m:chr m:val="∑"/>
              <m:grow m:val="1"/>
              <m:limLoc m:val="undOvr"/>
              <m:ctrlPr>
                <w:rPr>
                  <w:rFonts w:ascii="DejaVu Math TeX Gyre" w:hAnsi="DejaVu Math TeX Gyre" w:eastAsia="宋体"/>
                  <w:sz w:val="24"/>
                </w:rPr>
              </m:ctrlPr>
            </m:naryPr>
            <m:sub>
              <m:r>
                <m:rPr/>
                <w:rPr>
                  <w:rFonts w:ascii="Times New Roman" w:hAnsi="Times New Roman" w:eastAsia="宋体"/>
                  <w:sz w:val="24"/>
                </w:rPr>
                <m:t>i</m:t>
              </m:r>
              <m:r>
                <m:rPr>
                  <m:sty m:val="p"/>
                </m:rPr>
                <w:rPr>
                  <w:rFonts w:ascii="Times New Roman" w:hAnsi="Times New Roman" w:eastAsia="宋体"/>
                  <w:sz w:val="24"/>
                </w:rPr>
                <m:t>=1</m:t>
              </m:r>
              <m:ctrlPr>
                <w:rPr>
                  <w:rFonts w:ascii="DejaVu Math TeX Gyre" w:hAnsi="DejaVu Math TeX Gyre" w:eastAsia="宋体"/>
                  <w:sz w:val="24"/>
                </w:rPr>
              </m:ctrlPr>
            </m:sub>
            <m:sup>
              <m:r>
                <m:rPr/>
                <w:rPr>
                  <w:rFonts w:ascii="Times New Roman" w:hAnsi="Times New Roman" w:eastAsia="宋体"/>
                  <w:sz w:val="24"/>
                </w:rPr>
                <m:t>n</m:t>
              </m:r>
              <m:ctrlPr>
                <w:rPr>
                  <w:rFonts w:ascii="DejaVu Math TeX Gyre" w:hAnsi="DejaVu Math TeX Gyre" w:eastAsia="宋体"/>
                  <w:sz w:val="24"/>
                </w:rPr>
              </m:ctrlPr>
            </m:sup>
            <m:e>
              <m:r>
                <m:rPr>
                  <m:sty m:val="p"/>
                </m:rPr>
                <w:rPr>
                  <w:rFonts w:ascii="Times New Roman" w:hAnsi="Times New Roman" w:eastAsia="宋体"/>
                  <w:sz w:val="24"/>
                </w:rPr>
                <m:t> </m:t>
              </m:r>
              <m:ctrlPr>
                <w:rPr>
                  <w:rFonts w:ascii="DejaVu Math TeX Gyre" w:hAnsi="DejaVu Math TeX Gyre" w:eastAsia="宋体"/>
                  <w:sz w:val="24"/>
                </w:rPr>
              </m:ctrlPr>
            </m:e>
          </m:nary>
          <m:r>
            <m:rPr>
              <m:sty m:val="p"/>
            </m:rPr>
            <w:rPr>
              <w:rFonts w:ascii="Times New Roman" w:hAnsi="Times New Roman" w:eastAsia="宋体"/>
              <w:sz w:val="24"/>
            </w:rPr>
            <m:t>|</m:t>
          </m:r>
          <m:sSub>
            <m:sSubPr>
              <m:ctrlPr>
                <w:rPr>
                  <w:rFonts w:ascii="DejaVu Math TeX Gyre" w:hAnsi="DejaVu Math TeX Gyre" w:eastAsia="宋体"/>
                  <w:sz w:val="24"/>
                </w:rPr>
              </m:ctrlPr>
            </m:sSubPr>
            <m:e>
              <m:r>
                <m:rPr/>
                <w:rPr>
                  <w:rFonts w:ascii="Times New Roman" w:hAnsi="Times New Roman" w:eastAsia="宋体"/>
                  <w:sz w:val="24"/>
                </w:rPr>
                <m:t>y</m:t>
              </m:r>
              <m:ctrlPr>
                <w:rPr>
                  <w:rFonts w:ascii="DejaVu Math TeX Gyre" w:hAnsi="DejaVu Math TeX Gyre" w:eastAsia="宋体"/>
                  <w:sz w:val="24"/>
                </w:rPr>
              </m:ctrlPr>
            </m:e>
            <m:sub>
              <m:r>
                <m:rPr/>
                <w:rPr>
                  <w:rFonts w:ascii="Times New Roman" w:hAnsi="Times New Roman" w:eastAsia="宋体"/>
                  <w:sz w:val="24"/>
                </w:rPr>
                <m:t>i</m:t>
              </m:r>
              <m:ctrlPr>
                <w:rPr>
                  <w:rFonts w:ascii="DejaVu Math TeX Gyre" w:hAnsi="DejaVu Math TeX Gyre" w:eastAsia="宋体"/>
                  <w:sz w:val="24"/>
                </w:rPr>
              </m:ctrlPr>
            </m:sub>
          </m:sSub>
          <m:r>
            <m:rPr>
              <m:sty m:val="p"/>
            </m:rPr>
            <w:rPr>
              <w:rFonts w:ascii="Times New Roman" w:hAnsi="Times New Roman" w:eastAsia="宋体"/>
              <w:sz w:val="24"/>
            </w:rPr>
            <m:t>−</m:t>
          </m:r>
          <m:sSub>
            <m:sSubPr>
              <m:ctrlPr>
                <w:rPr>
                  <w:rFonts w:ascii="DejaVu Math TeX Gyre" w:hAnsi="DejaVu Math TeX Gyre" w:eastAsia="宋体"/>
                  <w:sz w:val="24"/>
                </w:rPr>
              </m:ctrlPr>
            </m:sSubPr>
            <m:e>
              <m:acc>
                <m:accPr>
                  <m:chr m:val="ˆ"/>
                  <m:ctrlPr>
                    <w:rPr>
                      <w:rFonts w:ascii="DejaVu Math TeX Gyre" w:hAnsi="DejaVu Math TeX Gyre" w:eastAsia="宋体"/>
                      <w:sz w:val="24"/>
                    </w:rPr>
                  </m:ctrlPr>
                </m:accPr>
                <m:e>
                  <m:r>
                    <m:rPr/>
                    <w:rPr>
                      <w:rFonts w:ascii="Times New Roman" w:hAnsi="Times New Roman" w:eastAsia="宋体"/>
                      <w:sz w:val="24"/>
                    </w:rPr>
                    <m:t>y</m:t>
                  </m:r>
                  <m:ctrlPr>
                    <w:rPr>
                      <w:rFonts w:ascii="DejaVu Math TeX Gyre" w:hAnsi="DejaVu Math TeX Gyre" w:eastAsia="宋体"/>
                      <w:sz w:val="24"/>
                    </w:rPr>
                  </m:ctrlPr>
                </m:e>
              </m:acc>
              <m:ctrlPr>
                <w:rPr>
                  <w:rFonts w:ascii="DejaVu Math TeX Gyre" w:hAnsi="DejaVu Math TeX Gyre" w:eastAsia="宋体"/>
                  <w:sz w:val="24"/>
                </w:rPr>
              </m:ctrlPr>
            </m:e>
            <m:sub>
              <m:r>
                <m:rPr/>
                <w:rPr>
                  <w:rFonts w:ascii="Times New Roman" w:hAnsi="Times New Roman" w:eastAsia="宋体"/>
                  <w:sz w:val="24"/>
                </w:rPr>
                <m:t>i</m:t>
              </m:r>
              <m:ctrlPr>
                <w:rPr>
                  <w:rFonts w:ascii="DejaVu Math TeX Gyre" w:hAnsi="DejaVu Math TeX Gyre" w:eastAsia="宋体"/>
                  <w:sz w:val="24"/>
                </w:rPr>
              </m:ctrlPr>
            </m:sub>
          </m:sSub>
          <m:r>
            <m:rPr>
              <m:sty m:val="p"/>
            </m:rPr>
            <w:rPr>
              <w:rFonts w:ascii="Times New Roman" w:hAnsi="Times New Roman" w:eastAsia="宋体"/>
              <w:sz w:val="24"/>
            </w:rPr>
            <m:t>|</m:t>
          </m:r>
        </m:oMath>
      </m:oMathPara>
    </w:p>
    <w:p w14:paraId="41A33853">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其优点是单位与目标变量一致（如mg/L），便于直观理解预测误差的实际大小。</w:t>
      </w:r>
    </w:p>
    <w:p w14:paraId="737170E0">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均方根误差RMSE则对大误差更为敏感，计算公式为</w:t>
      </w:r>
    </w:p>
    <w:p w14:paraId="7CDB56EC">
      <w:pPr>
        <w:snapToGrid/>
        <w:spacing w:beforeAutospacing="0" w:after="0" w:afterAutospacing="0" w:line="400" w:lineRule="exact"/>
        <w:ind w:left="0" w:leftChars="0" w:right="0" w:rightChars="0" w:firstLine="480" w:firstLineChars="200"/>
        <w:jc w:val="both"/>
        <w:rPr>
          <w:rFonts w:ascii="Times New Roman" w:eastAsia="宋体"/>
          <w:sz w:val="24"/>
        </w:rPr>
      </w:pPr>
      <m:oMathPara>
        <m:oMath>
          <m:r>
            <m:rPr>
              <m:nor/>
              <m:sty m:val="p"/>
            </m:rPr>
            <w:rPr>
              <w:rFonts w:ascii="Times New Roman" w:hAnsi="Times New Roman" w:eastAsia="宋体"/>
              <w:b w:val="0"/>
              <w:i w:val="0"/>
              <w:sz w:val="24"/>
            </w:rPr>
            <m:t>RMSE</m:t>
          </m:r>
          <m:r>
            <m:rPr>
              <m:sty m:val="p"/>
            </m:rPr>
            <w:rPr>
              <w:rFonts w:ascii="Times New Roman" w:hAnsi="Times New Roman" w:eastAsia="宋体"/>
              <w:sz w:val="24"/>
            </w:rPr>
            <m:t>=</m:t>
          </m:r>
          <m:rad>
            <m:radPr>
              <m:degHide m:val="1"/>
              <m:ctrlPr>
                <w:rPr>
                  <w:rFonts w:ascii="DejaVu Math TeX Gyre" w:hAnsi="DejaVu Math TeX Gyre" w:eastAsia="宋体"/>
                  <w:sz w:val="24"/>
                </w:rPr>
              </m:ctrlPr>
            </m:radPr>
            <m:deg>
              <m:ctrlPr>
                <w:rPr>
                  <w:rFonts w:ascii="DejaVu Math TeX Gyre" w:hAnsi="DejaVu Math TeX Gyre" w:eastAsia="宋体"/>
                  <w:sz w:val="24"/>
                </w:rPr>
              </m:ctrlPr>
            </m:deg>
            <m:e>
              <m:f>
                <m:fPr>
                  <m:ctrlPr>
                    <w:rPr>
                      <w:rFonts w:ascii="DejaVu Math TeX Gyre" w:hAnsi="DejaVu Math TeX Gyre" w:eastAsia="宋体"/>
                      <w:sz w:val="24"/>
                    </w:rPr>
                  </m:ctrlPr>
                </m:fPr>
                <m:num>
                  <m:r>
                    <m:rPr>
                      <m:sty m:val="p"/>
                    </m:rPr>
                    <w:rPr>
                      <w:rFonts w:ascii="Times New Roman" w:hAnsi="Times New Roman" w:eastAsia="宋体"/>
                      <w:sz w:val="24"/>
                    </w:rPr>
                    <m:t>1</m:t>
                  </m:r>
                  <m:ctrlPr>
                    <w:rPr>
                      <w:rFonts w:ascii="DejaVu Math TeX Gyre" w:hAnsi="DejaVu Math TeX Gyre" w:eastAsia="宋体"/>
                      <w:sz w:val="24"/>
                    </w:rPr>
                  </m:ctrlPr>
                </m:num>
                <m:den>
                  <m:r>
                    <m:rPr/>
                    <w:rPr>
                      <w:rFonts w:ascii="Times New Roman" w:hAnsi="Times New Roman" w:eastAsia="宋体"/>
                      <w:sz w:val="24"/>
                    </w:rPr>
                    <m:t>n</m:t>
                  </m:r>
                  <m:ctrlPr>
                    <w:rPr>
                      <w:rFonts w:ascii="DejaVu Math TeX Gyre" w:hAnsi="DejaVu Math TeX Gyre" w:eastAsia="宋体"/>
                      <w:sz w:val="24"/>
                    </w:rPr>
                  </m:ctrlPr>
                </m:den>
              </m:f>
              <m:nary>
                <m:naryPr>
                  <m:chr m:val="∑"/>
                  <m:grow m:val="1"/>
                  <m:limLoc m:val="undOvr"/>
                  <m:ctrlPr>
                    <w:rPr>
                      <w:rFonts w:ascii="DejaVu Math TeX Gyre" w:hAnsi="DejaVu Math TeX Gyre" w:eastAsia="宋体"/>
                      <w:sz w:val="24"/>
                    </w:rPr>
                  </m:ctrlPr>
                </m:naryPr>
                <m:sub>
                  <m:r>
                    <m:rPr/>
                    <w:rPr>
                      <w:rFonts w:ascii="Times New Roman" w:hAnsi="Times New Roman" w:eastAsia="宋体"/>
                      <w:sz w:val="24"/>
                    </w:rPr>
                    <m:t>i</m:t>
                  </m:r>
                  <m:r>
                    <m:rPr>
                      <m:sty m:val="p"/>
                    </m:rPr>
                    <w:rPr>
                      <w:rFonts w:ascii="Times New Roman" w:hAnsi="Times New Roman" w:eastAsia="宋体"/>
                      <w:sz w:val="24"/>
                    </w:rPr>
                    <m:t>=1</m:t>
                  </m:r>
                  <m:ctrlPr>
                    <w:rPr>
                      <w:rFonts w:ascii="DejaVu Math TeX Gyre" w:hAnsi="DejaVu Math TeX Gyre" w:eastAsia="宋体"/>
                      <w:sz w:val="24"/>
                    </w:rPr>
                  </m:ctrlPr>
                </m:sub>
                <m:sup>
                  <m:r>
                    <m:rPr/>
                    <w:rPr>
                      <w:rFonts w:ascii="Times New Roman" w:hAnsi="Times New Roman" w:eastAsia="宋体"/>
                      <w:sz w:val="24"/>
                    </w:rPr>
                    <m:t>n</m:t>
                  </m:r>
                  <m:ctrlPr>
                    <w:rPr>
                      <w:rFonts w:ascii="DejaVu Math TeX Gyre" w:hAnsi="DejaVu Math TeX Gyre" w:eastAsia="宋体"/>
                      <w:sz w:val="24"/>
                    </w:rPr>
                  </m:ctrlPr>
                </m:sup>
                <m:e>
                  <m:r>
                    <m:rPr>
                      <m:sty m:val="p"/>
                    </m:rPr>
                    <w:rPr>
                      <w:rFonts w:ascii="Times New Roman" w:hAnsi="Times New Roman" w:eastAsia="宋体"/>
                      <w:sz w:val="24"/>
                    </w:rPr>
                    <m:t> </m:t>
                  </m:r>
                  <m:ctrlPr>
                    <w:rPr>
                      <w:rFonts w:ascii="DejaVu Math TeX Gyre" w:hAnsi="DejaVu Math TeX Gyre" w:eastAsia="宋体"/>
                      <w:sz w:val="24"/>
                    </w:rPr>
                  </m:ctrlPr>
                </m:e>
              </m:nary>
              <m:r>
                <m:rPr>
                  <m:sty m:val="p"/>
                </m:rPr>
                <w:rPr>
                  <w:rFonts w:ascii="Times New Roman" w:hAnsi="Times New Roman" w:eastAsia="宋体"/>
                  <w:sz w:val="24"/>
                </w:rPr>
                <m:t> (</m:t>
              </m:r>
              <m:sSub>
                <m:sSubPr>
                  <m:ctrlPr>
                    <w:rPr>
                      <w:rFonts w:ascii="DejaVu Math TeX Gyre" w:hAnsi="DejaVu Math TeX Gyre" w:eastAsia="宋体"/>
                      <w:sz w:val="24"/>
                    </w:rPr>
                  </m:ctrlPr>
                </m:sSubPr>
                <m:e>
                  <m:r>
                    <m:rPr/>
                    <w:rPr>
                      <w:rFonts w:ascii="Times New Roman" w:hAnsi="Times New Roman" w:eastAsia="宋体"/>
                      <w:sz w:val="24"/>
                    </w:rPr>
                    <m:t>y</m:t>
                  </m:r>
                  <m:ctrlPr>
                    <w:rPr>
                      <w:rFonts w:ascii="DejaVu Math TeX Gyre" w:hAnsi="DejaVu Math TeX Gyre" w:eastAsia="宋体"/>
                      <w:sz w:val="24"/>
                    </w:rPr>
                  </m:ctrlPr>
                </m:e>
                <m:sub>
                  <m:r>
                    <m:rPr/>
                    <w:rPr>
                      <w:rFonts w:ascii="Times New Roman" w:hAnsi="Times New Roman" w:eastAsia="宋体"/>
                      <w:sz w:val="24"/>
                    </w:rPr>
                    <m:t>i</m:t>
                  </m:r>
                  <m:ctrlPr>
                    <w:rPr>
                      <w:rFonts w:ascii="DejaVu Math TeX Gyre" w:hAnsi="DejaVu Math TeX Gyre" w:eastAsia="宋体"/>
                      <w:sz w:val="24"/>
                    </w:rPr>
                  </m:ctrlPr>
                </m:sub>
              </m:sSub>
              <m:r>
                <m:rPr>
                  <m:sty m:val="p"/>
                </m:rPr>
                <w:rPr>
                  <w:rFonts w:ascii="Times New Roman" w:hAnsi="Times New Roman" w:eastAsia="宋体"/>
                  <w:sz w:val="24"/>
                </w:rPr>
                <m:t>−</m:t>
              </m:r>
              <m:sSub>
                <m:sSubPr>
                  <m:ctrlPr>
                    <w:rPr>
                      <w:rFonts w:ascii="DejaVu Math TeX Gyre" w:hAnsi="DejaVu Math TeX Gyre" w:eastAsia="宋体"/>
                      <w:sz w:val="24"/>
                    </w:rPr>
                  </m:ctrlPr>
                </m:sSubPr>
                <m:e>
                  <m:acc>
                    <m:accPr>
                      <m:chr m:val="ˆ"/>
                      <m:ctrlPr>
                        <w:rPr>
                          <w:rFonts w:ascii="DejaVu Math TeX Gyre" w:hAnsi="DejaVu Math TeX Gyre" w:eastAsia="宋体"/>
                          <w:sz w:val="24"/>
                        </w:rPr>
                      </m:ctrlPr>
                    </m:accPr>
                    <m:e>
                      <m:r>
                        <m:rPr/>
                        <w:rPr>
                          <w:rFonts w:ascii="Times New Roman" w:hAnsi="Times New Roman" w:eastAsia="宋体"/>
                          <w:sz w:val="24"/>
                        </w:rPr>
                        <m:t>y</m:t>
                      </m:r>
                      <m:ctrlPr>
                        <w:rPr>
                          <w:rFonts w:ascii="DejaVu Math TeX Gyre" w:hAnsi="DejaVu Math TeX Gyre" w:eastAsia="宋体"/>
                          <w:sz w:val="24"/>
                        </w:rPr>
                      </m:ctrlPr>
                    </m:e>
                  </m:acc>
                  <m:ctrlPr>
                    <w:rPr>
                      <w:rFonts w:ascii="DejaVu Math TeX Gyre" w:hAnsi="DejaVu Math TeX Gyre" w:eastAsia="宋体"/>
                      <w:sz w:val="24"/>
                    </w:rPr>
                  </m:ctrlPr>
                </m:e>
                <m:sub>
                  <m:r>
                    <m:rPr/>
                    <w:rPr>
                      <w:rFonts w:ascii="Times New Roman" w:hAnsi="Times New Roman" w:eastAsia="宋体"/>
                      <w:sz w:val="24"/>
                    </w:rPr>
                    <m:t>i</m:t>
                  </m:r>
                  <m:ctrlPr>
                    <w:rPr>
                      <w:rFonts w:ascii="DejaVu Math TeX Gyre" w:hAnsi="DejaVu Math TeX Gyre" w:eastAsia="宋体"/>
                      <w:sz w:val="24"/>
                    </w:rPr>
                  </m:ctrlPr>
                </m:sub>
              </m:sSub>
              <m:sSup>
                <m:sSupPr>
                  <m:ctrlPr>
                    <w:rPr>
                      <w:rFonts w:ascii="DejaVu Math TeX Gyre" w:hAnsi="DejaVu Math TeX Gyre" w:eastAsia="宋体"/>
                      <w:sz w:val="24"/>
                    </w:rPr>
                  </m:ctrlPr>
                </m:sSupPr>
                <m:e>
                  <m:r>
                    <m:rPr>
                      <m:sty m:val="p"/>
                    </m:rPr>
                    <w:rPr>
                      <w:rFonts w:ascii="Times New Roman" w:hAnsi="Times New Roman" w:eastAsia="宋体"/>
                      <w:sz w:val="24"/>
                    </w:rPr>
                    <m:t>)</m:t>
                  </m:r>
                  <m:ctrlPr>
                    <w:rPr>
                      <w:rFonts w:ascii="DejaVu Math TeX Gyre" w:hAnsi="DejaVu Math TeX Gyre" w:eastAsia="宋体"/>
                      <w:sz w:val="24"/>
                    </w:rPr>
                  </m:ctrlPr>
                </m:e>
                <m:sup>
                  <m:r>
                    <m:rPr>
                      <m:sty m:val="p"/>
                    </m:rPr>
                    <w:rPr>
                      <w:rFonts w:ascii="Times New Roman" w:hAnsi="Times New Roman" w:eastAsia="宋体"/>
                      <w:sz w:val="24"/>
                    </w:rPr>
                    <m:t>2</m:t>
                  </m:r>
                  <m:ctrlPr>
                    <w:rPr>
                      <w:rFonts w:ascii="DejaVu Math TeX Gyre" w:hAnsi="DejaVu Math TeX Gyre" w:eastAsia="宋体"/>
                      <w:sz w:val="24"/>
                    </w:rPr>
                  </m:ctrlPr>
                </m:sup>
              </m:sSup>
              <m:ctrlPr>
                <w:rPr>
                  <w:rFonts w:ascii="DejaVu Math TeX Gyre" w:hAnsi="DejaVu Math TeX Gyre" w:eastAsia="宋体"/>
                  <w:sz w:val="24"/>
                </w:rPr>
              </m:ctrlPr>
            </m:e>
          </m:rad>
        </m:oMath>
      </m:oMathPara>
    </w:p>
    <w:p w14:paraId="4168A11A">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因为平方运算放大了离群误差的影响，适合用于评估模型在极端情况下的表现。</w:t>
      </w:r>
    </w:p>
    <w:p w14:paraId="125014CC">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表10总结了回归任务中使用的评估指标及其定义。</w:t>
      </w:r>
    </w:p>
    <w:p w14:paraId="73CFCE13">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表10 回归评估指标定义表</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689"/>
        <w:gridCol w:w="2209"/>
        <w:gridCol w:w="991"/>
        <w:gridCol w:w="803"/>
        <w:gridCol w:w="1463"/>
        <w:gridCol w:w="1815"/>
      </w:tblGrid>
      <w:tr w14:paraId="2F4E226A">
        <w:trPr>
          <w:cantSplit/>
          <w:tblCellSpacing w:w="0" w:type="dxa"/>
          <w:jc w:val="center"/>
        </w:trPr>
        <w:tc>
          <w:tcPr>
            <w:tcBorders>
              <w:top w:val="single" w:color="000000" w:sz="0" w:space="0"/>
              <w:bottom w:val="single" w:color="000000" w:sz="0" w:space="0"/>
            </w:tcBorders>
          </w:tcPr>
          <w:p w14:paraId="2776B498">
            <w:pPr>
              <w:spacing w:after="0" w:line="240" w:lineRule="auto"/>
            </w:pPr>
            <w:r>
              <w:rPr>
                <w:rFonts w:ascii="Georgia" w:hAnsi="Georgia" w:eastAsia="Georgia" w:cs="Georgia"/>
              </w:rPr>
              <w:t>指标名称</w:t>
            </w:r>
          </w:p>
        </w:tc>
        <w:tc>
          <w:tcPr>
            <w:tcBorders>
              <w:top w:val="single" w:color="000000" w:sz="0" w:space="0"/>
              <w:left w:val="single" w:color="000000" w:sz="0" w:space="0"/>
              <w:bottom w:val="single" w:color="000000" w:sz="0" w:space="0"/>
            </w:tcBorders>
          </w:tcPr>
          <w:p w14:paraId="1829AAB4">
            <w:pPr>
              <w:spacing w:after="0" w:line="240" w:lineRule="auto"/>
            </w:pPr>
            <w:r>
              <w:rPr>
                <w:rFonts w:ascii="Georgia" w:hAnsi="Georgia" w:eastAsia="Georgia" w:cs="Georgia"/>
              </w:rPr>
              <w:t>计算公式</w:t>
            </w:r>
          </w:p>
        </w:tc>
        <w:tc>
          <w:tcPr>
            <w:tcBorders>
              <w:top w:val="single" w:color="000000" w:sz="0" w:space="0"/>
              <w:left w:val="single" w:color="000000" w:sz="0" w:space="0"/>
              <w:bottom w:val="single" w:color="000000" w:sz="0" w:space="0"/>
            </w:tcBorders>
          </w:tcPr>
          <w:p w14:paraId="3886F968">
            <w:pPr>
              <w:spacing w:after="0" w:line="240" w:lineRule="auto"/>
            </w:pPr>
            <w:r>
              <w:rPr>
                <w:rFonts w:ascii="Georgia" w:hAnsi="Georgia" w:eastAsia="Georgia" w:cs="Georgia"/>
              </w:rPr>
              <w:t>取值范围</w:t>
            </w:r>
          </w:p>
        </w:tc>
        <w:tc>
          <w:tcPr>
            <w:tcBorders>
              <w:top w:val="single" w:color="000000" w:sz="0" w:space="0"/>
              <w:left w:val="single" w:color="000000" w:sz="0" w:space="0"/>
              <w:bottom w:val="single" w:color="000000" w:sz="0" w:space="0"/>
            </w:tcBorders>
          </w:tcPr>
          <w:p w14:paraId="6716B1B2">
            <w:pPr>
              <w:spacing w:after="0" w:line="240" w:lineRule="auto"/>
            </w:pPr>
            <w:r>
              <w:rPr>
                <w:rFonts w:ascii="Georgia" w:hAnsi="Georgia" w:eastAsia="Georgia" w:cs="Georgia"/>
              </w:rPr>
              <w:t>最优值</w:t>
            </w:r>
          </w:p>
        </w:tc>
        <w:tc>
          <w:tcPr>
            <w:tcBorders>
              <w:top w:val="single" w:color="000000" w:sz="0" w:space="0"/>
              <w:left w:val="single" w:color="000000" w:sz="0" w:space="0"/>
              <w:bottom w:val="single" w:color="000000" w:sz="0" w:space="0"/>
            </w:tcBorders>
          </w:tcPr>
          <w:p w14:paraId="0F87BB05">
            <w:pPr>
              <w:spacing w:after="0" w:line="240" w:lineRule="auto"/>
            </w:pPr>
            <w:r>
              <w:rPr>
                <w:rFonts w:ascii="Georgia" w:hAnsi="Georgia" w:eastAsia="Georgia" w:cs="Georgia"/>
              </w:rPr>
              <w:t>敏感特性</w:t>
            </w:r>
          </w:p>
        </w:tc>
        <w:tc>
          <w:tcPr>
            <w:tcBorders>
              <w:top w:val="single" w:color="000000" w:sz="0" w:space="0"/>
              <w:left w:val="single" w:color="000000" w:sz="0" w:space="0"/>
              <w:bottom w:val="single" w:color="000000" w:sz="0" w:space="0"/>
            </w:tcBorders>
          </w:tcPr>
          <w:p w14:paraId="3BE7FABB">
            <w:pPr>
              <w:spacing w:after="0" w:line="240" w:lineRule="auto"/>
            </w:pPr>
            <w:r>
              <w:rPr>
                <w:rFonts w:ascii="Georgia" w:hAnsi="Georgia" w:eastAsia="Georgia" w:cs="Georgia"/>
              </w:rPr>
              <w:t>物理意义</w:t>
            </w:r>
          </w:p>
        </w:tc>
      </w:tr>
      <w:tr w14:paraId="7CC143AA">
        <w:trPr>
          <w:cantSplit/>
          <w:tblCellSpacing w:w="0" w:type="dxa"/>
          <w:jc w:val="center"/>
        </w:trPr>
        <w:tc>
          <w:tcPr>
            <w:tcBorders>
              <w:top w:val="single" w:color="000000" w:sz="0" w:space="0"/>
              <w:bottom w:val="single" w:color="000000" w:sz="0" w:space="0"/>
            </w:tcBorders>
          </w:tcPr>
          <w:p w14:paraId="699EFE73">
            <w:pPr>
              <w:spacing w:after="0" w:line="240" w:lineRule="auto"/>
            </w:pPr>
            <w:r>
              <w:rPr>
                <w:rFonts w:ascii="Georgia" w:hAnsi="Georgia" w:eastAsia="Georgia" w:cs="Georgia"/>
              </w:rPr>
              <w:t>R² (决定系数)</w:t>
            </w:r>
          </w:p>
        </w:tc>
        <w:tc>
          <w:tcPr>
            <w:tcBorders>
              <w:top w:val="single" w:color="000000" w:sz="0" w:space="0"/>
              <w:left w:val="single" w:color="000000" w:sz="0" w:space="0"/>
              <w:bottom w:val="single" w:color="000000" w:sz="0" w:space="0"/>
            </w:tcBorders>
          </w:tcPr>
          <w:p w14:paraId="52D78DE1">
            <w:pPr>
              <w:spacing w:after="0" w:line="240" w:lineRule="auto"/>
            </w:pPr>
            <w:r>
              <w:rPr>
                <w:rFonts w:ascii="Georgia" w:hAnsi="Georgia" w:eastAsia="Georgia" w:cs="Georgia"/>
              </w:rPr>
              <w:t>1 − SS_res/SS_tot</w:t>
            </w:r>
          </w:p>
        </w:tc>
        <w:tc>
          <w:tcPr>
            <w:tcBorders>
              <w:top w:val="single" w:color="000000" w:sz="0" w:space="0"/>
              <w:left w:val="single" w:color="000000" w:sz="0" w:space="0"/>
              <w:bottom w:val="single" w:color="000000" w:sz="0" w:space="0"/>
            </w:tcBorders>
          </w:tcPr>
          <w:p w14:paraId="40681F76">
            <w:pPr>
              <w:spacing w:after="0" w:line="240" w:lineRule="auto"/>
            </w:pPr>
            <w:r>
              <w:rPr>
                <w:rFonts w:ascii="Georgia" w:hAnsi="Georgia" w:eastAsia="Georgia" w:cs="Georgia"/>
              </w:rPr>
              <w:t>(−∞, 1]</w:t>
            </w:r>
          </w:p>
        </w:tc>
        <w:tc>
          <w:tcPr>
            <w:tcBorders>
              <w:top w:val="single" w:color="000000" w:sz="0" w:space="0"/>
              <w:left w:val="single" w:color="000000" w:sz="0" w:space="0"/>
              <w:bottom w:val="single" w:color="000000" w:sz="0" w:space="0"/>
            </w:tcBorders>
          </w:tcPr>
          <w:p w14:paraId="744089E1">
            <w:pPr>
              <w:spacing w:after="0" w:line="240" w:lineRule="auto"/>
            </w:pPr>
            <w:r>
              <w:t>1.0</w:t>
            </w:r>
          </w:p>
        </w:tc>
        <w:tc>
          <w:tcPr>
            <w:tcBorders>
              <w:top w:val="single" w:color="000000" w:sz="0" w:space="0"/>
              <w:left w:val="single" w:color="000000" w:sz="0" w:space="0"/>
              <w:bottom w:val="single" w:color="000000" w:sz="0" w:space="0"/>
            </w:tcBorders>
          </w:tcPr>
          <w:p w14:paraId="47F3CB4E">
            <w:pPr>
              <w:spacing w:after="0" w:line="240" w:lineRule="auto"/>
            </w:pPr>
            <w:r>
              <w:rPr>
                <w:rFonts w:ascii="Georgia" w:hAnsi="Georgia" w:eastAsia="Georgia" w:cs="Georgia"/>
              </w:rPr>
              <w:t>对模型整体偏差敏感</w:t>
            </w:r>
          </w:p>
        </w:tc>
        <w:tc>
          <w:tcPr>
            <w:tcBorders>
              <w:top w:val="single" w:color="000000" w:sz="0" w:space="0"/>
              <w:left w:val="single" w:color="000000" w:sz="0" w:space="0"/>
              <w:bottom w:val="single" w:color="000000" w:sz="0" w:space="0"/>
            </w:tcBorders>
          </w:tcPr>
          <w:p w14:paraId="599A106A">
            <w:pPr>
              <w:spacing w:after="0" w:line="240" w:lineRule="auto"/>
            </w:pPr>
            <w:r>
              <w:rPr>
                <w:rFonts w:ascii="Georgia" w:hAnsi="Georgia" w:eastAsia="Georgia" w:cs="Georgia"/>
              </w:rPr>
              <w:t>解释方差比例</w:t>
            </w:r>
          </w:p>
        </w:tc>
      </w:tr>
      <w:tr w14:paraId="2FDF4244">
        <w:trPr>
          <w:cantSplit/>
          <w:tblCellSpacing w:w="0" w:type="dxa"/>
          <w:jc w:val="center"/>
        </w:trPr>
        <w:tc>
          <w:tcPr>
            <w:tcBorders>
              <w:top w:val="single" w:color="000000" w:sz="0" w:space="0"/>
              <w:bottom w:val="single" w:color="000000" w:sz="0" w:space="0"/>
            </w:tcBorders>
          </w:tcPr>
          <w:p w14:paraId="17F20FBF">
            <w:pPr>
              <w:spacing w:after="0" w:line="240" w:lineRule="auto"/>
            </w:pPr>
            <w:r>
              <w:rPr>
                <w:rFonts w:ascii="Georgia" w:hAnsi="Georgia" w:eastAsia="Georgia" w:cs="Georgia"/>
              </w:rPr>
              <w:t>MAE (平均绝对误差)</w:t>
            </w:r>
          </w:p>
        </w:tc>
        <w:tc>
          <w:tcPr>
            <w:tcBorders>
              <w:top w:val="single" w:color="000000" w:sz="0" w:space="0"/>
              <w:left w:val="single" w:color="000000" w:sz="0" w:space="0"/>
              <w:bottom w:val="single" w:color="000000" w:sz="0" w:space="0"/>
            </w:tcBorders>
          </w:tcPr>
          <w:p w14:paraId="3172A6B0">
            <w:pPr>
              <w:spacing w:after="0" w:line="240" w:lineRule="auto"/>
            </w:pPr>
            <w:r>
              <w:rPr>
                <w:rFonts w:ascii="Georgia" w:hAnsi="Georgia" w:eastAsia="Georgia" w:cs="Georgia"/>
              </w:rPr>
              <w:t>mean(|y−ŷ|)</w:t>
            </w:r>
          </w:p>
        </w:tc>
        <w:tc>
          <w:tcPr>
            <w:tcBorders>
              <w:top w:val="single" w:color="000000" w:sz="0" w:space="0"/>
              <w:left w:val="single" w:color="000000" w:sz="0" w:space="0"/>
              <w:bottom w:val="single" w:color="000000" w:sz="0" w:space="0"/>
            </w:tcBorders>
          </w:tcPr>
          <w:p w14:paraId="59F60ABC">
            <w:pPr>
              <w:spacing w:after="0" w:line="240" w:lineRule="auto"/>
            </w:pPr>
            <w:r>
              <w:rPr>
                <w:rFonts w:ascii="Georgia" w:hAnsi="Georgia" w:eastAsia="Georgia" w:cs="Georgia"/>
              </w:rPr>
              <w:t>[0, +∞)</w:t>
            </w:r>
          </w:p>
        </w:tc>
        <w:tc>
          <w:tcPr>
            <w:tcBorders>
              <w:top w:val="single" w:color="000000" w:sz="0" w:space="0"/>
              <w:left w:val="single" w:color="000000" w:sz="0" w:space="0"/>
              <w:bottom w:val="single" w:color="000000" w:sz="0" w:space="0"/>
            </w:tcBorders>
          </w:tcPr>
          <w:p w14:paraId="25CBA4BD">
            <w:pPr>
              <w:spacing w:after="0" w:line="240" w:lineRule="auto"/>
            </w:pPr>
            <w:r>
              <w:t>0</w:t>
            </w:r>
          </w:p>
        </w:tc>
        <w:tc>
          <w:tcPr>
            <w:tcBorders>
              <w:top w:val="single" w:color="000000" w:sz="0" w:space="0"/>
              <w:left w:val="single" w:color="000000" w:sz="0" w:space="0"/>
              <w:bottom w:val="single" w:color="000000" w:sz="0" w:space="0"/>
            </w:tcBorders>
          </w:tcPr>
          <w:p w14:paraId="5C0AB259">
            <w:pPr>
              <w:spacing w:after="0" w:line="240" w:lineRule="auto"/>
            </w:pPr>
            <w:r>
              <w:rPr>
                <w:rFonts w:ascii="Georgia" w:hAnsi="Georgia" w:eastAsia="Georgia" w:cs="Georgia"/>
              </w:rPr>
              <w:t>对所有误差同等权重</w:t>
            </w:r>
          </w:p>
        </w:tc>
        <w:tc>
          <w:tcPr>
            <w:tcBorders>
              <w:top w:val="single" w:color="000000" w:sz="0" w:space="0"/>
              <w:left w:val="single" w:color="000000" w:sz="0" w:space="0"/>
              <w:bottom w:val="single" w:color="000000" w:sz="0" w:space="0"/>
            </w:tcBorders>
          </w:tcPr>
          <w:p w14:paraId="70FEF2BE">
            <w:pPr>
              <w:spacing w:after="0" w:line="240" w:lineRule="auto"/>
            </w:pPr>
            <w:r>
              <w:rPr>
                <w:rFonts w:ascii="Georgia" w:hAnsi="Georgia" w:eastAsia="Georgia" w:cs="Georgia"/>
              </w:rPr>
              <w:t>平均偏差(与y同单位)</w:t>
            </w:r>
          </w:p>
        </w:tc>
      </w:tr>
      <w:tr w14:paraId="3ACC36A1">
        <w:trPr>
          <w:cantSplit/>
          <w:tblCellSpacing w:w="0" w:type="dxa"/>
          <w:jc w:val="center"/>
        </w:trPr>
        <w:tc>
          <w:tcPr>
            <w:tcBorders>
              <w:top w:val="single" w:color="000000" w:sz="0" w:space="0"/>
              <w:bottom w:val="single" w:color="000000" w:sz="0" w:space="0"/>
            </w:tcBorders>
          </w:tcPr>
          <w:p w14:paraId="60D82DCF">
            <w:pPr>
              <w:spacing w:after="0" w:line="240" w:lineRule="auto"/>
            </w:pPr>
            <w:r>
              <w:rPr>
                <w:rFonts w:ascii="Georgia" w:hAnsi="Georgia" w:eastAsia="Georgia" w:cs="Georgia"/>
              </w:rPr>
              <w:t>RMSE (均方根误差)</w:t>
            </w:r>
          </w:p>
        </w:tc>
        <w:tc>
          <w:tcPr>
            <w:tcBorders>
              <w:top w:val="single" w:color="000000" w:sz="0" w:space="0"/>
              <w:left w:val="single" w:color="000000" w:sz="0" w:space="0"/>
              <w:bottom w:val="single" w:color="000000" w:sz="0" w:space="0"/>
            </w:tcBorders>
          </w:tcPr>
          <w:p w14:paraId="48D4CF13">
            <w:pPr>
              <w:spacing w:after="0" w:line="240" w:lineRule="auto"/>
            </w:pPr>
            <w:r>
              <w:rPr>
                <w:rFonts w:ascii="Georgia" w:hAnsi="Georgia" w:eastAsia="Georgia" w:cs="Georgia"/>
              </w:rPr>
              <w:t>sqrt(mean((y−ŷ)²))</w:t>
            </w:r>
          </w:p>
        </w:tc>
        <w:tc>
          <w:tcPr>
            <w:tcBorders>
              <w:top w:val="single" w:color="000000" w:sz="0" w:space="0"/>
              <w:left w:val="single" w:color="000000" w:sz="0" w:space="0"/>
              <w:bottom w:val="single" w:color="000000" w:sz="0" w:space="0"/>
            </w:tcBorders>
          </w:tcPr>
          <w:p w14:paraId="78054B13">
            <w:pPr>
              <w:spacing w:after="0" w:line="240" w:lineRule="auto"/>
            </w:pPr>
            <w:r>
              <w:rPr>
                <w:rFonts w:ascii="Georgia" w:hAnsi="Georgia" w:eastAsia="Georgia" w:cs="Georgia"/>
              </w:rPr>
              <w:t>[0, +∞)</w:t>
            </w:r>
          </w:p>
        </w:tc>
        <w:tc>
          <w:tcPr>
            <w:tcBorders>
              <w:top w:val="single" w:color="000000" w:sz="0" w:space="0"/>
              <w:left w:val="single" w:color="000000" w:sz="0" w:space="0"/>
              <w:bottom w:val="single" w:color="000000" w:sz="0" w:space="0"/>
            </w:tcBorders>
          </w:tcPr>
          <w:p w14:paraId="16FAC201">
            <w:pPr>
              <w:spacing w:after="0" w:line="240" w:lineRule="auto"/>
            </w:pPr>
            <w:r>
              <w:t>0</w:t>
            </w:r>
          </w:p>
        </w:tc>
        <w:tc>
          <w:tcPr>
            <w:tcBorders>
              <w:top w:val="single" w:color="000000" w:sz="0" w:space="0"/>
              <w:left w:val="single" w:color="000000" w:sz="0" w:space="0"/>
              <w:bottom w:val="single" w:color="000000" w:sz="0" w:space="0"/>
            </w:tcBorders>
          </w:tcPr>
          <w:p w14:paraId="7A345B9F">
            <w:pPr>
              <w:spacing w:after="0" w:line="240" w:lineRule="auto"/>
            </w:pPr>
            <w:r>
              <w:rPr>
                <w:rFonts w:ascii="Georgia" w:hAnsi="Georgia" w:eastAsia="Georgia" w:cs="Georgia"/>
              </w:rPr>
              <w:t>对大误差敏感</w:t>
            </w:r>
          </w:p>
        </w:tc>
        <w:tc>
          <w:tcPr>
            <w:tcBorders>
              <w:top w:val="single" w:color="000000" w:sz="0" w:space="0"/>
              <w:left w:val="single" w:color="000000" w:sz="0" w:space="0"/>
              <w:bottom w:val="single" w:color="000000" w:sz="0" w:space="0"/>
            </w:tcBorders>
          </w:tcPr>
          <w:p w14:paraId="4D1BBED5">
            <w:pPr>
              <w:spacing w:after="0" w:line="240" w:lineRule="auto"/>
            </w:pPr>
            <w:r>
              <w:rPr>
                <w:rFonts w:ascii="Georgia" w:hAnsi="Georgia" w:eastAsia="Georgia" w:cs="Georgia"/>
              </w:rPr>
              <w:t>标准预测偏差(与y同单位)</w:t>
            </w:r>
          </w:p>
        </w:tc>
      </w:tr>
    </w:tbl>
    <w:p w14:paraId="04A2E223">
      <w:pPr>
        <w:snapToGrid/>
        <w:spacing w:beforeAutospacing="0" w:after="0" w:afterAutospacing="0" w:line="400" w:lineRule="exact"/>
        <w:ind w:left="0" w:leftChars="0" w:right="0" w:rightChars="0" w:firstLine="480" w:firstLineChars="200"/>
        <w:jc w:val="both"/>
        <w:rPr>
          <w:rFonts w:ascii="Times New Roman" w:eastAsia="宋体"/>
          <w:sz w:val="24"/>
        </w:rPr>
      </w:pPr>
    </w:p>
    <w:p w14:paraId="0004EF08">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为了量化机器学习方法相对于简单基线的实际增益，本研究设置了两种基线预测策略作为对比参考。对于横截面任务，基线模型为"均值预测"，即对所有测试样本预测训练集目标变量的均值。该基线对应R²=0，任何有效的预测模型都应取得R²&gt;0的性能。</w:t>
      </w:r>
    </w:p>
    <w:p w14:paraId="0A381EA2">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对于时间序列任务，基线模型为"朴素预测"（Naive Forecast），即预测下一时刻的值等于当前时刻的观测值</w:t>
      </w:r>
    </w:p>
    <w:p w14:paraId="0F58A16D">
      <w:pPr>
        <w:snapToGrid/>
        <w:spacing w:beforeAutospacing="0" w:after="0" w:afterAutospacing="0" w:line="400" w:lineRule="exact"/>
        <w:ind w:left="0" w:leftChars="0" w:right="0" w:rightChars="0" w:firstLine="480" w:firstLineChars="200"/>
        <w:jc w:val="both"/>
        <w:rPr>
          <w:rFonts w:ascii="Times New Roman" w:eastAsia="宋体"/>
          <w:sz w:val="24"/>
        </w:rPr>
      </w:pPr>
      <m:oMathPara>
        <m:oMath>
          <m:sSub>
            <m:sSubPr>
              <m:ctrlPr>
                <w:rPr>
                  <w:rFonts w:ascii="DejaVu Math TeX Gyre" w:hAnsi="DejaVu Math TeX Gyre" w:eastAsia="宋体"/>
                  <w:sz w:val="24"/>
                </w:rPr>
              </m:ctrlPr>
            </m:sSubPr>
            <m:e>
              <m:acc>
                <m:accPr>
                  <m:chr m:val="ˆ"/>
                  <m:ctrlPr>
                    <w:rPr>
                      <w:rFonts w:ascii="DejaVu Math TeX Gyre" w:hAnsi="DejaVu Math TeX Gyre" w:eastAsia="宋体"/>
                      <w:sz w:val="24"/>
                    </w:rPr>
                  </m:ctrlPr>
                </m:accPr>
                <m:e>
                  <m:r>
                    <m:rPr/>
                    <w:rPr>
                      <w:rFonts w:ascii="Times New Roman" w:hAnsi="Times New Roman" w:eastAsia="宋体"/>
                      <w:sz w:val="24"/>
                    </w:rPr>
                    <m:t>y</m:t>
                  </m:r>
                  <m:ctrlPr>
                    <w:rPr>
                      <w:rFonts w:ascii="DejaVu Math TeX Gyre" w:hAnsi="DejaVu Math TeX Gyre" w:eastAsia="宋体"/>
                      <w:sz w:val="24"/>
                    </w:rPr>
                  </m:ctrlPr>
                </m:e>
              </m:acc>
              <m:ctrlPr>
                <w:rPr>
                  <w:rFonts w:ascii="DejaVu Math TeX Gyre" w:hAnsi="DejaVu Math TeX Gyre" w:eastAsia="宋体"/>
                  <w:sz w:val="24"/>
                </w:rPr>
              </m:ctrlPr>
            </m:e>
            <m:sub>
              <m:r>
                <m:rPr/>
                <w:rPr>
                  <w:rFonts w:ascii="Times New Roman" w:hAnsi="Times New Roman" w:eastAsia="宋体"/>
                  <w:sz w:val="24"/>
                </w:rPr>
                <m:t>t</m:t>
              </m:r>
              <m:ctrlPr>
                <w:rPr>
                  <w:rFonts w:ascii="DejaVu Math TeX Gyre" w:hAnsi="DejaVu Math TeX Gyre" w:eastAsia="宋体"/>
                  <w:sz w:val="24"/>
                </w:rPr>
              </m:ctrlPr>
            </m:sub>
          </m:sSub>
          <m:r>
            <m:rPr>
              <m:sty m:val="p"/>
            </m:rPr>
            <w:rPr>
              <w:rFonts w:ascii="Times New Roman" w:hAnsi="Times New Roman" w:eastAsia="宋体"/>
              <w:sz w:val="24"/>
            </w:rPr>
            <m:t>=</m:t>
          </m:r>
          <m:sSub>
            <m:sSubPr>
              <m:ctrlPr>
                <w:rPr>
                  <w:rFonts w:ascii="DejaVu Math TeX Gyre" w:hAnsi="DejaVu Math TeX Gyre" w:eastAsia="宋体"/>
                  <w:sz w:val="24"/>
                </w:rPr>
              </m:ctrlPr>
            </m:sSubPr>
            <m:e>
              <m:r>
                <m:rPr/>
                <w:rPr>
                  <w:rFonts w:ascii="Times New Roman" w:hAnsi="Times New Roman" w:eastAsia="宋体"/>
                  <w:sz w:val="24"/>
                </w:rPr>
                <m:t>y</m:t>
              </m:r>
              <m:ctrlPr>
                <w:rPr>
                  <w:rFonts w:ascii="DejaVu Math TeX Gyre" w:hAnsi="DejaVu Math TeX Gyre" w:eastAsia="宋体"/>
                  <w:sz w:val="24"/>
                </w:rPr>
              </m:ctrlPr>
            </m:e>
            <m:sub>
              <m:r>
                <m:rPr/>
                <w:rPr>
                  <w:rFonts w:ascii="Times New Roman" w:hAnsi="Times New Roman" w:eastAsia="宋体"/>
                  <w:sz w:val="24"/>
                </w:rPr>
                <m:t>t</m:t>
              </m:r>
              <m:r>
                <m:rPr>
                  <m:sty m:val="p"/>
                </m:rPr>
                <w:rPr>
                  <w:rFonts w:ascii="Times New Roman" w:hAnsi="Times New Roman" w:eastAsia="宋体"/>
                  <w:sz w:val="24"/>
                </w:rPr>
                <m:t>−1</m:t>
              </m:r>
              <m:ctrlPr>
                <w:rPr>
                  <w:rFonts w:ascii="DejaVu Math TeX Gyre" w:hAnsi="DejaVu Math TeX Gyre" w:eastAsia="宋体"/>
                  <w:sz w:val="24"/>
                </w:rPr>
              </m:ctrlPr>
            </m:sub>
          </m:sSub>
        </m:oMath>
      </m:oMathPara>
    </w:p>
    <w:p w14:paraId="7A9F8680">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这种持续预测策略在规则采样的时间序列中通常能取得合理的性能，但在不规则采样场景下由于时间间隔的剧烈变化而表现不佳。如5.3节所示，本研究中的时间序列模型（ARIMA、LSTM等）均产生负R²值，表明其性能甚至不如均值预测，从而证明了时间序列方法在不规则采样数据上系统性地表现劣于简单基线。</w:t>
      </w:r>
    </w:p>
    <w:p w14:paraId="3E5A707B">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实际应用中，评估指标的选择还需考虑具体场景的成本收益结构。对于污染预警系统，漏报重污染事件（"极差"被误判为"差"或"中"）的代价远高于误报（将"中"误判为"差"），因此应优先关注"极差"和"差"两个类别的召回率和F1分数。对于水质指标回归预测，如果目的是指导传感器配置，MAE的可解释性优于R²（例如"COD预测平均误差2 mg/L"比"R²=0.97"更直观），而如果目的是评估极端污染事件的预测能力，RMSE则更为合适。</w:t>
      </w:r>
    </w:p>
    <w:p w14:paraId="5ADE1822">
      <w:pPr>
        <w:ind w:left="0" w:leftChars="0" w:right="0" w:rightChars="0" w:firstLine="0" w:firstLineChars="0"/>
        <w:jc w:val="center"/>
        <w:rPr>
          <w:rFonts w:ascii="Times New Roman" w:eastAsia="宋体"/>
          <w:sz w:val="24"/>
        </w:rPr>
      </w:pPr>
      <w:r>
        <w:rPr>
          <w:rFonts w:ascii="Times New Roman" w:eastAsia="宋体"/>
          <w:sz w:val="24"/>
        </w:rPr>
        <w:drawing>
          <wp:inline distT="0" distB="0" distL="0" distR="0">
            <wp:extent cx="952500" cy="952500"/>
            <wp:effectExtent l="0" t="0" r="0" b="0"/>
            <wp:docPr id="7" name="image-not-found.png"/>
            <wp:cNvGraphicFramePr/>
            <a:graphic xmlns:a="http://schemas.openxmlformats.org/drawingml/2006/main">
              <a:graphicData uri="http://schemas.openxmlformats.org/drawingml/2006/picture">
                <pic:pic xmlns:pic="http://schemas.openxmlformats.org/drawingml/2006/picture">
                  <pic:nvPicPr>
                    <pic:cNvPr id="7" name="image-not-found.png"/>
                    <pic:cNvPicPr/>
                  </pic:nvPicPr>
                  <pic:blipFill>
                    <a:blip r:embed="rId6" cstate="print"/>
                    <a:srcRect/>
                    <a:stretch>
                      <a:fillRect/>
                    </a:stretch>
                  </pic:blipFill>
                  <pic:spPr>
                    <a:xfrm>
                      <a:off x="0" y="0"/>
                      <a:ext cx="952500" cy="952500"/>
                    </a:xfrm>
                    <a:prstGeom prst="rect">
                      <a:avLst/>
                    </a:prstGeom>
                  </pic:spPr>
                </pic:pic>
              </a:graphicData>
            </a:graphic>
          </wp:inline>
        </w:drawing>
      </w:r>
    </w:p>
    <w:p w14:paraId="639E1B32">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14以双分支树形图展示论文使用的评估指标的完整层次结构（分类指标vs回归指标）及其逻辑关系、适用场景和计算公式。图表采用自顶向下的树形结构，根节点为"模型评估指标体系"，第一层分为分类和回归两大分支，第二层展开为具体指标（准确率、精确率、召回率、F1分数、混淆矩阵、R²、MAE、RMSE），第四层横跨底部的基线模型框，右侧附有指标选择原则框和实际应用案例标注。详细设计规格见FIGURE_DESIGN_SPECIFICATIONS.md。</w:t>
      </w:r>
    </w:p>
    <w:p w14:paraId="375D6D25">
      <w:pPr>
        <w:snapToGrid/>
        <w:spacing w:before="240" w:beforeAutospacing="0" w:after="120" w:afterAutospacing="0" w:line="240" w:lineRule="auto"/>
        <w:ind w:left="0" w:leftChars="0" w:right="0" w:rightChars="0" w:firstLine="0" w:firstLineChars="0"/>
        <w:jc w:val="both"/>
        <w:outlineLvl w:val="2"/>
        <w:rPr>
          <w:rFonts w:ascii="黑体" w:eastAsia="黑体"/>
          <w:b w:val="0"/>
          <w:sz w:val="26"/>
        </w:rPr>
      </w:pPr>
      <w:bookmarkStart w:id="71" w:name="bm_4_5_3_超参数配置"/>
      <w:bookmarkStart w:id="72" w:name="_Toc1953491527"/>
      <w:r>
        <w:rPr>
          <w:rFonts w:ascii="黑体" w:hAnsi="Georgia" w:eastAsia="黑体" w:cs="Georgia"/>
          <w:b w:val="0"/>
          <w:sz w:val="26"/>
        </w:rPr>
        <w:t>4.5.3 超参数配置</w:t>
      </w:r>
      <w:bookmarkEnd w:id="71"/>
      <w:bookmarkEnd w:id="72"/>
    </w:p>
    <w:p w14:paraId="75B7296F">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超参数（Hyperparameter）是机器学习模型中需要在训练前人为设定的参数，区别于模型在训练过程中自动学习的参数（如神经网络的权重、决策树的分裂阈值）。合理的超参数配置对模型性能具有决定性影响，学习率过高可能导致训练不收敛，正则化过强可能导致欠拟合，树模型深度过大可能导致过拟合。因此，超参数调优是实验设计中的核心环节，直接决定了模型能否充分发挥其表达能力。本研究采用网格搜索（Grid Search）结合5折交叉验证的策略进行超参数优化，针对横截面模型（XGBoost、RandomForest、LightGBM）和时间序列模型（LSTM、ARIMA）分别设计了合理的超参数搜索空间和最终配置。</w:t>
      </w:r>
    </w:p>
    <w:p w14:paraId="73C4802C">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对于基于树的集成学习模型，超参数主要控制单棵决策树的复杂度和集成策略的随机性。XGBoost模型的核心超参数包括树的最大深度（max_depth）、学习率（learning_rate）、迭代轮数（n_estimators）、样本采样比例（subsample）和正则化系数（reg_alpha、reg_lambda）。经过网格搜索和5折交叉验证，最终选定的配置为，max_depth=6（控制单棵树的复杂度，避免过拟合）、learning_rate=0.1（梯度提升的步长，平衡收敛速度与稳定性）、n_estimators=200（迭代轮数，通过early stopping自动停止）、subsample=0.8（每轮迭代随机采样80%的训练样本，增强模型鲁棒性）、reg_alpha=0.1（L1正则化，促进稀疏解）、reg_lambda=1.0（L2正则化，平滑权重）。这一配置在分类任务上达到99.58%的准确率，在回归任务上部分指标（如COD、BOD）达到R²≈0.99的拟合效果。</w:t>
      </w:r>
    </w:p>
    <w:p w14:paraId="1BEE3F3E">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RandomForest模型的超参数设置相对简单，主要包括树的数量（n_estimators）和单棵树的最大深度（max_depth）。最终配置为n_estimators=300和max_depth=30，训练时采用Bagging策略（有放回采样）和特征随机选择（每次分裂随机选择√p个特征，p为总特征数），达到与XGBoost相近的性能（分类准确率99.55%）。LightGBM模型采用基于直方图的梯度提升算法，超参数包括叶子节点数量（num_leaves）和学习率（learning_rate），最终配置为num_leaves=31和learning_rate=0.1，在SHAP可解释性分析中作为主要模型（见3.2.4节）。</w:t>
      </w:r>
    </w:p>
    <w:p w14:paraId="2E71D307">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表11总结了本研究中横截面模型的超参数配置及其调优方法。</w:t>
      </w:r>
    </w:p>
    <w:p w14:paraId="15A24A12">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表11 横截面模型超参数配置表</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777"/>
        <w:gridCol w:w="2337"/>
        <w:gridCol w:w="985"/>
        <w:gridCol w:w="3871"/>
      </w:tblGrid>
      <w:tr w14:paraId="6021D04B">
        <w:trPr>
          <w:cantSplit/>
          <w:tblCellSpacing w:w="0" w:type="dxa"/>
          <w:jc w:val="center"/>
        </w:trPr>
        <w:tc>
          <w:tcPr>
            <w:tcBorders>
              <w:top w:val="single" w:color="000000" w:sz="0" w:space="0"/>
              <w:bottom w:val="single" w:color="000000" w:sz="0" w:space="0"/>
            </w:tcBorders>
          </w:tcPr>
          <w:p w14:paraId="48346F7A">
            <w:pPr>
              <w:spacing w:after="0" w:line="240" w:lineRule="auto"/>
            </w:pPr>
            <w:r>
              <w:rPr>
                <w:rFonts w:ascii="Georgia" w:hAnsi="Georgia" w:eastAsia="Georgia" w:cs="Georgia"/>
              </w:rPr>
              <w:t>模型</w:t>
            </w:r>
          </w:p>
        </w:tc>
        <w:tc>
          <w:tcPr>
            <w:tcBorders>
              <w:top w:val="single" w:color="000000" w:sz="0" w:space="0"/>
              <w:left w:val="single" w:color="000000" w:sz="0" w:space="0"/>
              <w:bottom w:val="single" w:color="000000" w:sz="0" w:space="0"/>
            </w:tcBorders>
          </w:tcPr>
          <w:p w14:paraId="42465BC2">
            <w:pPr>
              <w:spacing w:after="0" w:line="240" w:lineRule="auto"/>
            </w:pPr>
            <w:r>
              <w:rPr>
                <w:rFonts w:ascii="Georgia" w:hAnsi="Georgia" w:eastAsia="Georgia" w:cs="Georgia"/>
              </w:rPr>
              <w:t>核心超参数</w:t>
            </w:r>
          </w:p>
        </w:tc>
        <w:tc>
          <w:tcPr>
            <w:tcBorders>
              <w:top w:val="single" w:color="000000" w:sz="0" w:space="0"/>
              <w:left w:val="single" w:color="000000" w:sz="0" w:space="0"/>
              <w:bottom w:val="single" w:color="000000" w:sz="0" w:space="0"/>
            </w:tcBorders>
          </w:tcPr>
          <w:p w14:paraId="6CE872B6">
            <w:pPr>
              <w:spacing w:after="0" w:line="240" w:lineRule="auto"/>
            </w:pPr>
            <w:r>
              <w:rPr>
                <w:rFonts w:ascii="Georgia" w:hAnsi="Georgia" w:eastAsia="Georgia" w:cs="Georgia"/>
              </w:rPr>
              <w:t>调优方法</w:t>
            </w:r>
          </w:p>
        </w:tc>
        <w:tc>
          <w:tcPr>
            <w:tcBorders>
              <w:top w:val="single" w:color="000000" w:sz="0" w:space="0"/>
              <w:left w:val="single" w:color="000000" w:sz="0" w:space="0"/>
              <w:bottom w:val="single" w:color="000000" w:sz="0" w:space="0"/>
            </w:tcBorders>
          </w:tcPr>
          <w:p w14:paraId="44AEC1F1">
            <w:pPr>
              <w:spacing w:after="0" w:line="240" w:lineRule="auto"/>
            </w:pPr>
            <w:r>
              <w:rPr>
                <w:rFonts w:ascii="Georgia" w:hAnsi="Georgia" w:eastAsia="Georgia" w:cs="Georgia"/>
              </w:rPr>
              <w:t>最终配置</w:t>
            </w:r>
          </w:p>
        </w:tc>
      </w:tr>
      <w:tr w14:paraId="6192B00D">
        <w:trPr>
          <w:cantSplit/>
          <w:tblCellSpacing w:w="0" w:type="dxa"/>
          <w:jc w:val="center"/>
        </w:trPr>
        <w:tc>
          <w:tcPr>
            <w:tcBorders>
              <w:top w:val="single" w:color="000000" w:sz="0" w:space="0"/>
              <w:bottom w:val="single" w:color="000000" w:sz="0" w:space="0"/>
            </w:tcBorders>
          </w:tcPr>
          <w:p w14:paraId="74EE1702">
            <w:pPr>
              <w:spacing w:after="0" w:line="240" w:lineRule="auto"/>
            </w:pPr>
            <w:r>
              <w:t>XGBoost</w:t>
            </w:r>
          </w:p>
        </w:tc>
        <w:tc>
          <w:tcPr>
            <w:tcBorders>
              <w:top w:val="single" w:color="000000" w:sz="0" w:space="0"/>
              <w:left w:val="single" w:color="000000" w:sz="0" w:space="0"/>
              <w:bottom w:val="single" w:color="000000" w:sz="0" w:space="0"/>
            </w:tcBorders>
          </w:tcPr>
          <w:p w14:paraId="56034B8F">
            <w:pPr>
              <w:spacing w:after="0" w:line="240" w:lineRule="auto"/>
            </w:pPr>
            <w:r>
              <w:rPr>
                <w:rFonts w:ascii="Georgia" w:hAnsi="Georgia" w:eastAsia="Georgia" w:cs="Georgia"/>
              </w:rPr>
              <w:t>max_depth, learning_rate, n_estimators</w:t>
            </w:r>
          </w:p>
        </w:tc>
        <w:tc>
          <w:tcPr>
            <w:tcBorders>
              <w:top w:val="single" w:color="000000" w:sz="0" w:space="0"/>
              <w:left w:val="single" w:color="000000" w:sz="0" w:space="0"/>
              <w:bottom w:val="single" w:color="000000" w:sz="0" w:space="0"/>
            </w:tcBorders>
          </w:tcPr>
          <w:p w14:paraId="6D2C71FA">
            <w:pPr>
              <w:spacing w:after="0" w:line="240" w:lineRule="auto"/>
            </w:pPr>
            <w:r>
              <w:rPr>
                <w:rFonts w:ascii="Georgia" w:hAnsi="Georgia" w:eastAsia="Georgia" w:cs="Georgia"/>
              </w:rPr>
              <w:t>网格搜索 + 5折CV</w:t>
            </w:r>
          </w:p>
        </w:tc>
        <w:tc>
          <w:tcPr>
            <w:tcBorders>
              <w:top w:val="single" w:color="000000" w:sz="0" w:space="0"/>
              <w:left w:val="single" w:color="000000" w:sz="0" w:space="0"/>
              <w:bottom w:val="single" w:color="000000" w:sz="0" w:space="0"/>
            </w:tcBorders>
          </w:tcPr>
          <w:p w14:paraId="554D6500">
            <w:pPr>
              <w:spacing w:after="0" w:line="240" w:lineRule="auto"/>
            </w:pPr>
            <w:r>
              <w:rPr>
                <w:rFonts w:ascii="Georgia" w:hAnsi="Georgia" w:eastAsia="Georgia" w:cs="Georgia"/>
              </w:rPr>
              <w:t>max_depth=6, lr=0.1, n=200, subsample=0.8, reg_alpha=0.1, reg_lambda=1.0</w:t>
            </w:r>
          </w:p>
        </w:tc>
      </w:tr>
      <w:tr w14:paraId="071B4A6B">
        <w:trPr>
          <w:cantSplit/>
          <w:tblCellSpacing w:w="0" w:type="dxa"/>
          <w:jc w:val="center"/>
        </w:trPr>
        <w:tc>
          <w:tcPr>
            <w:tcBorders>
              <w:top w:val="single" w:color="000000" w:sz="0" w:space="0"/>
              <w:bottom w:val="single" w:color="000000" w:sz="0" w:space="0"/>
            </w:tcBorders>
          </w:tcPr>
          <w:p w14:paraId="5330A005">
            <w:pPr>
              <w:spacing w:after="0" w:line="240" w:lineRule="auto"/>
            </w:pPr>
            <w:r>
              <w:t>RandomForest</w:t>
            </w:r>
          </w:p>
        </w:tc>
        <w:tc>
          <w:tcPr>
            <w:tcBorders>
              <w:top w:val="single" w:color="000000" w:sz="0" w:space="0"/>
              <w:left w:val="single" w:color="000000" w:sz="0" w:space="0"/>
              <w:bottom w:val="single" w:color="000000" w:sz="0" w:space="0"/>
            </w:tcBorders>
          </w:tcPr>
          <w:p w14:paraId="49350B51">
            <w:pPr>
              <w:spacing w:after="0" w:line="240" w:lineRule="auto"/>
            </w:pPr>
            <w:r>
              <w:rPr>
                <w:rFonts w:ascii="Georgia" w:hAnsi="Georgia" w:eastAsia="Georgia" w:cs="Georgia"/>
              </w:rPr>
              <w:t>n_estimators, max_depth</w:t>
            </w:r>
          </w:p>
        </w:tc>
        <w:tc>
          <w:tcPr>
            <w:tcBorders>
              <w:top w:val="single" w:color="000000" w:sz="0" w:space="0"/>
              <w:left w:val="single" w:color="000000" w:sz="0" w:space="0"/>
              <w:bottom w:val="single" w:color="000000" w:sz="0" w:space="0"/>
            </w:tcBorders>
          </w:tcPr>
          <w:p w14:paraId="61E800DF">
            <w:pPr>
              <w:spacing w:after="0" w:line="240" w:lineRule="auto"/>
            </w:pPr>
            <w:r>
              <w:rPr>
                <w:rFonts w:ascii="Georgia" w:hAnsi="Georgia" w:eastAsia="Georgia" w:cs="Georgia"/>
              </w:rPr>
              <w:t>网格搜索 + 5折CV</w:t>
            </w:r>
          </w:p>
        </w:tc>
        <w:tc>
          <w:tcPr>
            <w:tcBorders>
              <w:top w:val="single" w:color="000000" w:sz="0" w:space="0"/>
              <w:left w:val="single" w:color="000000" w:sz="0" w:space="0"/>
              <w:bottom w:val="single" w:color="000000" w:sz="0" w:space="0"/>
            </w:tcBorders>
          </w:tcPr>
          <w:p w14:paraId="3A9B787F">
            <w:pPr>
              <w:spacing w:after="0" w:line="240" w:lineRule="auto"/>
            </w:pPr>
            <w:r>
              <w:rPr>
                <w:rFonts w:ascii="Georgia" w:hAnsi="Georgia" w:eastAsia="Georgia" w:cs="Georgia"/>
              </w:rPr>
              <w:t>n=300, max_depth=30, min_samples_split=2, max_features='sqrt'</w:t>
            </w:r>
          </w:p>
        </w:tc>
      </w:tr>
      <w:tr w14:paraId="4BDD224A">
        <w:trPr>
          <w:cantSplit/>
          <w:tblCellSpacing w:w="0" w:type="dxa"/>
          <w:jc w:val="center"/>
        </w:trPr>
        <w:tc>
          <w:tcPr>
            <w:tcBorders>
              <w:top w:val="single" w:color="000000" w:sz="0" w:space="0"/>
              <w:bottom w:val="single" w:color="000000" w:sz="0" w:space="0"/>
            </w:tcBorders>
          </w:tcPr>
          <w:p w14:paraId="4F4F87C1">
            <w:pPr>
              <w:spacing w:after="0" w:line="240" w:lineRule="auto"/>
            </w:pPr>
            <w:r>
              <w:t>LightGBM</w:t>
            </w:r>
          </w:p>
        </w:tc>
        <w:tc>
          <w:tcPr>
            <w:tcBorders>
              <w:top w:val="single" w:color="000000" w:sz="0" w:space="0"/>
              <w:left w:val="single" w:color="000000" w:sz="0" w:space="0"/>
              <w:bottom w:val="single" w:color="000000" w:sz="0" w:space="0"/>
            </w:tcBorders>
          </w:tcPr>
          <w:p w14:paraId="10C7B5A0">
            <w:pPr>
              <w:spacing w:after="0" w:line="240" w:lineRule="auto"/>
            </w:pPr>
            <w:r>
              <w:rPr>
                <w:rFonts w:ascii="Georgia" w:hAnsi="Georgia" w:eastAsia="Georgia" w:cs="Georgia"/>
              </w:rPr>
              <w:t>num_leaves, learning_rate</w:t>
            </w:r>
          </w:p>
        </w:tc>
        <w:tc>
          <w:tcPr>
            <w:tcBorders>
              <w:top w:val="single" w:color="000000" w:sz="0" w:space="0"/>
              <w:left w:val="single" w:color="000000" w:sz="0" w:space="0"/>
              <w:bottom w:val="single" w:color="000000" w:sz="0" w:space="0"/>
            </w:tcBorders>
          </w:tcPr>
          <w:p w14:paraId="26120615">
            <w:pPr>
              <w:spacing w:after="0" w:line="240" w:lineRule="auto"/>
            </w:pPr>
            <w:r>
              <w:rPr>
                <w:rFonts w:ascii="Georgia" w:hAnsi="Georgia" w:eastAsia="Georgia" w:cs="Georgia"/>
              </w:rPr>
              <w:t>网格搜索 + 5折CV</w:t>
            </w:r>
          </w:p>
        </w:tc>
        <w:tc>
          <w:tcPr>
            <w:tcBorders>
              <w:top w:val="single" w:color="000000" w:sz="0" w:space="0"/>
              <w:left w:val="single" w:color="000000" w:sz="0" w:space="0"/>
              <w:bottom w:val="single" w:color="000000" w:sz="0" w:space="0"/>
            </w:tcBorders>
          </w:tcPr>
          <w:p w14:paraId="0D53FF45">
            <w:pPr>
              <w:spacing w:after="0" w:line="240" w:lineRule="auto"/>
            </w:pPr>
            <w:r>
              <w:rPr>
                <w:rFonts w:ascii="Georgia" w:hAnsi="Georgia" w:eastAsia="Georgia" w:cs="Georgia"/>
              </w:rPr>
              <w:t>num_leaves=31, lr=0.1, n=200, subsample=0.8</w:t>
            </w:r>
          </w:p>
        </w:tc>
      </w:tr>
      <w:tr w14:paraId="0DD6058C">
        <w:trPr>
          <w:cantSplit/>
          <w:tblCellSpacing w:w="0" w:type="dxa"/>
          <w:jc w:val="center"/>
        </w:trPr>
        <w:tc>
          <w:tcPr>
            <w:tcBorders>
              <w:top w:val="single" w:color="000000" w:sz="0" w:space="0"/>
              <w:bottom w:val="single" w:color="000000" w:sz="0" w:space="0"/>
            </w:tcBorders>
          </w:tcPr>
          <w:p w14:paraId="186BC946">
            <w:pPr>
              <w:spacing w:after="0" w:line="240" w:lineRule="auto"/>
            </w:pPr>
            <w:r>
              <w:t>CatBoost</w:t>
            </w:r>
          </w:p>
        </w:tc>
        <w:tc>
          <w:tcPr>
            <w:tcBorders>
              <w:top w:val="single" w:color="000000" w:sz="0" w:space="0"/>
              <w:left w:val="single" w:color="000000" w:sz="0" w:space="0"/>
              <w:bottom w:val="single" w:color="000000" w:sz="0" w:space="0"/>
            </w:tcBorders>
          </w:tcPr>
          <w:p w14:paraId="17D7A780">
            <w:pPr>
              <w:spacing w:after="0" w:line="240" w:lineRule="auto"/>
            </w:pPr>
            <w:r>
              <w:rPr>
                <w:rFonts w:ascii="Georgia" w:hAnsi="Georgia" w:eastAsia="Georgia" w:cs="Georgia"/>
              </w:rPr>
              <w:t>depth, learning_rate</w:t>
            </w:r>
          </w:p>
        </w:tc>
        <w:tc>
          <w:tcPr>
            <w:tcBorders>
              <w:top w:val="single" w:color="000000" w:sz="0" w:space="0"/>
              <w:left w:val="single" w:color="000000" w:sz="0" w:space="0"/>
              <w:bottom w:val="single" w:color="000000" w:sz="0" w:space="0"/>
            </w:tcBorders>
          </w:tcPr>
          <w:p w14:paraId="609027AA">
            <w:pPr>
              <w:spacing w:after="0" w:line="240" w:lineRule="auto"/>
            </w:pPr>
            <w:r>
              <w:rPr>
                <w:rFonts w:ascii="Georgia" w:hAnsi="Georgia" w:eastAsia="Georgia" w:cs="Georgia"/>
              </w:rPr>
              <w:t>默认配置 + 微调</w:t>
            </w:r>
          </w:p>
        </w:tc>
        <w:tc>
          <w:tcPr>
            <w:tcBorders>
              <w:top w:val="single" w:color="000000" w:sz="0" w:space="0"/>
              <w:left w:val="single" w:color="000000" w:sz="0" w:space="0"/>
              <w:bottom w:val="single" w:color="000000" w:sz="0" w:space="0"/>
            </w:tcBorders>
          </w:tcPr>
          <w:p w14:paraId="4A2008D1">
            <w:pPr>
              <w:spacing w:after="0" w:line="240" w:lineRule="auto"/>
            </w:pPr>
            <w:r>
              <w:t>depth=6, lr=0.1, iterations=200</w:t>
            </w:r>
          </w:p>
        </w:tc>
      </w:tr>
    </w:tbl>
    <w:p w14:paraId="1497D887">
      <w:pPr>
        <w:snapToGrid/>
        <w:spacing w:beforeAutospacing="0" w:after="0" w:afterAutospacing="0" w:line="400" w:lineRule="exact"/>
        <w:ind w:left="0" w:leftChars="0" w:right="0" w:rightChars="0" w:firstLine="480" w:firstLineChars="200"/>
        <w:jc w:val="both"/>
        <w:rPr>
          <w:rFonts w:ascii="Times New Roman" w:eastAsia="宋体"/>
          <w:sz w:val="24"/>
        </w:rPr>
      </w:pPr>
    </w:p>
    <w:p w14:paraId="096F2E70">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时间序列模型的超参数配置则面向序列建模的特殊需求。LSTM（长短期记忆网络）模型的超参数包括隐藏单元数量（hidden_size）、滑动窗口长度（seq_length）、Dropout比例和训练轮数（epochs）。最终配置为，hidden_size=64（2层LSTM，每层64个隐藏单元）、seq_length=7（使用过去7个时刻的观测预测下一时刻）、dropout=0.1（防止过拟合）、epochs=100（早停patience=10，即验证集性能连续10轮不提升则停止训练）。优化器采用Adam，学习率lr=0.001。ARIMA模型的超参数为阶数(p, d, q)，通过ACF和PACF图自动选择为(1, 1, 1)。SARIMA模型增加季节性阶数seasonal_order=(1, 1, 1, 12)，假设12个月的季节周期。然而，如5.3节所述，所有时间序列模型在本数据集上均产生负R²值，证明超参数调优无法弥补数据不规则性导致的方法不适用问题。</w:t>
      </w:r>
    </w:p>
    <w:p w14:paraId="23A3CB25">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表12总结了时间序列模型的超参数配置。</w:t>
      </w:r>
    </w:p>
    <w:p w14:paraId="0C5AC09A">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表12 时间序列模型超参数配置表</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88"/>
        <w:gridCol w:w="1359"/>
        <w:gridCol w:w="1823"/>
        <w:gridCol w:w="1314"/>
        <w:gridCol w:w="3286"/>
      </w:tblGrid>
      <w:tr w14:paraId="222A390E">
        <w:trPr>
          <w:cantSplit/>
          <w:tblCellSpacing w:w="0" w:type="dxa"/>
          <w:jc w:val="center"/>
        </w:trPr>
        <w:tc>
          <w:tcPr>
            <w:tcBorders>
              <w:top w:val="single" w:color="000000" w:sz="0" w:space="0"/>
              <w:bottom w:val="single" w:color="000000" w:sz="0" w:space="0"/>
            </w:tcBorders>
          </w:tcPr>
          <w:p w14:paraId="27B0B1AD">
            <w:pPr>
              <w:spacing w:after="0" w:line="240" w:lineRule="auto"/>
            </w:pPr>
            <w:r>
              <w:rPr>
                <w:rFonts w:ascii="Georgia" w:hAnsi="Georgia" w:eastAsia="Georgia" w:cs="Georgia"/>
              </w:rPr>
              <w:t>模型</w:t>
            </w:r>
          </w:p>
        </w:tc>
        <w:tc>
          <w:tcPr>
            <w:tcBorders>
              <w:top w:val="single" w:color="000000" w:sz="0" w:space="0"/>
              <w:left w:val="single" w:color="000000" w:sz="0" w:space="0"/>
              <w:bottom w:val="single" w:color="000000" w:sz="0" w:space="0"/>
            </w:tcBorders>
          </w:tcPr>
          <w:p w14:paraId="545E9674">
            <w:pPr>
              <w:spacing w:after="0" w:line="240" w:lineRule="auto"/>
            </w:pPr>
            <w:r>
              <w:rPr>
                <w:rFonts w:ascii="Georgia" w:hAnsi="Georgia" w:eastAsia="Georgia" w:cs="Georgia"/>
              </w:rPr>
              <w:t>超参数类别</w:t>
            </w:r>
          </w:p>
        </w:tc>
        <w:tc>
          <w:tcPr>
            <w:tcBorders>
              <w:top w:val="single" w:color="000000" w:sz="0" w:space="0"/>
              <w:left w:val="single" w:color="000000" w:sz="0" w:space="0"/>
              <w:bottom w:val="single" w:color="000000" w:sz="0" w:space="0"/>
            </w:tcBorders>
          </w:tcPr>
          <w:p w14:paraId="4D93C1EE">
            <w:pPr>
              <w:spacing w:after="0" w:line="240" w:lineRule="auto"/>
            </w:pPr>
            <w:r>
              <w:rPr>
                <w:rFonts w:ascii="Georgia" w:hAnsi="Georgia" w:eastAsia="Georgia" w:cs="Georgia"/>
              </w:rPr>
              <w:t>具体参数</w:t>
            </w:r>
          </w:p>
        </w:tc>
        <w:tc>
          <w:tcPr>
            <w:tcBorders>
              <w:top w:val="single" w:color="000000" w:sz="0" w:space="0"/>
              <w:left w:val="single" w:color="000000" w:sz="0" w:space="0"/>
              <w:bottom w:val="single" w:color="000000" w:sz="0" w:space="0"/>
            </w:tcBorders>
          </w:tcPr>
          <w:p w14:paraId="6ECB56F0">
            <w:pPr>
              <w:spacing w:after="0" w:line="240" w:lineRule="auto"/>
            </w:pPr>
            <w:r>
              <w:rPr>
                <w:rFonts w:ascii="Georgia" w:hAnsi="Georgia" w:eastAsia="Georgia" w:cs="Georgia"/>
              </w:rPr>
              <w:t>配置值</w:t>
            </w:r>
          </w:p>
        </w:tc>
        <w:tc>
          <w:tcPr>
            <w:tcBorders>
              <w:top w:val="single" w:color="000000" w:sz="0" w:space="0"/>
              <w:left w:val="single" w:color="000000" w:sz="0" w:space="0"/>
              <w:bottom w:val="single" w:color="000000" w:sz="0" w:space="0"/>
            </w:tcBorders>
          </w:tcPr>
          <w:p w14:paraId="15638916">
            <w:pPr>
              <w:spacing w:after="0" w:line="240" w:lineRule="auto"/>
            </w:pPr>
            <w:r>
              <w:rPr>
                <w:rFonts w:ascii="Georgia" w:hAnsi="Georgia" w:eastAsia="Georgia" w:cs="Georgia"/>
              </w:rPr>
              <w:t>说明</w:t>
            </w:r>
          </w:p>
        </w:tc>
      </w:tr>
      <w:tr w14:paraId="1BCB92F1">
        <w:trPr>
          <w:cantSplit/>
          <w:tblCellSpacing w:w="0" w:type="dxa"/>
          <w:jc w:val="center"/>
        </w:trPr>
        <w:tc>
          <w:tcPr>
            <w:tcBorders>
              <w:top w:val="single" w:color="000000" w:sz="0" w:space="0"/>
              <w:bottom w:val="single" w:color="000000" w:sz="0" w:space="0"/>
            </w:tcBorders>
          </w:tcPr>
          <w:p w14:paraId="30866D1F">
            <w:pPr>
              <w:spacing w:after="0" w:line="240" w:lineRule="auto"/>
            </w:pPr>
            <w:r>
              <w:t>LSTM</w:t>
            </w:r>
          </w:p>
        </w:tc>
        <w:tc>
          <w:tcPr>
            <w:tcBorders>
              <w:top w:val="single" w:color="000000" w:sz="0" w:space="0"/>
              <w:left w:val="single" w:color="000000" w:sz="0" w:space="0"/>
              <w:bottom w:val="single" w:color="000000" w:sz="0" w:space="0"/>
            </w:tcBorders>
          </w:tcPr>
          <w:p w14:paraId="09F016BA">
            <w:pPr>
              <w:spacing w:after="0" w:line="240" w:lineRule="auto"/>
            </w:pPr>
            <w:r>
              <w:rPr>
                <w:rFonts w:ascii="Georgia" w:hAnsi="Georgia" w:eastAsia="Georgia" w:cs="Georgia"/>
              </w:rPr>
              <w:t>网络结构</w:t>
            </w:r>
          </w:p>
        </w:tc>
        <w:tc>
          <w:tcPr>
            <w:tcBorders>
              <w:top w:val="single" w:color="000000" w:sz="0" w:space="0"/>
              <w:left w:val="single" w:color="000000" w:sz="0" w:space="0"/>
              <w:bottom w:val="single" w:color="000000" w:sz="0" w:space="0"/>
            </w:tcBorders>
          </w:tcPr>
          <w:p w14:paraId="4993E264">
            <w:pPr>
              <w:spacing w:after="0" w:line="240" w:lineRule="auto"/>
            </w:pPr>
            <w:r>
              <w:rPr>
                <w:rFonts w:ascii="Georgia" w:hAnsi="Georgia" w:eastAsia="Georgia" w:cs="Georgia"/>
              </w:rPr>
              <w:t>hidden_size</w:t>
            </w:r>
          </w:p>
        </w:tc>
        <w:tc>
          <w:tcPr>
            <w:tcBorders>
              <w:top w:val="single" w:color="000000" w:sz="0" w:space="0"/>
              <w:left w:val="single" w:color="000000" w:sz="0" w:space="0"/>
              <w:bottom w:val="single" w:color="000000" w:sz="0" w:space="0"/>
            </w:tcBorders>
          </w:tcPr>
          <w:p w14:paraId="5F8C41FF">
            <w:pPr>
              <w:spacing w:after="0" w:line="240" w:lineRule="auto"/>
            </w:pPr>
            <w:r>
              <w:t>64</w:t>
            </w:r>
          </w:p>
        </w:tc>
        <w:tc>
          <w:tcPr>
            <w:tcBorders>
              <w:top w:val="single" w:color="000000" w:sz="0" w:space="0"/>
              <w:left w:val="single" w:color="000000" w:sz="0" w:space="0"/>
              <w:bottom w:val="single" w:color="000000" w:sz="0" w:space="0"/>
            </w:tcBorders>
          </w:tcPr>
          <w:p w14:paraId="49CEB0F8">
            <w:pPr>
              <w:spacing w:after="0" w:line="240" w:lineRule="auto"/>
            </w:pPr>
            <w:r>
              <w:rPr>
                <w:rFonts w:ascii="Georgia" w:hAnsi="Georgia" w:eastAsia="Georgia" w:cs="Georgia"/>
              </w:rPr>
              <w:t>2层LSTM，每层64单元</w:t>
            </w:r>
          </w:p>
        </w:tc>
      </w:tr>
      <w:tr w14:paraId="0F7A1A2F">
        <w:trPr>
          <w:cantSplit/>
          <w:tblCellSpacing w:w="0" w:type="dxa"/>
          <w:jc w:val="center"/>
        </w:trPr>
        <w:tc>
          <w:tcPr>
            <w:tcBorders>
              <w:top w:val="single" w:color="000000" w:sz="0" w:space="0"/>
              <w:bottom w:val="single" w:color="000000" w:sz="0" w:space="0"/>
            </w:tcBorders>
          </w:tcPr>
          <w:p w14:paraId="4390D621">
            <w:pPr>
              <w:spacing w:after="0" w:line="240" w:lineRule="auto"/>
            </w:pPr>
            <w:r>
              <w:t>LSTM</w:t>
            </w:r>
          </w:p>
        </w:tc>
        <w:tc>
          <w:tcPr>
            <w:tcBorders>
              <w:top w:val="single" w:color="000000" w:sz="0" w:space="0"/>
              <w:left w:val="single" w:color="000000" w:sz="0" w:space="0"/>
              <w:bottom w:val="single" w:color="000000" w:sz="0" w:space="0"/>
            </w:tcBorders>
          </w:tcPr>
          <w:p w14:paraId="31C4DFAC">
            <w:pPr>
              <w:spacing w:after="0" w:line="240" w:lineRule="auto"/>
            </w:pPr>
            <w:r>
              <w:rPr>
                <w:rFonts w:ascii="Georgia" w:hAnsi="Georgia" w:eastAsia="Georgia" w:cs="Georgia"/>
              </w:rPr>
              <w:t>序列长度</w:t>
            </w:r>
          </w:p>
        </w:tc>
        <w:tc>
          <w:tcPr>
            <w:tcBorders>
              <w:top w:val="single" w:color="000000" w:sz="0" w:space="0"/>
              <w:left w:val="single" w:color="000000" w:sz="0" w:space="0"/>
              <w:bottom w:val="single" w:color="000000" w:sz="0" w:space="0"/>
            </w:tcBorders>
          </w:tcPr>
          <w:p w14:paraId="31AA600E">
            <w:pPr>
              <w:spacing w:after="0" w:line="240" w:lineRule="auto"/>
            </w:pPr>
            <w:r>
              <w:rPr>
                <w:rFonts w:ascii="Georgia" w:hAnsi="Georgia" w:eastAsia="Georgia" w:cs="Georgia"/>
              </w:rPr>
              <w:t>seq_length</w:t>
            </w:r>
          </w:p>
        </w:tc>
        <w:tc>
          <w:tcPr>
            <w:tcBorders>
              <w:top w:val="single" w:color="000000" w:sz="0" w:space="0"/>
              <w:left w:val="single" w:color="000000" w:sz="0" w:space="0"/>
              <w:bottom w:val="single" w:color="000000" w:sz="0" w:space="0"/>
            </w:tcBorders>
          </w:tcPr>
          <w:p w14:paraId="0C126C98">
            <w:pPr>
              <w:spacing w:after="0" w:line="240" w:lineRule="auto"/>
            </w:pPr>
            <w:r>
              <w:t>7</w:t>
            </w:r>
          </w:p>
        </w:tc>
        <w:tc>
          <w:tcPr>
            <w:tcBorders>
              <w:top w:val="single" w:color="000000" w:sz="0" w:space="0"/>
              <w:left w:val="single" w:color="000000" w:sz="0" w:space="0"/>
              <w:bottom w:val="single" w:color="000000" w:sz="0" w:space="0"/>
            </w:tcBorders>
          </w:tcPr>
          <w:p w14:paraId="4539EC9D">
            <w:pPr>
              <w:spacing w:after="0" w:line="240" w:lineRule="auto"/>
            </w:pPr>
            <w:r>
              <w:rPr>
                <w:rFonts w:ascii="Georgia" w:hAnsi="Georgia" w:eastAsia="Georgia" w:cs="Georgia"/>
              </w:rPr>
              <w:t>滑动窗口长度</w:t>
            </w:r>
          </w:p>
        </w:tc>
      </w:tr>
      <w:tr w14:paraId="0541A347">
        <w:trPr>
          <w:cantSplit/>
          <w:tblCellSpacing w:w="0" w:type="dxa"/>
          <w:jc w:val="center"/>
        </w:trPr>
        <w:tc>
          <w:tcPr>
            <w:tcBorders>
              <w:top w:val="single" w:color="000000" w:sz="0" w:space="0"/>
              <w:bottom w:val="single" w:color="000000" w:sz="0" w:space="0"/>
            </w:tcBorders>
          </w:tcPr>
          <w:p w14:paraId="48E4EE1F">
            <w:pPr>
              <w:spacing w:after="0" w:line="240" w:lineRule="auto"/>
            </w:pPr>
            <w:r>
              <w:t>LSTM</w:t>
            </w:r>
          </w:p>
        </w:tc>
        <w:tc>
          <w:tcPr>
            <w:tcBorders>
              <w:top w:val="single" w:color="000000" w:sz="0" w:space="0"/>
              <w:left w:val="single" w:color="000000" w:sz="0" w:space="0"/>
              <w:bottom w:val="single" w:color="000000" w:sz="0" w:space="0"/>
            </w:tcBorders>
          </w:tcPr>
          <w:p w14:paraId="13E91E6A">
            <w:pPr>
              <w:spacing w:after="0" w:line="240" w:lineRule="auto"/>
            </w:pPr>
            <w:r>
              <w:rPr>
                <w:rFonts w:ascii="Georgia" w:hAnsi="Georgia" w:eastAsia="Georgia" w:cs="Georgia"/>
              </w:rPr>
              <w:t>正则化</w:t>
            </w:r>
          </w:p>
        </w:tc>
        <w:tc>
          <w:tcPr>
            <w:tcBorders>
              <w:top w:val="single" w:color="000000" w:sz="0" w:space="0"/>
              <w:left w:val="single" w:color="000000" w:sz="0" w:space="0"/>
              <w:bottom w:val="single" w:color="000000" w:sz="0" w:space="0"/>
            </w:tcBorders>
          </w:tcPr>
          <w:p w14:paraId="4F3CFAE5">
            <w:pPr>
              <w:spacing w:after="0" w:line="240" w:lineRule="auto"/>
            </w:pPr>
            <w:r>
              <w:t>dropout</w:t>
            </w:r>
          </w:p>
        </w:tc>
        <w:tc>
          <w:tcPr>
            <w:tcBorders>
              <w:top w:val="single" w:color="000000" w:sz="0" w:space="0"/>
              <w:left w:val="single" w:color="000000" w:sz="0" w:space="0"/>
              <w:bottom w:val="single" w:color="000000" w:sz="0" w:space="0"/>
            </w:tcBorders>
          </w:tcPr>
          <w:p w14:paraId="55678F09">
            <w:pPr>
              <w:spacing w:after="0" w:line="240" w:lineRule="auto"/>
            </w:pPr>
            <w:r>
              <w:t>0.1</w:t>
            </w:r>
          </w:p>
        </w:tc>
        <w:tc>
          <w:tcPr>
            <w:tcBorders>
              <w:top w:val="single" w:color="000000" w:sz="0" w:space="0"/>
              <w:left w:val="single" w:color="000000" w:sz="0" w:space="0"/>
              <w:bottom w:val="single" w:color="000000" w:sz="0" w:space="0"/>
            </w:tcBorders>
          </w:tcPr>
          <w:p w14:paraId="0A606C97">
            <w:pPr>
              <w:spacing w:after="0" w:line="240" w:lineRule="auto"/>
            </w:pPr>
            <w:r>
              <w:rPr>
                <w:rFonts w:ascii="Georgia" w:hAnsi="Georgia" w:eastAsia="Georgia" w:cs="Georgia"/>
              </w:rPr>
              <w:t>防止过拟合</w:t>
            </w:r>
          </w:p>
        </w:tc>
      </w:tr>
      <w:tr w14:paraId="69402200">
        <w:trPr>
          <w:cantSplit/>
          <w:tblCellSpacing w:w="0" w:type="dxa"/>
          <w:jc w:val="center"/>
        </w:trPr>
        <w:tc>
          <w:tcPr>
            <w:tcBorders>
              <w:top w:val="single" w:color="000000" w:sz="0" w:space="0"/>
              <w:bottom w:val="single" w:color="000000" w:sz="0" w:space="0"/>
            </w:tcBorders>
          </w:tcPr>
          <w:p w14:paraId="690745BB">
            <w:pPr>
              <w:spacing w:after="0" w:line="240" w:lineRule="auto"/>
            </w:pPr>
            <w:r>
              <w:t>LSTM</w:t>
            </w:r>
          </w:p>
        </w:tc>
        <w:tc>
          <w:tcPr>
            <w:tcBorders>
              <w:top w:val="single" w:color="000000" w:sz="0" w:space="0"/>
              <w:left w:val="single" w:color="000000" w:sz="0" w:space="0"/>
              <w:bottom w:val="single" w:color="000000" w:sz="0" w:space="0"/>
            </w:tcBorders>
          </w:tcPr>
          <w:p w14:paraId="3F4CC846">
            <w:pPr>
              <w:spacing w:after="0" w:line="240" w:lineRule="auto"/>
            </w:pPr>
            <w:r>
              <w:rPr>
                <w:rFonts w:ascii="Georgia" w:hAnsi="Georgia" w:eastAsia="Georgia" w:cs="Georgia"/>
              </w:rPr>
              <w:t>训练策略</w:t>
            </w:r>
          </w:p>
        </w:tc>
        <w:tc>
          <w:tcPr>
            <w:tcBorders>
              <w:top w:val="single" w:color="000000" w:sz="0" w:space="0"/>
              <w:left w:val="single" w:color="000000" w:sz="0" w:space="0"/>
              <w:bottom w:val="single" w:color="000000" w:sz="0" w:space="0"/>
            </w:tcBorders>
          </w:tcPr>
          <w:p w14:paraId="4FC25F2E">
            <w:pPr>
              <w:spacing w:after="0" w:line="240" w:lineRule="auto"/>
            </w:pPr>
            <w:r>
              <w:t>epochs</w:t>
            </w:r>
          </w:p>
        </w:tc>
        <w:tc>
          <w:tcPr>
            <w:tcBorders>
              <w:top w:val="single" w:color="000000" w:sz="0" w:space="0"/>
              <w:left w:val="single" w:color="000000" w:sz="0" w:space="0"/>
              <w:bottom w:val="single" w:color="000000" w:sz="0" w:space="0"/>
            </w:tcBorders>
          </w:tcPr>
          <w:p w14:paraId="604A96E5">
            <w:pPr>
              <w:spacing w:after="0" w:line="240" w:lineRule="auto"/>
            </w:pPr>
            <w:r>
              <w:t>100</w:t>
            </w:r>
          </w:p>
        </w:tc>
        <w:tc>
          <w:tcPr>
            <w:tcBorders>
              <w:top w:val="single" w:color="000000" w:sz="0" w:space="0"/>
              <w:left w:val="single" w:color="000000" w:sz="0" w:space="0"/>
              <w:bottom w:val="single" w:color="000000" w:sz="0" w:space="0"/>
            </w:tcBorders>
          </w:tcPr>
          <w:p w14:paraId="707B41A0">
            <w:pPr>
              <w:spacing w:after="0" w:line="240" w:lineRule="auto"/>
            </w:pPr>
            <w:r>
              <w:t>early stopping (patience=10)</w:t>
            </w:r>
          </w:p>
        </w:tc>
      </w:tr>
      <w:tr w14:paraId="6F126C28">
        <w:trPr>
          <w:cantSplit/>
          <w:tblCellSpacing w:w="0" w:type="dxa"/>
          <w:jc w:val="center"/>
        </w:trPr>
        <w:tc>
          <w:tcPr>
            <w:tcBorders>
              <w:top w:val="single" w:color="000000" w:sz="0" w:space="0"/>
              <w:bottom w:val="single" w:color="000000" w:sz="0" w:space="0"/>
            </w:tcBorders>
          </w:tcPr>
          <w:p w14:paraId="10BDD0E0">
            <w:pPr>
              <w:spacing w:after="0" w:line="240" w:lineRule="auto"/>
            </w:pPr>
            <w:r>
              <w:t>LSTM</w:t>
            </w:r>
          </w:p>
        </w:tc>
        <w:tc>
          <w:tcPr>
            <w:tcBorders>
              <w:top w:val="single" w:color="000000" w:sz="0" w:space="0"/>
              <w:left w:val="single" w:color="000000" w:sz="0" w:space="0"/>
              <w:bottom w:val="single" w:color="000000" w:sz="0" w:space="0"/>
            </w:tcBorders>
          </w:tcPr>
          <w:p w14:paraId="5AEF2DAF">
            <w:pPr>
              <w:spacing w:after="0" w:line="240" w:lineRule="auto"/>
            </w:pPr>
            <w:r>
              <w:rPr>
                <w:rFonts w:ascii="Georgia" w:hAnsi="Georgia" w:eastAsia="Georgia" w:cs="Georgia"/>
              </w:rPr>
              <w:t>优化器</w:t>
            </w:r>
          </w:p>
        </w:tc>
        <w:tc>
          <w:tcPr>
            <w:tcBorders>
              <w:top w:val="single" w:color="000000" w:sz="0" w:space="0"/>
              <w:left w:val="single" w:color="000000" w:sz="0" w:space="0"/>
              <w:bottom w:val="single" w:color="000000" w:sz="0" w:space="0"/>
            </w:tcBorders>
          </w:tcPr>
          <w:p w14:paraId="578B37D7">
            <w:pPr>
              <w:spacing w:after="0" w:line="240" w:lineRule="auto"/>
            </w:pPr>
            <w:r>
              <w:t>Adam</w:t>
            </w:r>
          </w:p>
        </w:tc>
        <w:tc>
          <w:tcPr>
            <w:tcBorders>
              <w:top w:val="single" w:color="000000" w:sz="0" w:space="0"/>
              <w:left w:val="single" w:color="000000" w:sz="0" w:space="0"/>
              <w:bottom w:val="single" w:color="000000" w:sz="0" w:space="0"/>
            </w:tcBorders>
          </w:tcPr>
          <w:p w14:paraId="51C205DD">
            <w:pPr>
              <w:spacing w:after="0" w:line="240" w:lineRule="auto"/>
            </w:pPr>
            <w:r>
              <w:t>lr=0.001</w:t>
            </w:r>
          </w:p>
        </w:tc>
        <w:tc>
          <w:tcPr>
            <w:tcBorders>
              <w:top w:val="single" w:color="000000" w:sz="0" w:space="0"/>
              <w:left w:val="single" w:color="000000" w:sz="0" w:space="0"/>
              <w:bottom w:val="single" w:color="000000" w:sz="0" w:space="0"/>
            </w:tcBorders>
          </w:tcPr>
          <w:p w14:paraId="4CC1EB17">
            <w:pPr>
              <w:spacing w:after="0" w:line="240" w:lineRule="auto"/>
            </w:pPr>
            <w:r>
              <w:rPr>
                <w:rFonts w:ascii="Georgia" w:hAnsi="Georgia" w:eastAsia="Georgia" w:cs="Georgia"/>
              </w:rPr>
              <w:t>学习率0.001</w:t>
            </w:r>
          </w:p>
        </w:tc>
      </w:tr>
      <w:tr w14:paraId="4DD14806">
        <w:trPr>
          <w:cantSplit/>
          <w:tblCellSpacing w:w="0" w:type="dxa"/>
          <w:jc w:val="center"/>
        </w:trPr>
        <w:tc>
          <w:tcPr>
            <w:tcBorders>
              <w:top w:val="single" w:color="000000" w:sz="0" w:space="0"/>
              <w:bottom w:val="single" w:color="000000" w:sz="0" w:space="0"/>
            </w:tcBorders>
          </w:tcPr>
          <w:p w14:paraId="18F8F0CB">
            <w:pPr>
              <w:spacing w:after="0" w:line="240" w:lineRule="auto"/>
            </w:pPr>
            <w:r>
              <w:t>ARIMA</w:t>
            </w:r>
          </w:p>
        </w:tc>
        <w:tc>
          <w:tcPr>
            <w:tcBorders>
              <w:top w:val="single" w:color="000000" w:sz="0" w:space="0"/>
              <w:left w:val="single" w:color="000000" w:sz="0" w:space="0"/>
              <w:bottom w:val="single" w:color="000000" w:sz="0" w:space="0"/>
            </w:tcBorders>
          </w:tcPr>
          <w:p w14:paraId="3BA8239E">
            <w:pPr>
              <w:spacing w:after="0" w:line="240" w:lineRule="auto"/>
            </w:pPr>
            <w:r>
              <w:rPr>
                <w:rFonts w:ascii="Georgia" w:hAnsi="Georgia" w:eastAsia="Georgia" w:cs="Georgia"/>
              </w:rPr>
              <w:t>模型阶数</w:t>
            </w:r>
          </w:p>
        </w:tc>
        <w:tc>
          <w:tcPr>
            <w:tcBorders>
              <w:top w:val="single" w:color="000000" w:sz="0" w:space="0"/>
              <w:left w:val="single" w:color="000000" w:sz="0" w:space="0"/>
              <w:bottom w:val="single" w:color="000000" w:sz="0" w:space="0"/>
            </w:tcBorders>
          </w:tcPr>
          <w:p w14:paraId="4B188BA2">
            <w:pPr>
              <w:spacing w:after="0" w:line="240" w:lineRule="auto"/>
            </w:pPr>
            <w:r>
              <w:t>(p, d, q)</w:t>
            </w:r>
          </w:p>
        </w:tc>
        <w:tc>
          <w:tcPr>
            <w:tcBorders>
              <w:top w:val="single" w:color="000000" w:sz="0" w:space="0"/>
              <w:left w:val="single" w:color="000000" w:sz="0" w:space="0"/>
              <w:bottom w:val="single" w:color="000000" w:sz="0" w:space="0"/>
            </w:tcBorders>
          </w:tcPr>
          <w:p w14:paraId="19215B68">
            <w:pPr>
              <w:spacing w:after="0" w:line="240" w:lineRule="auto"/>
            </w:pPr>
            <w:r>
              <w:t>(1, 1, 1)</w:t>
            </w:r>
          </w:p>
        </w:tc>
        <w:tc>
          <w:tcPr>
            <w:tcBorders>
              <w:top w:val="single" w:color="000000" w:sz="0" w:space="0"/>
              <w:left w:val="single" w:color="000000" w:sz="0" w:space="0"/>
              <w:bottom w:val="single" w:color="000000" w:sz="0" w:space="0"/>
            </w:tcBorders>
          </w:tcPr>
          <w:p w14:paraId="5D66C1A1">
            <w:pPr>
              <w:spacing w:after="0" w:line="240" w:lineRule="auto"/>
            </w:pPr>
            <w:r>
              <w:rPr>
                <w:rFonts w:ascii="Georgia" w:hAnsi="Georgia" w:eastAsia="Georgia" w:cs="Georgia"/>
              </w:rPr>
              <w:t>自回归阶、差分阶、移动平均阶</w:t>
            </w:r>
          </w:p>
        </w:tc>
      </w:tr>
      <w:tr w14:paraId="68129F48">
        <w:trPr>
          <w:cantSplit/>
          <w:tblCellSpacing w:w="0" w:type="dxa"/>
          <w:jc w:val="center"/>
        </w:trPr>
        <w:tc>
          <w:tcPr>
            <w:tcBorders>
              <w:top w:val="single" w:color="000000" w:sz="0" w:space="0"/>
              <w:bottom w:val="single" w:color="000000" w:sz="0" w:space="0"/>
            </w:tcBorders>
          </w:tcPr>
          <w:p w14:paraId="6FFD1CC0">
            <w:pPr>
              <w:spacing w:after="0" w:line="240" w:lineRule="auto"/>
            </w:pPr>
            <w:r>
              <w:t>SARIMA</w:t>
            </w:r>
          </w:p>
        </w:tc>
        <w:tc>
          <w:tcPr>
            <w:tcBorders>
              <w:top w:val="single" w:color="000000" w:sz="0" w:space="0"/>
              <w:left w:val="single" w:color="000000" w:sz="0" w:space="0"/>
              <w:bottom w:val="single" w:color="000000" w:sz="0" w:space="0"/>
            </w:tcBorders>
          </w:tcPr>
          <w:p w14:paraId="709A741D">
            <w:pPr>
              <w:spacing w:after="0" w:line="240" w:lineRule="auto"/>
            </w:pPr>
            <w:r>
              <w:rPr>
                <w:rFonts w:ascii="Georgia" w:hAnsi="Georgia" w:eastAsia="Georgia" w:cs="Georgia"/>
              </w:rPr>
              <w:t>季节阶数</w:t>
            </w:r>
          </w:p>
        </w:tc>
        <w:tc>
          <w:tcPr>
            <w:tcBorders>
              <w:top w:val="single" w:color="000000" w:sz="0" w:space="0"/>
              <w:left w:val="single" w:color="000000" w:sz="0" w:space="0"/>
              <w:bottom w:val="single" w:color="000000" w:sz="0" w:space="0"/>
            </w:tcBorders>
          </w:tcPr>
          <w:p w14:paraId="4D513A05">
            <w:pPr>
              <w:spacing w:after="0" w:line="240" w:lineRule="auto"/>
            </w:pPr>
            <w:r>
              <w:rPr>
                <w:rFonts w:ascii="Georgia" w:hAnsi="Georgia" w:eastAsia="Georgia" w:cs="Georgia"/>
              </w:rPr>
              <w:t>seasonal_order</w:t>
            </w:r>
          </w:p>
        </w:tc>
        <w:tc>
          <w:tcPr>
            <w:tcBorders>
              <w:top w:val="single" w:color="000000" w:sz="0" w:space="0"/>
              <w:left w:val="single" w:color="000000" w:sz="0" w:space="0"/>
              <w:bottom w:val="single" w:color="000000" w:sz="0" w:space="0"/>
            </w:tcBorders>
          </w:tcPr>
          <w:p w14:paraId="39724331">
            <w:pPr>
              <w:spacing w:after="0" w:line="240" w:lineRule="auto"/>
            </w:pPr>
            <w:r>
              <w:t>(1, 1, 1, 12)</w:t>
            </w:r>
          </w:p>
        </w:tc>
        <w:tc>
          <w:tcPr>
            <w:tcBorders>
              <w:top w:val="single" w:color="000000" w:sz="0" w:space="0"/>
              <w:left w:val="single" w:color="000000" w:sz="0" w:space="0"/>
              <w:bottom w:val="single" w:color="000000" w:sz="0" w:space="0"/>
            </w:tcBorders>
          </w:tcPr>
          <w:p w14:paraId="2ADF507C">
            <w:pPr>
              <w:spacing w:after="0" w:line="240" w:lineRule="auto"/>
            </w:pPr>
            <w:r>
              <w:rPr>
                <w:rFonts w:ascii="Georgia" w:hAnsi="Georgia" w:eastAsia="Georgia" w:cs="Georgia"/>
              </w:rPr>
              <w:t>假设12个月周期</w:t>
            </w:r>
          </w:p>
        </w:tc>
      </w:tr>
    </w:tbl>
    <w:p w14:paraId="75A1B94B">
      <w:pPr>
        <w:snapToGrid/>
        <w:spacing w:beforeAutospacing="0" w:after="0" w:afterAutospacing="0" w:line="400" w:lineRule="exact"/>
        <w:ind w:left="0" w:leftChars="0" w:right="0" w:rightChars="0" w:firstLine="480" w:firstLineChars="200"/>
        <w:jc w:val="both"/>
        <w:rPr>
          <w:rFonts w:ascii="Times New Roman" w:eastAsia="宋体"/>
          <w:sz w:val="24"/>
        </w:rPr>
      </w:pPr>
    </w:p>
    <w:p w14:paraId="5B069F52">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特征工程配置是模型性能的另一关键因素。本研究构建了26个输入特征，分为基础指标（13个）、时间特征（7个）、空间特征（2个）和工程特征（4个）四大类。基础指标包括除目标指标外的其余水质参数（如预测溶解氧时，输入特征包括pH、COD、氨氮等13个指标）。时间特征包括月份（Month）、月份的正弦和余弦编码（sin_month、cos_month，用于捕捉周期性）、年内日期（Day_of_year）及其正弦余弦编码（sin_day、cos_day）和年份（Year）。空间特征包括省份的标签编码（Province_encoded，将10个省份映射为0-9整数）和经纬度坐标。工程特征包括重金属总量（Total_Heavy_Metals_ug_L）、COD/BOD比值（COD_BOD_Ratio）、氮磷比（NP_Ratio）和地理距离（Distance_km，部分模型使用）。所有数值特征在输入模型前使用StandardScaler进行标准化（转换为均值0、标准差1的分布），标准化参数仅基于训练集拟合，避免测试集信息泄露。</w:t>
      </w:r>
    </w:p>
    <w:p w14:paraId="5E5235D3">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表13总结了特征工程的详细配置。</w:t>
      </w:r>
    </w:p>
    <w:p w14:paraId="3DCB5266">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表13 特征工程配置表</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824"/>
        <w:gridCol w:w="671"/>
        <w:gridCol w:w="4537"/>
        <w:gridCol w:w="2003"/>
        <w:gridCol w:w="935"/>
      </w:tblGrid>
      <w:tr w14:paraId="638EB213">
        <w:trPr>
          <w:cantSplit/>
          <w:tblCellSpacing w:w="0" w:type="dxa"/>
          <w:jc w:val="center"/>
        </w:trPr>
        <w:tc>
          <w:tcPr>
            <w:tcBorders>
              <w:top w:val="single" w:color="000000" w:sz="0" w:space="0"/>
              <w:bottom w:val="single" w:color="000000" w:sz="0" w:space="0"/>
            </w:tcBorders>
          </w:tcPr>
          <w:p w14:paraId="020B73F1">
            <w:pPr>
              <w:spacing w:after="0" w:line="240" w:lineRule="auto"/>
            </w:pPr>
            <w:r>
              <w:rPr>
                <w:rFonts w:ascii="Georgia" w:hAnsi="Georgia" w:eastAsia="Georgia" w:cs="Georgia"/>
              </w:rPr>
              <w:t>特征类别</w:t>
            </w:r>
          </w:p>
        </w:tc>
        <w:tc>
          <w:tcPr>
            <w:tcBorders>
              <w:top w:val="single" w:color="000000" w:sz="0" w:space="0"/>
              <w:left w:val="single" w:color="000000" w:sz="0" w:space="0"/>
              <w:bottom w:val="single" w:color="000000" w:sz="0" w:space="0"/>
            </w:tcBorders>
          </w:tcPr>
          <w:p w14:paraId="1CABFF04">
            <w:pPr>
              <w:spacing w:after="0" w:line="240" w:lineRule="auto"/>
            </w:pPr>
            <w:r>
              <w:rPr>
                <w:rFonts w:ascii="Georgia" w:hAnsi="Georgia" w:eastAsia="Georgia" w:cs="Georgia"/>
              </w:rPr>
              <w:t>数量</w:t>
            </w:r>
          </w:p>
        </w:tc>
        <w:tc>
          <w:tcPr>
            <w:tcBorders>
              <w:top w:val="single" w:color="000000" w:sz="0" w:space="0"/>
              <w:left w:val="single" w:color="000000" w:sz="0" w:space="0"/>
              <w:bottom w:val="single" w:color="000000" w:sz="0" w:space="0"/>
            </w:tcBorders>
          </w:tcPr>
          <w:p w14:paraId="39EBD13F">
            <w:pPr>
              <w:spacing w:after="0" w:line="240" w:lineRule="auto"/>
            </w:pPr>
            <w:r>
              <w:rPr>
                <w:rFonts w:ascii="Georgia" w:hAnsi="Georgia" w:eastAsia="Georgia" w:cs="Georgia"/>
              </w:rPr>
              <w:t>具体特征示例</w:t>
            </w:r>
          </w:p>
        </w:tc>
        <w:tc>
          <w:tcPr>
            <w:tcBorders>
              <w:top w:val="single" w:color="000000" w:sz="0" w:space="0"/>
              <w:left w:val="single" w:color="000000" w:sz="0" w:space="0"/>
              <w:bottom w:val="single" w:color="000000" w:sz="0" w:space="0"/>
            </w:tcBorders>
          </w:tcPr>
          <w:p w14:paraId="7FECA288">
            <w:pPr>
              <w:spacing w:after="0" w:line="240" w:lineRule="auto"/>
            </w:pPr>
            <w:r>
              <w:rPr>
                <w:rFonts w:ascii="Georgia" w:hAnsi="Georgia" w:eastAsia="Georgia" w:cs="Georgia"/>
              </w:rPr>
              <w:t>预处理方法</w:t>
            </w:r>
          </w:p>
        </w:tc>
        <w:tc>
          <w:tcPr>
            <w:tcBorders>
              <w:top w:val="single" w:color="000000" w:sz="0" w:space="0"/>
              <w:left w:val="single" w:color="000000" w:sz="0" w:space="0"/>
              <w:bottom w:val="single" w:color="000000" w:sz="0" w:space="0"/>
            </w:tcBorders>
          </w:tcPr>
          <w:p w14:paraId="141AEEB3">
            <w:pPr>
              <w:spacing w:after="0" w:line="240" w:lineRule="auto"/>
            </w:pPr>
            <w:r>
              <w:rPr>
                <w:rFonts w:ascii="Georgia" w:hAnsi="Georgia" w:eastAsia="Georgia" w:cs="Georgia"/>
              </w:rPr>
              <w:t>用途</w:t>
            </w:r>
          </w:p>
        </w:tc>
      </w:tr>
      <w:tr w14:paraId="299DABE9">
        <w:trPr>
          <w:cantSplit/>
          <w:tblCellSpacing w:w="0" w:type="dxa"/>
          <w:jc w:val="center"/>
        </w:trPr>
        <w:tc>
          <w:tcPr>
            <w:tcBorders>
              <w:top w:val="single" w:color="000000" w:sz="0" w:space="0"/>
              <w:bottom w:val="single" w:color="000000" w:sz="0" w:space="0"/>
            </w:tcBorders>
          </w:tcPr>
          <w:p w14:paraId="5704E268">
            <w:pPr>
              <w:spacing w:after="0" w:line="240" w:lineRule="auto"/>
            </w:pPr>
            <w:r>
              <w:rPr>
                <w:rFonts w:ascii="Georgia" w:hAnsi="Georgia" w:eastAsia="Georgia" w:cs="Georgia"/>
              </w:rPr>
              <w:t>基础水质指标</w:t>
            </w:r>
          </w:p>
        </w:tc>
        <w:tc>
          <w:tcPr>
            <w:tcBorders>
              <w:top w:val="single" w:color="000000" w:sz="0" w:space="0"/>
              <w:left w:val="single" w:color="000000" w:sz="0" w:space="0"/>
              <w:bottom w:val="single" w:color="000000" w:sz="0" w:space="0"/>
            </w:tcBorders>
          </w:tcPr>
          <w:p w14:paraId="14181863">
            <w:pPr>
              <w:spacing w:after="0" w:line="240" w:lineRule="auto"/>
            </w:pPr>
            <w:r>
              <w:t>13-17</w:t>
            </w:r>
          </w:p>
        </w:tc>
        <w:tc>
          <w:tcPr>
            <w:tcBorders>
              <w:top w:val="single" w:color="000000" w:sz="0" w:space="0"/>
              <w:left w:val="single" w:color="000000" w:sz="0" w:space="0"/>
              <w:bottom w:val="single" w:color="000000" w:sz="0" w:space="0"/>
            </w:tcBorders>
          </w:tcPr>
          <w:p w14:paraId="29BDEE47">
            <w:pPr>
              <w:spacing w:after="0" w:line="240" w:lineRule="auto"/>
            </w:pPr>
            <w:r>
              <w:rPr>
                <w:rFonts w:ascii="Georgia" w:hAnsi="Georgia" w:eastAsia="Georgia" w:cs="Georgia"/>
              </w:rPr>
              <w:t>Water_Temperature_C, pH, Dissolved_Oxygen_mg_L, COD_mg_L, Turbidity_NTU...</w:t>
            </w:r>
          </w:p>
        </w:tc>
        <w:tc>
          <w:tcPr>
            <w:tcBorders>
              <w:top w:val="single" w:color="000000" w:sz="0" w:space="0"/>
              <w:left w:val="single" w:color="000000" w:sz="0" w:space="0"/>
              <w:bottom w:val="single" w:color="000000" w:sz="0" w:space="0"/>
            </w:tcBorders>
          </w:tcPr>
          <w:p w14:paraId="50E0C0FF">
            <w:pPr>
              <w:spacing w:after="0" w:line="240" w:lineRule="auto"/>
            </w:pPr>
            <w:r>
              <w:rPr>
                <w:rFonts w:ascii="Georgia" w:hAnsi="Georgia" w:eastAsia="Georgia" w:cs="Georgia"/>
              </w:rPr>
              <w:t>StandardScaler标准化</w:t>
            </w:r>
          </w:p>
        </w:tc>
        <w:tc>
          <w:tcPr>
            <w:tcBorders>
              <w:top w:val="single" w:color="000000" w:sz="0" w:space="0"/>
              <w:left w:val="single" w:color="000000" w:sz="0" w:space="0"/>
              <w:bottom w:val="single" w:color="000000" w:sz="0" w:space="0"/>
            </w:tcBorders>
          </w:tcPr>
          <w:p w14:paraId="61F434D2">
            <w:pPr>
              <w:spacing w:after="0" w:line="240" w:lineRule="auto"/>
            </w:pPr>
            <w:r>
              <w:rPr>
                <w:rFonts w:ascii="Georgia" w:hAnsi="Georgia" w:eastAsia="Georgia" w:cs="Georgia"/>
              </w:rPr>
              <w:t>核心预测变量</w:t>
            </w:r>
          </w:p>
        </w:tc>
      </w:tr>
      <w:tr w14:paraId="54D289F5">
        <w:trPr>
          <w:cantSplit/>
          <w:tblCellSpacing w:w="0" w:type="dxa"/>
          <w:jc w:val="center"/>
        </w:trPr>
        <w:tc>
          <w:tcPr>
            <w:tcBorders>
              <w:top w:val="single" w:color="000000" w:sz="0" w:space="0"/>
              <w:bottom w:val="single" w:color="000000" w:sz="0" w:space="0"/>
            </w:tcBorders>
          </w:tcPr>
          <w:p w14:paraId="05C0E132">
            <w:pPr>
              <w:spacing w:after="0" w:line="240" w:lineRule="auto"/>
            </w:pPr>
            <w:r>
              <w:rPr>
                <w:rFonts w:ascii="Georgia" w:hAnsi="Georgia" w:eastAsia="Georgia" w:cs="Georgia"/>
              </w:rPr>
              <w:t>时间特征</w:t>
            </w:r>
          </w:p>
        </w:tc>
        <w:tc>
          <w:tcPr>
            <w:tcBorders>
              <w:top w:val="single" w:color="000000" w:sz="0" w:space="0"/>
              <w:left w:val="single" w:color="000000" w:sz="0" w:space="0"/>
              <w:bottom w:val="single" w:color="000000" w:sz="0" w:space="0"/>
            </w:tcBorders>
          </w:tcPr>
          <w:p w14:paraId="1EF2AF7B">
            <w:pPr>
              <w:spacing w:after="0" w:line="240" w:lineRule="auto"/>
            </w:pPr>
            <w:r>
              <w:t>7</w:t>
            </w:r>
          </w:p>
        </w:tc>
        <w:tc>
          <w:tcPr>
            <w:tcBorders>
              <w:top w:val="single" w:color="000000" w:sz="0" w:space="0"/>
              <w:left w:val="single" w:color="000000" w:sz="0" w:space="0"/>
              <w:bottom w:val="single" w:color="000000" w:sz="0" w:space="0"/>
            </w:tcBorders>
          </w:tcPr>
          <w:p w14:paraId="24064164">
            <w:pPr>
              <w:spacing w:after="0" w:line="240" w:lineRule="auto"/>
            </w:pPr>
            <w:r>
              <w:rPr>
                <w:rFonts w:ascii="Georgia" w:hAnsi="Georgia" w:eastAsia="Georgia" w:cs="Georgia"/>
              </w:rPr>
              <w:t>Month, sin_month, cos_month, Day_of_year, sin_day, cos_day, Year</w:t>
            </w:r>
          </w:p>
        </w:tc>
        <w:tc>
          <w:tcPr>
            <w:tcBorders>
              <w:top w:val="single" w:color="000000" w:sz="0" w:space="0"/>
              <w:left w:val="single" w:color="000000" w:sz="0" w:space="0"/>
              <w:bottom w:val="single" w:color="000000" w:sz="0" w:space="0"/>
            </w:tcBorders>
          </w:tcPr>
          <w:p w14:paraId="5A640F52">
            <w:pPr>
              <w:spacing w:after="0" w:line="240" w:lineRule="auto"/>
            </w:pPr>
            <w:r>
              <w:rPr>
                <w:rFonts w:ascii="Georgia" w:hAnsi="Georgia" w:eastAsia="Georgia" w:cs="Georgia"/>
              </w:rPr>
              <w:t>循环编码 + 标准化</w:t>
            </w:r>
          </w:p>
        </w:tc>
        <w:tc>
          <w:tcPr>
            <w:tcBorders>
              <w:top w:val="single" w:color="000000" w:sz="0" w:space="0"/>
              <w:left w:val="single" w:color="000000" w:sz="0" w:space="0"/>
              <w:bottom w:val="single" w:color="000000" w:sz="0" w:space="0"/>
            </w:tcBorders>
          </w:tcPr>
          <w:p w14:paraId="50446302">
            <w:pPr>
              <w:spacing w:after="0" w:line="240" w:lineRule="auto"/>
            </w:pPr>
            <w:r>
              <w:rPr>
                <w:rFonts w:ascii="Georgia" w:hAnsi="Georgia" w:eastAsia="Georgia" w:cs="Georgia"/>
              </w:rPr>
              <w:t>捕捉季节性和趋势</w:t>
            </w:r>
          </w:p>
        </w:tc>
      </w:tr>
      <w:tr w14:paraId="660BEAF7">
        <w:trPr>
          <w:cantSplit/>
          <w:tblCellSpacing w:w="0" w:type="dxa"/>
          <w:jc w:val="center"/>
        </w:trPr>
        <w:tc>
          <w:tcPr>
            <w:tcBorders>
              <w:top w:val="single" w:color="000000" w:sz="0" w:space="0"/>
              <w:bottom w:val="single" w:color="000000" w:sz="0" w:space="0"/>
            </w:tcBorders>
          </w:tcPr>
          <w:p w14:paraId="3B6A7BE7">
            <w:pPr>
              <w:spacing w:after="0" w:line="240" w:lineRule="auto"/>
            </w:pPr>
            <w:r>
              <w:rPr>
                <w:rFonts w:ascii="Georgia" w:hAnsi="Georgia" w:eastAsia="Georgia" w:cs="Georgia"/>
              </w:rPr>
              <w:t>空间特征</w:t>
            </w:r>
          </w:p>
        </w:tc>
        <w:tc>
          <w:tcPr>
            <w:tcBorders>
              <w:top w:val="single" w:color="000000" w:sz="0" w:space="0"/>
              <w:left w:val="single" w:color="000000" w:sz="0" w:space="0"/>
              <w:bottom w:val="single" w:color="000000" w:sz="0" w:space="0"/>
            </w:tcBorders>
          </w:tcPr>
          <w:p w14:paraId="1A9D01F0">
            <w:pPr>
              <w:spacing w:after="0" w:line="240" w:lineRule="auto"/>
            </w:pPr>
            <w:r>
              <w:t>2</w:t>
            </w:r>
          </w:p>
        </w:tc>
        <w:tc>
          <w:tcPr>
            <w:tcBorders>
              <w:top w:val="single" w:color="000000" w:sz="0" w:space="0"/>
              <w:left w:val="single" w:color="000000" w:sz="0" w:space="0"/>
              <w:bottom w:val="single" w:color="000000" w:sz="0" w:space="0"/>
            </w:tcBorders>
          </w:tcPr>
          <w:p w14:paraId="2DC8473C">
            <w:pPr>
              <w:spacing w:after="0" w:line="240" w:lineRule="auto"/>
            </w:pPr>
            <w:r>
              <w:rPr>
                <w:rFonts w:ascii="Georgia" w:hAnsi="Georgia" w:eastAsia="Georgia" w:cs="Georgia"/>
              </w:rPr>
              <w:t>Province_encoded, Longitude, Latitude</w:t>
            </w:r>
          </w:p>
        </w:tc>
        <w:tc>
          <w:tcPr>
            <w:tcBorders>
              <w:top w:val="single" w:color="000000" w:sz="0" w:space="0"/>
              <w:left w:val="single" w:color="000000" w:sz="0" w:space="0"/>
              <w:bottom w:val="single" w:color="000000" w:sz="0" w:space="0"/>
            </w:tcBorders>
          </w:tcPr>
          <w:p w14:paraId="5683C8D4">
            <w:pPr>
              <w:spacing w:after="0" w:line="240" w:lineRule="auto"/>
            </w:pPr>
            <w:r>
              <w:rPr>
                <w:rFonts w:ascii="Georgia" w:hAnsi="Georgia" w:eastAsia="Georgia" w:cs="Georgia"/>
              </w:rPr>
              <w:t>LabelEncoder + 标准化</w:t>
            </w:r>
          </w:p>
        </w:tc>
        <w:tc>
          <w:tcPr>
            <w:tcBorders>
              <w:top w:val="single" w:color="000000" w:sz="0" w:space="0"/>
              <w:left w:val="single" w:color="000000" w:sz="0" w:space="0"/>
              <w:bottom w:val="single" w:color="000000" w:sz="0" w:space="0"/>
            </w:tcBorders>
          </w:tcPr>
          <w:p w14:paraId="552A45F3">
            <w:pPr>
              <w:spacing w:after="0" w:line="240" w:lineRule="auto"/>
            </w:pPr>
            <w:r>
              <w:rPr>
                <w:rFonts w:ascii="Georgia" w:hAnsi="Georgia" w:eastAsia="Georgia" w:cs="Georgia"/>
              </w:rPr>
              <w:t>捕捉地理差异</w:t>
            </w:r>
          </w:p>
        </w:tc>
      </w:tr>
      <w:tr w14:paraId="3C21280C">
        <w:trPr>
          <w:cantSplit/>
          <w:tblCellSpacing w:w="0" w:type="dxa"/>
          <w:jc w:val="center"/>
        </w:trPr>
        <w:tc>
          <w:tcPr>
            <w:tcBorders>
              <w:top w:val="single" w:color="000000" w:sz="0" w:space="0"/>
              <w:bottom w:val="single" w:color="000000" w:sz="0" w:space="0"/>
            </w:tcBorders>
          </w:tcPr>
          <w:p w14:paraId="59620D07">
            <w:pPr>
              <w:spacing w:after="0" w:line="240" w:lineRule="auto"/>
            </w:pPr>
            <w:r>
              <w:rPr>
                <w:rFonts w:ascii="Georgia" w:hAnsi="Georgia" w:eastAsia="Georgia" w:cs="Georgia"/>
              </w:rPr>
              <w:t>工程特征</w:t>
            </w:r>
          </w:p>
        </w:tc>
        <w:tc>
          <w:tcPr>
            <w:tcBorders>
              <w:top w:val="single" w:color="000000" w:sz="0" w:space="0"/>
              <w:left w:val="single" w:color="000000" w:sz="0" w:space="0"/>
              <w:bottom w:val="single" w:color="000000" w:sz="0" w:space="0"/>
            </w:tcBorders>
          </w:tcPr>
          <w:p w14:paraId="7EE8115E">
            <w:pPr>
              <w:spacing w:after="0" w:line="240" w:lineRule="auto"/>
            </w:pPr>
            <w:r>
              <w:t>4</w:t>
            </w:r>
          </w:p>
        </w:tc>
        <w:tc>
          <w:tcPr>
            <w:tcBorders>
              <w:top w:val="single" w:color="000000" w:sz="0" w:space="0"/>
              <w:left w:val="single" w:color="000000" w:sz="0" w:space="0"/>
              <w:bottom w:val="single" w:color="000000" w:sz="0" w:space="0"/>
            </w:tcBorders>
          </w:tcPr>
          <w:p w14:paraId="638D04CC">
            <w:pPr>
              <w:spacing w:after="0" w:line="240" w:lineRule="auto"/>
            </w:pPr>
            <w:r>
              <w:rPr>
                <w:rFonts w:ascii="Georgia" w:hAnsi="Georgia" w:eastAsia="Georgia" w:cs="Georgia"/>
              </w:rPr>
              <w:t>Total_Heavy_Metals_ug_L, COD_BOD_Ratio, NP_Ratio, Distance_km</w:t>
            </w:r>
          </w:p>
        </w:tc>
        <w:tc>
          <w:tcPr>
            <w:tcBorders>
              <w:top w:val="single" w:color="000000" w:sz="0" w:space="0"/>
              <w:left w:val="single" w:color="000000" w:sz="0" w:space="0"/>
              <w:bottom w:val="single" w:color="000000" w:sz="0" w:space="0"/>
            </w:tcBorders>
          </w:tcPr>
          <w:p w14:paraId="32530664">
            <w:pPr>
              <w:spacing w:after="0" w:line="240" w:lineRule="auto"/>
            </w:pPr>
            <w:r>
              <w:rPr>
                <w:rFonts w:ascii="Georgia" w:hAnsi="Georgia" w:eastAsia="Georgia" w:cs="Georgia"/>
              </w:rPr>
              <w:t>StandardScaler标准化</w:t>
            </w:r>
          </w:p>
        </w:tc>
        <w:tc>
          <w:tcPr>
            <w:tcBorders>
              <w:top w:val="single" w:color="000000" w:sz="0" w:space="0"/>
              <w:left w:val="single" w:color="000000" w:sz="0" w:space="0"/>
              <w:bottom w:val="single" w:color="000000" w:sz="0" w:space="0"/>
            </w:tcBorders>
          </w:tcPr>
          <w:p w14:paraId="5978EB08">
            <w:pPr>
              <w:spacing w:after="0" w:line="240" w:lineRule="auto"/>
            </w:pPr>
            <w:r>
              <w:rPr>
                <w:rFonts w:ascii="Georgia" w:hAnsi="Georgia" w:eastAsia="Georgia" w:cs="Georgia"/>
              </w:rPr>
              <w:t>增强非线性关系</w:t>
            </w:r>
          </w:p>
        </w:tc>
      </w:tr>
      <w:tr w14:paraId="389CBF12">
        <w:trPr>
          <w:cantSplit/>
          <w:tblCellSpacing w:w="0" w:type="dxa"/>
          <w:jc w:val="center"/>
        </w:trPr>
        <w:tc>
          <w:tcPr>
            <w:tcBorders>
              <w:top w:val="single" w:color="000000" w:sz="0" w:space="0"/>
              <w:bottom w:val="single" w:color="000000" w:sz="0" w:space="0"/>
            </w:tcBorders>
          </w:tcPr>
          <w:p w14:paraId="67DC75C4">
            <w:pPr>
              <w:spacing w:after="0" w:line="240" w:lineRule="auto"/>
            </w:pPr>
            <w:r>
              <w:rPr>
                <w:b/>
              </w:rPr>
              <w:t>总计</w:t>
            </w:r>
          </w:p>
        </w:tc>
        <w:tc>
          <w:tcPr>
            <w:tcBorders>
              <w:top w:val="single" w:color="000000" w:sz="0" w:space="0"/>
              <w:left w:val="single" w:color="000000" w:sz="0" w:space="0"/>
              <w:bottom w:val="single" w:color="000000" w:sz="0" w:space="0"/>
            </w:tcBorders>
          </w:tcPr>
          <w:p w14:paraId="19E374EC">
            <w:pPr>
              <w:spacing w:after="0" w:line="240" w:lineRule="auto"/>
            </w:pPr>
            <w:r>
              <w:rPr>
                <w:b/>
              </w:rPr>
              <w:t>26</w:t>
            </w:r>
          </w:p>
        </w:tc>
        <w:tc>
          <w:tcPr>
            <w:tcBorders>
              <w:top w:val="single" w:color="000000" w:sz="0" w:space="0"/>
              <w:left w:val="single" w:color="000000" w:sz="0" w:space="0"/>
              <w:bottom w:val="single" w:color="000000" w:sz="0" w:space="0"/>
            </w:tcBorders>
          </w:tcPr>
          <w:p w14:paraId="0AC572F2">
            <w:pPr>
              <w:spacing w:after="0" w:line="240" w:lineRule="auto"/>
            </w:pPr>
            <w:r>
              <w:rPr>
                <w:rFonts w:ascii="Georgia" w:hAnsi="Georgia" w:eastAsia="Georgia" w:cs="Georgia"/>
              </w:rPr>
              <w:t>—</w:t>
            </w:r>
          </w:p>
        </w:tc>
        <w:tc>
          <w:tcPr>
            <w:tcBorders>
              <w:top w:val="single" w:color="000000" w:sz="0" w:space="0"/>
              <w:left w:val="single" w:color="000000" w:sz="0" w:space="0"/>
              <w:bottom w:val="single" w:color="000000" w:sz="0" w:space="0"/>
            </w:tcBorders>
          </w:tcPr>
          <w:p w14:paraId="72F7DF8A">
            <w:pPr>
              <w:spacing w:after="0" w:line="240" w:lineRule="auto"/>
            </w:pPr>
            <w:r>
              <w:rPr>
                <w:rFonts w:ascii="Georgia" w:hAnsi="Georgia" w:eastAsia="Georgia" w:cs="Georgia"/>
              </w:rPr>
              <w:t>—</w:t>
            </w:r>
          </w:p>
        </w:tc>
        <w:tc>
          <w:tcPr>
            <w:tcBorders>
              <w:top w:val="single" w:color="000000" w:sz="0" w:space="0"/>
              <w:left w:val="single" w:color="000000" w:sz="0" w:space="0"/>
              <w:bottom w:val="single" w:color="000000" w:sz="0" w:space="0"/>
            </w:tcBorders>
          </w:tcPr>
          <w:p w14:paraId="7D7217FB">
            <w:pPr>
              <w:spacing w:after="0" w:line="240" w:lineRule="auto"/>
            </w:pPr>
            <w:r>
              <w:rPr>
                <w:rFonts w:ascii="Georgia" w:hAnsi="Georgia" w:eastAsia="Georgia" w:cs="Georgia"/>
              </w:rPr>
              <w:t>—</w:t>
            </w:r>
          </w:p>
        </w:tc>
      </w:tr>
    </w:tbl>
    <w:p w14:paraId="204A5481">
      <w:pPr>
        <w:snapToGrid/>
        <w:spacing w:beforeAutospacing="0" w:after="0" w:afterAutospacing="0" w:line="400" w:lineRule="exact"/>
        <w:ind w:left="0" w:leftChars="0" w:right="0" w:rightChars="0" w:firstLine="480" w:firstLineChars="200"/>
        <w:jc w:val="both"/>
        <w:rPr>
          <w:rFonts w:ascii="Times New Roman" w:eastAsia="宋体"/>
          <w:sz w:val="24"/>
        </w:rPr>
      </w:pPr>
    </w:p>
    <w:p w14:paraId="0082142A">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为了处理分类任务中的类别不均衡问题（"差"和"极差"两类合计仅占7%），本研究在训练XGBoost、RandomForest和LightGBM时设置了类别权重（class_weight）。权重计算公式为</w:t>
      </w:r>
    </w:p>
    <w:p w14:paraId="306B945F">
      <w:pPr>
        <w:snapToGrid/>
        <w:spacing w:beforeAutospacing="0" w:after="0" w:afterAutospacing="0" w:line="400" w:lineRule="exact"/>
        <w:ind w:left="0" w:leftChars="0" w:right="0" w:rightChars="0" w:firstLine="480" w:firstLineChars="200"/>
        <w:jc w:val="both"/>
        <w:rPr>
          <w:rFonts w:ascii="Times New Roman" w:eastAsia="宋体"/>
          <w:sz w:val="24"/>
        </w:rPr>
      </w:pPr>
      <m:oMathPara>
        <m:oMath>
          <m:sSub>
            <m:sSubPr>
              <m:ctrlPr>
                <w:rPr>
                  <w:rFonts w:ascii="DejaVu Math TeX Gyre" w:hAnsi="DejaVu Math TeX Gyre" w:eastAsia="宋体"/>
                  <w:sz w:val="24"/>
                </w:rPr>
              </m:ctrlPr>
            </m:sSubPr>
            <m:e>
              <m:r>
                <m:rPr/>
                <w:rPr>
                  <w:rFonts w:ascii="Times New Roman" w:hAnsi="Times New Roman" w:eastAsia="宋体"/>
                  <w:sz w:val="24"/>
                </w:rPr>
                <m:t>w</m:t>
              </m:r>
              <m:ctrlPr>
                <w:rPr>
                  <w:rFonts w:ascii="DejaVu Math TeX Gyre" w:hAnsi="DejaVu Math TeX Gyre" w:eastAsia="宋体"/>
                  <w:sz w:val="24"/>
                </w:rPr>
              </m:ctrlPr>
            </m:e>
            <m:sub>
              <m:r>
                <m:rPr/>
                <w:rPr>
                  <w:rFonts w:ascii="Times New Roman" w:hAnsi="Times New Roman" w:eastAsia="宋体"/>
                  <w:sz w:val="24"/>
                </w:rPr>
                <m:t>i</m:t>
              </m:r>
              <m:ctrlPr>
                <w:rPr>
                  <w:rFonts w:ascii="DejaVu Math TeX Gyre" w:hAnsi="DejaVu Math TeX Gyre" w:eastAsia="宋体"/>
                  <w:sz w:val="24"/>
                </w:rPr>
              </m:ctrlPr>
            </m:sub>
          </m:sSub>
          <m:r>
            <m:rPr>
              <m:sty m:val="p"/>
            </m:rPr>
            <w:rPr>
              <w:rFonts w:ascii="Times New Roman" w:hAnsi="Times New Roman" w:eastAsia="宋体"/>
              <w:sz w:val="24"/>
            </w:rPr>
            <m:t>=</m:t>
          </m:r>
          <m:f>
            <m:fPr>
              <m:ctrlPr>
                <w:rPr>
                  <w:rFonts w:ascii="DejaVu Math TeX Gyre" w:hAnsi="DejaVu Math TeX Gyre" w:eastAsia="宋体"/>
                  <w:sz w:val="24"/>
                </w:rPr>
              </m:ctrlPr>
            </m:fPr>
            <m:num>
              <m:r>
                <m:rPr/>
                <w:rPr>
                  <w:rFonts w:ascii="Times New Roman" w:hAnsi="Times New Roman" w:eastAsia="宋体"/>
                  <w:sz w:val="24"/>
                </w:rPr>
                <m:t>N</m:t>
              </m:r>
              <m:ctrlPr>
                <w:rPr>
                  <w:rFonts w:ascii="DejaVu Math TeX Gyre" w:hAnsi="DejaVu Math TeX Gyre" w:eastAsia="宋体"/>
                  <w:sz w:val="24"/>
                </w:rPr>
              </m:ctrlPr>
            </m:num>
            <m:den>
              <m:r>
                <m:rPr/>
                <w:rPr>
                  <w:rFonts w:ascii="Times New Roman" w:hAnsi="Times New Roman" w:eastAsia="宋体"/>
                  <w:sz w:val="24"/>
                </w:rPr>
                <m:t>K</m:t>
              </m:r>
              <m:r>
                <m:rPr>
                  <m:sty m:val="p"/>
                </m:rPr>
                <w:rPr>
                  <w:rFonts w:ascii="Times New Roman" w:hAnsi="Times New Roman" w:eastAsia="宋体"/>
                  <w:sz w:val="24"/>
                </w:rPr>
                <m:t>×</m:t>
              </m:r>
              <m:sSub>
                <m:sSubPr>
                  <m:ctrlPr>
                    <w:rPr>
                      <w:rFonts w:ascii="DejaVu Math TeX Gyre" w:hAnsi="DejaVu Math TeX Gyre" w:eastAsia="宋体"/>
                      <w:sz w:val="24"/>
                    </w:rPr>
                  </m:ctrlPr>
                </m:sSubPr>
                <m:e>
                  <m:r>
                    <m:rPr/>
                    <w:rPr>
                      <w:rFonts w:ascii="Times New Roman" w:hAnsi="Times New Roman" w:eastAsia="宋体"/>
                      <w:sz w:val="24"/>
                    </w:rPr>
                    <m:t>N</m:t>
                  </m:r>
                  <m:ctrlPr>
                    <w:rPr>
                      <w:rFonts w:ascii="DejaVu Math TeX Gyre" w:hAnsi="DejaVu Math TeX Gyre" w:eastAsia="宋体"/>
                      <w:sz w:val="24"/>
                    </w:rPr>
                  </m:ctrlPr>
                </m:e>
                <m:sub>
                  <m:r>
                    <m:rPr/>
                    <w:rPr>
                      <w:rFonts w:ascii="Times New Roman" w:hAnsi="Times New Roman" w:eastAsia="宋体"/>
                      <w:sz w:val="24"/>
                    </w:rPr>
                    <m:t>i</m:t>
                  </m:r>
                  <m:ctrlPr>
                    <w:rPr>
                      <w:rFonts w:ascii="DejaVu Math TeX Gyre" w:hAnsi="DejaVu Math TeX Gyre" w:eastAsia="宋体"/>
                      <w:sz w:val="24"/>
                    </w:rPr>
                  </m:ctrlPr>
                </m:sub>
              </m:sSub>
              <m:ctrlPr>
                <w:rPr>
                  <w:rFonts w:ascii="DejaVu Math TeX Gyre" w:hAnsi="DejaVu Math TeX Gyre" w:eastAsia="宋体"/>
                  <w:sz w:val="24"/>
                </w:rPr>
              </m:ctrlPr>
            </m:den>
          </m:f>
        </m:oMath>
      </m:oMathPara>
    </w:p>
    <w:p w14:paraId="55518101">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其中</w:t>
      </w:r>
      <m:oMath>
        <m:r>
          <m:rPr/>
          <w:rPr>
            <w:rFonts w:ascii="Times New Roman" w:hAnsi="Times New Roman" w:eastAsia="宋体"/>
            <w:sz w:val="24"/>
          </w:rPr>
          <m:t>N</m:t>
        </m:r>
      </m:oMath>
      <w:r>
        <w:rPr>
          <w:rFonts w:ascii="Times New Roman" w:hAnsi="Georgia" w:eastAsia="宋体" w:cs="Georgia"/>
          <w:sz w:val="24"/>
        </w:rPr>
        <w:t>为总样本数，</w:t>
      </w:r>
      <m:oMath>
        <m:r>
          <m:rPr/>
          <w:rPr>
            <w:rFonts w:ascii="Times New Roman" w:hAnsi="Times New Roman" w:eastAsia="宋体"/>
            <w:sz w:val="24"/>
          </w:rPr>
          <m:t>K</m:t>
        </m:r>
      </m:oMath>
      <w:r>
        <w:rPr>
          <w:rFonts w:ascii="Times New Roman" w:hAnsi="Georgia" w:eastAsia="宋体" w:cs="Georgia"/>
          <w:sz w:val="24"/>
        </w:rPr>
        <w:t>为类别数（</w:t>
      </w:r>
      <m:oMath>
        <m:r>
          <m:rPr/>
          <w:rPr>
            <w:rFonts w:ascii="Times New Roman" w:hAnsi="Times New Roman" w:eastAsia="宋体"/>
            <w:sz w:val="24"/>
          </w:rPr>
          <m:t>K</m:t>
        </m:r>
        <m:r>
          <m:rPr>
            <m:sty m:val="p"/>
          </m:rPr>
          <w:rPr>
            <w:rFonts w:ascii="Times New Roman" w:hAnsi="Times New Roman" w:eastAsia="宋体"/>
            <w:sz w:val="24"/>
          </w:rPr>
          <m:t>=5</m:t>
        </m:r>
      </m:oMath>
      <w:r>
        <w:rPr>
          <w:rFonts w:ascii="Times New Roman" w:hAnsi="Georgia" w:eastAsia="宋体" w:cs="Georgia"/>
          <w:sz w:val="24"/>
        </w:rPr>
        <w:t>），</w:t>
      </w:r>
      <m:oMath>
        <m:sSub>
          <m:sSubPr>
            <m:ctrlPr>
              <w:rPr>
                <w:rFonts w:ascii="DejaVu Math TeX Gyre" w:hAnsi="DejaVu Math TeX Gyre" w:eastAsia="宋体"/>
                <w:sz w:val="24"/>
              </w:rPr>
            </m:ctrlPr>
          </m:sSubPr>
          <m:e>
            <m:r>
              <m:rPr/>
              <w:rPr>
                <w:rFonts w:ascii="Times New Roman" w:hAnsi="Times New Roman" w:eastAsia="宋体"/>
                <w:sz w:val="24"/>
              </w:rPr>
              <m:t>N</m:t>
            </m:r>
            <m:ctrlPr>
              <w:rPr>
                <w:rFonts w:ascii="DejaVu Math TeX Gyre" w:hAnsi="DejaVu Math TeX Gyre" w:eastAsia="宋体"/>
                <w:sz w:val="24"/>
              </w:rPr>
            </m:ctrlPr>
          </m:e>
          <m:sub>
            <m:r>
              <m:rPr/>
              <w:rPr>
                <w:rFonts w:ascii="Times New Roman" w:hAnsi="Times New Roman" w:eastAsia="宋体"/>
                <w:sz w:val="24"/>
              </w:rPr>
              <m:t>i</m:t>
            </m:r>
            <m:ctrlPr>
              <w:rPr>
                <w:rFonts w:ascii="DejaVu Math TeX Gyre" w:hAnsi="DejaVu Math TeX Gyre" w:eastAsia="宋体"/>
                <w:sz w:val="24"/>
              </w:rPr>
            </m:ctrlPr>
          </m:sub>
        </m:sSub>
      </m:oMath>
      <w:r>
        <w:rPr>
          <w:rFonts w:ascii="Times New Roman" w:hAnsi="Georgia" w:eastAsia="宋体" w:cs="Georgia"/>
          <w:sz w:val="24"/>
        </w:rPr>
        <w:t>为第</w:t>
      </w:r>
      <m:oMath>
        <m:r>
          <m:rPr/>
          <w:rPr>
            <w:rFonts w:ascii="Times New Roman" w:hAnsi="Times New Roman" w:eastAsia="宋体"/>
            <w:sz w:val="24"/>
          </w:rPr>
          <m:t>i</m:t>
        </m:r>
      </m:oMath>
      <w:r>
        <w:rPr>
          <w:rFonts w:ascii="Times New Roman" w:hAnsi="Georgia" w:eastAsia="宋体" w:cs="Georgia"/>
          <w:sz w:val="24"/>
        </w:rPr>
        <w:t>类的样本数。</w:t>
      </w:r>
    </w:p>
    <w:p w14:paraId="5C58F7C9">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例如，"极差"类样本数</w:t>
      </w:r>
      <m:oMath>
        <m:sSub>
          <m:sSubPr>
            <m:ctrlPr>
              <w:rPr>
                <w:rFonts w:ascii="DejaVu Math TeX Gyre" w:hAnsi="DejaVu Math TeX Gyre" w:eastAsia="宋体"/>
                <w:sz w:val="24"/>
              </w:rPr>
            </m:ctrlPr>
          </m:sSubPr>
          <m:e>
            <m:r>
              <m:rPr/>
              <w:rPr>
                <w:rFonts w:ascii="Times New Roman" w:hAnsi="Times New Roman" w:eastAsia="宋体"/>
                <w:sz w:val="24"/>
              </w:rPr>
              <m:t>N</m:t>
            </m:r>
            <m:ctrlPr>
              <w:rPr>
                <w:rFonts w:ascii="DejaVu Math TeX Gyre" w:hAnsi="DejaVu Math TeX Gyre" w:eastAsia="宋体"/>
                <w:sz w:val="24"/>
              </w:rPr>
            </m:ctrlPr>
          </m:e>
          <m:sub>
            <m:r>
              <m:rPr>
                <m:nor/>
                <m:sty m:val="p"/>
              </m:rPr>
              <w:rPr>
                <w:rFonts w:ascii="Times New Roman" w:hAnsi="Times New Roman" w:eastAsia="宋体"/>
                <w:b w:val="0"/>
                <w:i w:val="0"/>
                <w:sz w:val="24"/>
              </w:rPr>
              <m:t>极差</m:t>
            </m:r>
            <m:ctrlPr>
              <w:rPr>
                <w:rFonts w:ascii="DejaVu Math TeX Gyre" w:hAnsi="DejaVu Math TeX Gyre" w:eastAsia="宋体"/>
                <w:sz w:val="24"/>
              </w:rPr>
            </m:ctrlPr>
          </m:sub>
        </m:sSub>
        <m:r>
          <m:rPr>
            <m:sty m:val="p"/>
          </m:rPr>
          <w:rPr>
            <w:rFonts w:ascii="Times New Roman" w:hAnsi="Times New Roman" w:eastAsia="宋体"/>
            <w:sz w:val="24"/>
          </w:rPr>
          <m:t>=549</m:t>
        </m:r>
      </m:oMath>
      <w:r>
        <w:rPr>
          <w:rFonts w:ascii="Times New Roman" w:hAnsi="Georgia" w:eastAsia="宋体" w:cs="Georgia"/>
          <w:sz w:val="24"/>
        </w:rPr>
        <w:t>，因此权重为</w:t>
      </w:r>
    </w:p>
    <w:p w14:paraId="392AB2A6">
      <w:pPr>
        <w:snapToGrid/>
        <w:spacing w:beforeAutospacing="0" w:after="0" w:afterAutospacing="0" w:line="400" w:lineRule="exact"/>
        <w:ind w:left="0" w:leftChars="0" w:right="0" w:rightChars="0" w:firstLine="480" w:firstLineChars="200"/>
        <w:jc w:val="both"/>
        <w:rPr>
          <w:rFonts w:ascii="Times New Roman" w:eastAsia="宋体"/>
          <w:sz w:val="24"/>
        </w:rPr>
      </w:pPr>
      <m:oMathPara>
        <m:oMath>
          <m:sSub>
            <m:sSubPr>
              <m:ctrlPr>
                <w:rPr>
                  <w:rFonts w:ascii="DejaVu Math TeX Gyre" w:hAnsi="DejaVu Math TeX Gyre" w:eastAsia="宋体"/>
                  <w:sz w:val="24"/>
                </w:rPr>
              </m:ctrlPr>
            </m:sSubPr>
            <m:e>
              <m:r>
                <m:rPr/>
                <w:rPr>
                  <w:rFonts w:ascii="Times New Roman" w:hAnsi="Times New Roman" w:eastAsia="宋体"/>
                  <w:sz w:val="24"/>
                </w:rPr>
                <m:t>w</m:t>
              </m:r>
              <m:ctrlPr>
                <w:rPr>
                  <w:rFonts w:ascii="DejaVu Math TeX Gyre" w:hAnsi="DejaVu Math TeX Gyre" w:eastAsia="宋体"/>
                  <w:sz w:val="24"/>
                </w:rPr>
              </m:ctrlPr>
            </m:e>
            <m:sub>
              <m:r>
                <m:rPr>
                  <m:nor/>
                  <m:sty m:val="p"/>
                </m:rPr>
                <w:rPr>
                  <w:rFonts w:ascii="Times New Roman" w:hAnsi="Times New Roman" w:eastAsia="宋体"/>
                  <w:b w:val="0"/>
                  <w:i w:val="0"/>
                  <w:sz w:val="24"/>
                </w:rPr>
                <m:t>极差</m:t>
              </m:r>
              <m:ctrlPr>
                <w:rPr>
                  <w:rFonts w:ascii="DejaVu Math TeX Gyre" w:hAnsi="DejaVu Math TeX Gyre" w:eastAsia="宋体"/>
                  <w:sz w:val="24"/>
                </w:rPr>
              </m:ctrlPr>
            </m:sub>
          </m:sSub>
          <m:r>
            <m:rPr>
              <m:sty m:val="p"/>
            </m:rPr>
            <w:rPr>
              <w:rFonts w:ascii="Times New Roman" w:hAnsi="Times New Roman" w:eastAsia="宋体"/>
              <w:sz w:val="24"/>
            </w:rPr>
            <m:t>=</m:t>
          </m:r>
          <m:f>
            <m:fPr>
              <m:ctrlPr>
                <w:rPr>
                  <w:rFonts w:ascii="DejaVu Math TeX Gyre" w:hAnsi="DejaVu Math TeX Gyre" w:eastAsia="宋体"/>
                  <w:sz w:val="24"/>
                </w:rPr>
              </m:ctrlPr>
            </m:fPr>
            <m:num>
              <m:r>
                <m:rPr>
                  <m:sty m:val="p"/>
                </m:rPr>
                <w:rPr>
                  <w:rFonts w:ascii="Times New Roman" w:hAnsi="Times New Roman" w:eastAsia="宋体"/>
                  <w:sz w:val="24"/>
                </w:rPr>
                <m:t>15524</m:t>
              </m:r>
              <m:ctrlPr>
                <w:rPr>
                  <w:rFonts w:ascii="DejaVu Math TeX Gyre" w:hAnsi="DejaVu Math TeX Gyre" w:eastAsia="宋体"/>
                  <w:sz w:val="24"/>
                </w:rPr>
              </m:ctrlPr>
            </m:num>
            <m:den>
              <m:r>
                <m:rPr>
                  <m:sty m:val="p"/>
                </m:rPr>
                <w:rPr>
                  <w:rFonts w:ascii="Times New Roman" w:hAnsi="Times New Roman" w:eastAsia="宋体"/>
                  <w:sz w:val="24"/>
                </w:rPr>
                <m:t>5×549</m:t>
              </m:r>
              <m:ctrlPr>
                <w:rPr>
                  <w:rFonts w:ascii="DejaVu Math TeX Gyre" w:hAnsi="DejaVu Math TeX Gyre" w:eastAsia="宋体"/>
                  <w:sz w:val="24"/>
                </w:rPr>
              </m:ctrlPr>
            </m:den>
          </m:f>
          <m:r>
            <m:rPr>
              <m:sty m:val="p"/>
            </m:rPr>
            <w:rPr>
              <w:rFonts w:ascii="Times New Roman" w:hAnsi="Times New Roman" w:eastAsia="宋体"/>
              <w:sz w:val="24"/>
            </w:rPr>
            <m:t>≈5.65</m:t>
          </m:r>
        </m:oMath>
      </m:oMathPara>
    </w:p>
    <w:p w14:paraId="15CC75C4">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而"良"类样本数</w:t>
      </w:r>
      <m:oMath>
        <m:sSub>
          <m:sSubPr>
            <m:ctrlPr>
              <w:rPr>
                <w:rFonts w:ascii="DejaVu Math TeX Gyre" w:hAnsi="DejaVu Math TeX Gyre" w:eastAsia="宋体"/>
                <w:sz w:val="24"/>
              </w:rPr>
            </m:ctrlPr>
          </m:sSubPr>
          <m:e>
            <m:r>
              <m:rPr/>
              <w:rPr>
                <w:rFonts w:ascii="Times New Roman" w:hAnsi="Times New Roman" w:eastAsia="宋体"/>
                <w:sz w:val="24"/>
              </w:rPr>
              <m:t>N</m:t>
            </m:r>
            <m:ctrlPr>
              <w:rPr>
                <w:rFonts w:ascii="DejaVu Math TeX Gyre" w:hAnsi="DejaVu Math TeX Gyre" w:eastAsia="宋体"/>
                <w:sz w:val="24"/>
              </w:rPr>
            </m:ctrlPr>
          </m:e>
          <m:sub>
            <m:r>
              <m:rPr>
                <m:nor/>
                <m:sty m:val="p"/>
              </m:rPr>
              <w:rPr>
                <w:rFonts w:ascii="Times New Roman" w:hAnsi="Times New Roman" w:eastAsia="宋体"/>
                <w:b w:val="0"/>
                <w:i w:val="0"/>
                <w:sz w:val="24"/>
              </w:rPr>
              <m:t>良</m:t>
            </m:r>
            <m:ctrlPr>
              <w:rPr>
                <w:rFonts w:ascii="DejaVu Math TeX Gyre" w:hAnsi="DejaVu Math TeX Gyre" w:eastAsia="宋体"/>
                <w:sz w:val="24"/>
              </w:rPr>
            </m:ctrlPr>
          </m:sub>
        </m:sSub>
        <m:r>
          <m:rPr>
            <m:sty m:val="p"/>
          </m:rPr>
          <w:rPr>
            <w:rFonts w:ascii="Times New Roman" w:hAnsi="Times New Roman" w:eastAsia="宋体"/>
            <w:sz w:val="24"/>
          </w:rPr>
          <m:t>=8280</m:t>
        </m:r>
      </m:oMath>
      <w:r>
        <w:rPr>
          <w:rFonts w:ascii="Times New Roman" w:hAnsi="Georgia" w:eastAsia="宋体" w:cs="Georgia"/>
          <w:sz w:val="24"/>
        </w:rPr>
        <w:t>，权重为</w:t>
      </w:r>
    </w:p>
    <w:p w14:paraId="1772A5D0">
      <w:pPr>
        <w:snapToGrid/>
        <w:spacing w:beforeAutospacing="0" w:after="0" w:afterAutospacing="0" w:line="400" w:lineRule="exact"/>
        <w:ind w:left="0" w:leftChars="0" w:right="0" w:rightChars="0" w:firstLine="480" w:firstLineChars="200"/>
        <w:jc w:val="both"/>
        <w:rPr>
          <w:rFonts w:ascii="Times New Roman" w:eastAsia="宋体"/>
          <w:sz w:val="24"/>
        </w:rPr>
      </w:pPr>
      <m:oMathPara>
        <m:oMath>
          <m:sSub>
            <m:sSubPr>
              <m:ctrlPr>
                <w:rPr>
                  <w:rFonts w:ascii="DejaVu Math TeX Gyre" w:hAnsi="DejaVu Math TeX Gyre" w:eastAsia="宋体"/>
                  <w:sz w:val="24"/>
                </w:rPr>
              </m:ctrlPr>
            </m:sSubPr>
            <m:e>
              <m:r>
                <m:rPr/>
                <w:rPr>
                  <w:rFonts w:ascii="Times New Roman" w:hAnsi="Times New Roman" w:eastAsia="宋体"/>
                  <w:sz w:val="24"/>
                </w:rPr>
                <m:t>w</m:t>
              </m:r>
              <m:ctrlPr>
                <w:rPr>
                  <w:rFonts w:ascii="DejaVu Math TeX Gyre" w:hAnsi="DejaVu Math TeX Gyre" w:eastAsia="宋体"/>
                  <w:sz w:val="24"/>
                </w:rPr>
              </m:ctrlPr>
            </m:e>
            <m:sub>
              <m:r>
                <m:rPr>
                  <m:nor/>
                  <m:sty m:val="p"/>
                </m:rPr>
                <w:rPr>
                  <w:rFonts w:ascii="Times New Roman" w:hAnsi="Times New Roman" w:eastAsia="宋体"/>
                  <w:b w:val="0"/>
                  <w:i w:val="0"/>
                  <w:sz w:val="24"/>
                </w:rPr>
                <m:t>良</m:t>
              </m:r>
              <m:ctrlPr>
                <w:rPr>
                  <w:rFonts w:ascii="DejaVu Math TeX Gyre" w:hAnsi="DejaVu Math TeX Gyre" w:eastAsia="宋体"/>
                  <w:sz w:val="24"/>
                </w:rPr>
              </m:ctrlPr>
            </m:sub>
          </m:sSub>
          <m:r>
            <m:rPr>
              <m:sty m:val="p"/>
            </m:rPr>
            <w:rPr>
              <w:rFonts w:ascii="Times New Roman" w:hAnsi="Times New Roman" w:eastAsia="宋体"/>
              <w:sz w:val="24"/>
            </w:rPr>
            <m:t>=</m:t>
          </m:r>
          <m:f>
            <m:fPr>
              <m:ctrlPr>
                <w:rPr>
                  <w:rFonts w:ascii="DejaVu Math TeX Gyre" w:hAnsi="DejaVu Math TeX Gyre" w:eastAsia="宋体"/>
                  <w:sz w:val="24"/>
                </w:rPr>
              </m:ctrlPr>
            </m:fPr>
            <m:num>
              <m:r>
                <m:rPr>
                  <m:sty m:val="p"/>
                </m:rPr>
                <w:rPr>
                  <w:rFonts w:ascii="Times New Roman" w:hAnsi="Times New Roman" w:eastAsia="宋体"/>
                  <w:sz w:val="24"/>
                </w:rPr>
                <m:t>15524</m:t>
              </m:r>
              <m:ctrlPr>
                <w:rPr>
                  <w:rFonts w:ascii="DejaVu Math TeX Gyre" w:hAnsi="DejaVu Math TeX Gyre" w:eastAsia="宋体"/>
                  <w:sz w:val="24"/>
                </w:rPr>
              </m:ctrlPr>
            </m:num>
            <m:den>
              <m:r>
                <m:rPr>
                  <m:sty m:val="p"/>
                </m:rPr>
                <w:rPr>
                  <w:rFonts w:ascii="Times New Roman" w:hAnsi="Times New Roman" w:eastAsia="宋体"/>
                  <w:sz w:val="24"/>
                </w:rPr>
                <m:t>5×8280</m:t>
              </m:r>
              <m:ctrlPr>
                <w:rPr>
                  <w:rFonts w:ascii="DejaVu Math TeX Gyre" w:hAnsi="DejaVu Math TeX Gyre" w:eastAsia="宋体"/>
                  <w:sz w:val="24"/>
                </w:rPr>
              </m:ctrlPr>
            </m:den>
          </m:f>
          <m:r>
            <m:rPr>
              <m:sty m:val="p"/>
            </m:rPr>
            <w:rPr>
              <w:rFonts w:ascii="Times New Roman" w:hAnsi="Times New Roman" w:eastAsia="宋体"/>
              <w:sz w:val="24"/>
            </w:rPr>
            <m:t>≈0.38</m:t>
          </m:r>
        </m:oMath>
      </m:oMathPara>
    </w:p>
    <w:p w14:paraId="0B9EEE7E">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极差"类权重是"良"类权重的约15倍。这一权重机制使得模型在训练过程中对少数类的误分类施加更高的惩罚，从而提高对重污染事件的识别灵敏度。实验结果显示，类别权重调整后，"极差"类的召回率从未加权时的85%提升至100%（见5.2节），验证了该策略的有效性。</w:t>
      </w:r>
    </w:p>
    <w:p w14:paraId="7E9F6E18">
      <w:pPr>
        <w:rPr>
          <w:rFonts w:ascii="Times New Roman" w:eastAsia="宋体"/>
          <w:sz w:val="24"/>
        </w:rPr>
      </w:pPr>
      <w:r>
        <w:rPr>
          <w:rFonts w:ascii="Times New Roman" w:eastAsia="宋体"/>
          <w:sz w:val="24"/>
        </w:rPr>
        <w:pict>
          <v:rect id="_x0000_i1032" o:spt="1" style="height:0.05pt;width:432pt;" coordsize="21600,21600" o:hr="t" o:hrstd="t" o:hralign="center">
            <v:path/>
            <v:fill focussize="0,0"/>
            <v:stroke/>
            <v:imagedata o:title=""/>
            <o:lock v:ext="edit"/>
            <w10:wrap type="none"/>
            <w10:anchorlock/>
          </v:rect>
        </w:pict>
      </w:r>
    </w:p>
    <w:p w14:paraId="0E703EF3">
      <w:pPr>
        <w:snapToGrid/>
        <w:spacing w:before="480" w:beforeAutospacing="0" w:after="360" w:afterAutospacing="0" w:line="240" w:lineRule="auto"/>
        <w:ind w:left="0" w:leftChars="0" w:right="0" w:rightChars="0" w:firstLine="0" w:firstLineChars="0"/>
        <w:jc w:val="center"/>
        <w:outlineLvl w:val="0"/>
        <w:rPr>
          <w:rFonts w:ascii="黑体" w:eastAsia="黑体"/>
          <w:b/>
          <w:sz w:val="32"/>
        </w:rPr>
      </w:pPr>
      <w:bookmarkStart w:id="73" w:name="第_5_章_实验结果"/>
      <w:bookmarkStart w:id="74" w:name="_Toc1602098953"/>
      <w:r>
        <w:rPr>
          <w:rFonts w:ascii="黑体" w:hAnsi="Georgia" w:eastAsia="黑体" w:cs="Georgia"/>
          <w:b/>
          <w:sz w:val="32"/>
        </w:rPr>
        <w:t>第 5 章 实验结果</w:t>
      </w:r>
      <w:bookmarkEnd w:id="73"/>
      <w:bookmarkEnd w:id="74"/>
    </w:p>
    <w:p w14:paraId="43C7D66E">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75" w:name="bm_5_1_方法性能对比总览"/>
      <w:bookmarkStart w:id="76" w:name="_Toc1327136985"/>
      <w:r>
        <w:rPr>
          <w:rFonts w:ascii="黑体" w:hAnsi="Georgia" w:eastAsia="黑体" w:cs="Georgia"/>
          <w:b w:val="0"/>
          <w:sz w:val="28"/>
        </w:rPr>
        <w:t>5.1 方法性能对比总览</w:t>
      </w:r>
      <w:bookmarkEnd w:id="75"/>
      <w:bookmarkEnd w:id="76"/>
    </w:p>
    <w:p w14:paraId="5532A45D">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本研究系统评估了横截面方法和时间序列方法在不规则采样水质数据上的表现。评估涵盖了两类任务（污染等级分类和水质指标回归）以及两类方法范式（横截面方法和时间序列方法）。表14汇总了所有方法在不同任务上的核心性能指标。</w:t>
      </w:r>
    </w:p>
    <w:p w14:paraId="78AE9D56">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表14 所有方法性能对比总表</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834"/>
        <w:gridCol w:w="1867"/>
        <w:gridCol w:w="1455"/>
        <w:gridCol w:w="746"/>
        <w:gridCol w:w="1056"/>
        <w:gridCol w:w="1148"/>
        <w:gridCol w:w="1146"/>
        <w:gridCol w:w="718"/>
      </w:tblGrid>
      <w:tr w14:paraId="444F6260">
        <w:trPr>
          <w:cantSplit/>
          <w:tblCellSpacing w:w="0" w:type="dxa"/>
          <w:jc w:val="center"/>
        </w:trPr>
        <w:tc>
          <w:tcPr>
            <w:tcBorders>
              <w:top w:val="single" w:color="000000" w:sz="0" w:space="0"/>
              <w:bottom w:val="single" w:color="000000" w:sz="0" w:space="0"/>
            </w:tcBorders>
          </w:tcPr>
          <w:p w14:paraId="742ED50A">
            <w:pPr>
              <w:spacing w:after="0" w:line="240" w:lineRule="auto"/>
            </w:pPr>
            <w:r>
              <w:rPr>
                <w:rFonts w:ascii="Georgia" w:hAnsi="Georgia" w:eastAsia="Georgia" w:cs="Georgia"/>
              </w:rPr>
              <w:t>方法类别</w:t>
            </w:r>
          </w:p>
        </w:tc>
        <w:tc>
          <w:tcPr>
            <w:tcBorders>
              <w:top w:val="single" w:color="000000" w:sz="0" w:space="0"/>
              <w:left w:val="single" w:color="000000" w:sz="0" w:space="0"/>
              <w:bottom w:val="single" w:color="000000" w:sz="0" w:space="0"/>
            </w:tcBorders>
          </w:tcPr>
          <w:p w14:paraId="22EFB352">
            <w:pPr>
              <w:spacing w:after="0" w:line="240" w:lineRule="auto"/>
            </w:pPr>
            <w:r>
              <w:rPr>
                <w:rFonts w:ascii="Georgia" w:hAnsi="Georgia" w:eastAsia="Georgia" w:cs="Georgia"/>
              </w:rPr>
              <w:t>具体模型</w:t>
            </w:r>
          </w:p>
        </w:tc>
        <w:tc>
          <w:tcPr>
            <w:tcBorders>
              <w:top w:val="single" w:color="000000" w:sz="0" w:space="0"/>
              <w:left w:val="single" w:color="000000" w:sz="0" w:space="0"/>
              <w:bottom w:val="single" w:color="000000" w:sz="0" w:space="0"/>
            </w:tcBorders>
          </w:tcPr>
          <w:p w14:paraId="7A0AF645">
            <w:pPr>
              <w:spacing w:after="0" w:line="240" w:lineRule="auto"/>
            </w:pPr>
            <w:r>
              <w:rPr>
                <w:rFonts w:ascii="Georgia" w:hAnsi="Georgia" w:eastAsia="Georgia" w:cs="Georgia"/>
              </w:rPr>
              <w:t>任务类型</w:t>
            </w:r>
          </w:p>
        </w:tc>
        <w:tc>
          <w:tcPr>
            <w:tcBorders>
              <w:top w:val="single" w:color="000000" w:sz="0" w:space="0"/>
              <w:left w:val="single" w:color="000000" w:sz="0" w:space="0"/>
              <w:bottom w:val="single" w:color="000000" w:sz="0" w:space="0"/>
            </w:tcBorders>
          </w:tcPr>
          <w:p w14:paraId="7E64CEC4">
            <w:pPr>
              <w:spacing w:after="0" w:line="240" w:lineRule="auto"/>
            </w:pPr>
            <w:r>
              <w:rPr>
                <w:rFonts w:ascii="Georgia" w:hAnsi="Georgia" w:eastAsia="Georgia" w:cs="Georgia"/>
              </w:rPr>
              <w:t>核心指标</w:t>
            </w:r>
          </w:p>
        </w:tc>
        <w:tc>
          <w:tcPr>
            <w:tcBorders>
              <w:top w:val="single" w:color="000000" w:sz="0" w:space="0"/>
              <w:left w:val="single" w:color="000000" w:sz="0" w:space="0"/>
              <w:bottom w:val="single" w:color="000000" w:sz="0" w:space="0"/>
            </w:tcBorders>
          </w:tcPr>
          <w:p w14:paraId="658F0961">
            <w:pPr>
              <w:spacing w:after="0" w:line="240" w:lineRule="auto"/>
            </w:pPr>
            <w:r>
              <w:rPr>
                <w:rFonts w:ascii="Georgia" w:hAnsi="Georgia" w:eastAsia="Georgia" w:cs="Georgia"/>
              </w:rPr>
              <w:t>性能值</w:t>
            </w:r>
          </w:p>
        </w:tc>
        <w:tc>
          <w:tcPr>
            <w:tcBorders>
              <w:top w:val="single" w:color="000000" w:sz="0" w:space="0"/>
              <w:left w:val="single" w:color="000000" w:sz="0" w:space="0"/>
              <w:bottom w:val="single" w:color="000000" w:sz="0" w:space="0"/>
            </w:tcBorders>
          </w:tcPr>
          <w:p w14:paraId="6F83DE47">
            <w:pPr>
              <w:spacing w:after="0" w:line="240" w:lineRule="auto"/>
            </w:pPr>
            <w:r>
              <w:rPr>
                <w:rFonts w:ascii="Georgia" w:hAnsi="Georgia" w:eastAsia="Georgia" w:cs="Georgia"/>
              </w:rPr>
              <w:t>训练样本数</w:t>
            </w:r>
          </w:p>
        </w:tc>
        <w:tc>
          <w:tcPr>
            <w:tcBorders>
              <w:top w:val="single" w:color="000000" w:sz="0" w:space="0"/>
              <w:left w:val="single" w:color="000000" w:sz="0" w:space="0"/>
              <w:bottom w:val="single" w:color="000000" w:sz="0" w:space="0"/>
            </w:tcBorders>
          </w:tcPr>
          <w:p w14:paraId="245D5B46">
            <w:pPr>
              <w:spacing w:after="0" w:line="240" w:lineRule="auto"/>
            </w:pPr>
            <w:r>
              <w:rPr>
                <w:rFonts w:ascii="Georgia" w:hAnsi="Georgia" w:eastAsia="Georgia" w:cs="Georgia"/>
              </w:rPr>
              <w:t>测试样本数</w:t>
            </w:r>
          </w:p>
        </w:tc>
        <w:tc>
          <w:tcPr>
            <w:tcBorders>
              <w:top w:val="single" w:color="000000" w:sz="0" w:space="0"/>
              <w:left w:val="single" w:color="000000" w:sz="0" w:space="0"/>
              <w:bottom w:val="single" w:color="000000" w:sz="0" w:space="0"/>
            </w:tcBorders>
          </w:tcPr>
          <w:p w14:paraId="7DC405E3">
            <w:pPr>
              <w:spacing w:after="0" w:line="240" w:lineRule="auto"/>
            </w:pPr>
            <w:r>
              <w:rPr>
                <w:rFonts w:ascii="Georgia" w:hAnsi="Georgia" w:eastAsia="Georgia" w:cs="Georgia"/>
              </w:rPr>
              <w:t>状态</w:t>
            </w:r>
          </w:p>
        </w:tc>
      </w:tr>
      <w:tr w14:paraId="27F3563C">
        <w:trPr>
          <w:cantSplit/>
          <w:tblCellSpacing w:w="0" w:type="dxa"/>
          <w:jc w:val="center"/>
        </w:trPr>
        <w:tc>
          <w:tcPr>
            <w:tcBorders>
              <w:top w:val="single" w:color="000000" w:sz="0" w:space="0"/>
              <w:bottom w:val="single" w:color="000000" w:sz="0" w:space="0"/>
            </w:tcBorders>
          </w:tcPr>
          <w:p w14:paraId="4F4E6D66">
            <w:pPr>
              <w:spacing w:after="0" w:line="240" w:lineRule="auto"/>
            </w:pPr>
            <w:r>
              <w:rPr>
                <w:b/>
              </w:rPr>
              <w:t>横截面方法</w:t>
            </w:r>
          </w:p>
        </w:tc>
        <w:tc>
          <w:tcPr>
            <w:tcBorders>
              <w:top w:val="single" w:color="000000" w:sz="0" w:space="0"/>
              <w:left w:val="single" w:color="000000" w:sz="0" w:space="0"/>
              <w:bottom w:val="single" w:color="000000" w:sz="0" w:space="0"/>
            </w:tcBorders>
          </w:tcPr>
          <w:p w14:paraId="09F14820">
            <w:pPr>
              <w:spacing w:after="0" w:line="240" w:lineRule="auto"/>
            </w:pPr>
            <w:r>
              <w:t>XGBoost</w:t>
            </w:r>
          </w:p>
        </w:tc>
        <w:tc>
          <w:tcPr>
            <w:tcBorders>
              <w:top w:val="single" w:color="000000" w:sz="0" w:space="0"/>
              <w:left w:val="single" w:color="000000" w:sz="0" w:space="0"/>
              <w:bottom w:val="single" w:color="000000" w:sz="0" w:space="0"/>
            </w:tcBorders>
          </w:tcPr>
          <w:p w14:paraId="45D03283">
            <w:pPr>
              <w:spacing w:after="0" w:line="240" w:lineRule="auto"/>
            </w:pPr>
            <w:r>
              <w:rPr>
                <w:rFonts w:ascii="Georgia" w:hAnsi="Georgia" w:eastAsia="Georgia" w:cs="Georgia"/>
              </w:rPr>
              <w:t>分类（污染等级）</w:t>
            </w:r>
          </w:p>
        </w:tc>
        <w:tc>
          <w:tcPr>
            <w:tcBorders>
              <w:top w:val="single" w:color="000000" w:sz="0" w:space="0"/>
              <w:left w:val="single" w:color="000000" w:sz="0" w:space="0"/>
              <w:bottom w:val="single" w:color="000000" w:sz="0" w:space="0"/>
            </w:tcBorders>
          </w:tcPr>
          <w:p w14:paraId="5F577A0A">
            <w:pPr>
              <w:spacing w:after="0" w:line="240" w:lineRule="auto"/>
            </w:pPr>
            <w:r>
              <w:rPr>
                <w:rFonts w:ascii="Georgia" w:hAnsi="Georgia" w:eastAsia="Georgia" w:cs="Georgia"/>
              </w:rPr>
              <w:t>准确率</w:t>
            </w:r>
          </w:p>
        </w:tc>
        <w:tc>
          <w:tcPr>
            <w:tcBorders>
              <w:top w:val="single" w:color="000000" w:sz="0" w:space="0"/>
              <w:left w:val="single" w:color="000000" w:sz="0" w:space="0"/>
              <w:bottom w:val="single" w:color="000000" w:sz="0" w:space="0"/>
            </w:tcBorders>
          </w:tcPr>
          <w:p w14:paraId="5CEB5E2B">
            <w:pPr>
              <w:spacing w:after="0" w:line="240" w:lineRule="auto"/>
            </w:pPr>
            <w:r>
              <w:t>99.58%</w:t>
            </w:r>
          </w:p>
        </w:tc>
        <w:tc>
          <w:tcPr>
            <w:tcBorders>
              <w:top w:val="single" w:color="000000" w:sz="0" w:space="0"/>
              <w:left w:val="single" w:color="000000" w:sz="0" w:space="0"/>
              <w:bottom w:val="single" w:color="000000" w:sz="0" w:space="0"/>
            </w:tcBorders>
          </w:tcPr>
          <w:p w14:paraId="3A982A42">
            <w:pPr>
              <w:spacing w:after="0" w:line="240" w:lineRule="auto"/>
            </w:pPr>
            <w:r>
              <w:t>12,419</w:t>
            </w:r>
          </w:p>
        </w:tc>
        <w:tc>
          <w:tcPr>
            <w:tcBorders>
              <w:top w:val="single" w:color="000000" w:sz="0" w:space="0"/>
              <w:left w:val="single" w:color="000000" w:sz="0" w:space="0"/>
              <w:bottom w:val="single" w:color="000000" w:sz="0" w:space="0"/>
            </w:tcBorders>
          </w:tcPr>
          <w:p w14:paraId="3A92F2A5">
            <w:pPr>
              <w:spacing w:after="0" w:line="240" w:lineRule="auto"/>
            </w:pPr>
            <w:r>
              <w:t>3,105</w:t>
            </w:r>
          </w:p>
        </w:tc>
        <w:tc>
          <w:tcPr>
            <w:tcBorders>
              <w:top w:val="single" w:color="000000" w:sz="0" w:space="0"/>
              <w:left w:val="single" w:color="000000" w:sz="0" w:space="0"/>
              <w:bottom w:val="single" w:color="000000" w:sz="0" w:space="0"/>
            </w:tcBorders>
          </w:tcPr>
          <w:p w14:paraId="4BBB00BD">
            <w:pPr>
              <w:spacing w:after="0" w:line="240" w:lineRule="auto"/>
            </w:pPr>
            <w:r>
              <w:rPr>
                <w:rFonts w:ascii="Georgia" w:hAnsi="Georgia" w:eastAsia="Georgia" w:cs="Georgia"/>
              </w:rPr>
              <w:t>优秀</w:t>
            </w:r>
          </w:p>
        </w:tc>
      </w:tr>
      <w:tr w14:paraId="6ACE61AA">
        <w:trPr>
          <w:cantSplit/>
          <w:tblCellSpacing w:w="0" w:type="dxa"/>
          <w:jc w:val="center"/>
        </w:trPr>
        <w:tc>
          <w:tcPr>
            <w:tcBorders>
              <w:top w:val="single" w:color="000000" w:sz="0" w:space="0"/>
              <w:bottom w:val="single" w:color="000000" w:sz="0" w:space="0"/>
            </w:tcBorders>
          </w:tcPr>
          <w:p w14:paraId="7A9725F8">
            <w:pPr>
              <w:spacing w:after="0" w:line="240" w:lineRule="auto"/>
            </w:pPr>
            <w:r>
              <w:rPr>
                <w:rFonts w:ascii="Georgia" w:hAnsi="Georgia" w:eastAsia="Georgia" w:cs="Georgia"/>
              </w:rPr>
              <w:t>横截面方法</w:t>
            </w:r>
          </w:p>
        </w:tc>
        <w:tc>
          <w:tcPr>
            <w:tcBorders>
              <w:top w:val="single" w:color="000000" w:sz="0" w:space="0"/>
              <w:left w:val="single" w:color="000000" w:sz="0" w:space="0"/>
              <w:bottom w:val="single" w:color="000000" w:sz="0" w:space="0"/>
            </w:tcBorders>
          </w:tcPr>
          <w:p w14:paraId="013FB9BC">
            <w:pPr>
              <w:spacing w:after="0" w:line="240" w:lineRule="auto"/>
            </w:pPr>
            <w:r>
              <w:t>RandomForest</w:t>
            </w:r>
          </w:p>
        </w:tc>
        <w:tc>
          <w:tcPr>
            <w:tcBorders>
              <w:top w:val="single" w:color="000000" w:sz="0" w:space="0"/>
              <w:left w:val="single" w:color="000000" w:sz="0" w:space="0"/>
              <w:bottom w:val="single" w:color="000000" w:sz="0" w:space="0"/>
            </w:tcBorders>
          </w:tcPr>
          <w:p w14:paraId="47E1479A">
            <w:pPr>
              <w:spacing w:after="0" w:line="240" w:lineRule="auto"/>
            </w:pPr>
            <w:r>
              <w:rPr>
                <w:rFonts w:ascii="Georgia" w:hAnsi="Georgia" w:eastAsia="Georgia" w:cs="Georgia"/>
              </w:rPr>
              <w:t>分类（污染等级）</w:t>
            </w:r>
          </w:p>
        </w:tc>
        <w:tc>
          <w:tcPr>
            <w:tcBorders>
              <w:top w:val="single" w:color="000000" w:sz="0" w:space="0"/>
              <w:left w:val="single" w:color="000000" w:sz="0" w:space="0"/>
              <w:bottom w:val="single" w:color="000000" w:sz="0" w:space="0"/>
            </w:tcBorders>
          </w:tcPr>
          <w:p w14:paraId="1E611F1B">
            <w:pPr>
              <w:spacing w:after="0" w:line="240" w:lineRule="auto"/>
            </w:pPr>
            <w:r>
              <w:rPr>
                <w:rFonts w:ascii="Georgia" w:hAnsi="Georgia" w:eastAsia="Georgia" w:cs="Georgia"/>
              </w:rPr>
              <w:t>准确率</w:t>
            </w:r>
          </w:p>
        </w:tc>
        <w:tc>
          <w:tcPr>
            <w:tcBorders>
              <w:top w:val="single" w:color="000000" w:sz="0" w:space="0"/>
              <w:left w:val="single" w:color="000000" w:sz="0" w:space="0"/>
              <w:bottom w:val="single" w:color="000000" w:sz="0" w:space="0"/>
            </w:tcBorders>
          </w:tcPr>
          <w:p w14:paraId="1BABAA26">
            <w:pPr>
              <w:spacing w:after="0" w:line="240" w:lineRule="auto"/>
            </w:pPr>
            <w:r>
              <w:t>99.55%</w:t>
            </w:r>
          </w:p>
        </w:tc>
        <w:tc>
          <w:tcPr>
            <w:tcBorders>
              <w:top w:val="single" w:color="000000" w:sz="0" w:space="0"/>
              <w:left w:val="single" w:color="000000" w:sz="0" w:space="0"/>
              <w:bottom w:val="single" w:color="000000" w:sz="0" w:space="0"/>
            </w:tcBorders>
          </w:tcPr>
          <w:p w14:paraId="3C75F022">
            <w:pPr>
              <w:spacing w:after="0" w:line="240" w:lineRule="auto"/>
            </w:pPr>
            <w:r>
              <w:t>12,419</w:t>
            </w:r>
          </w:p>
        </w:tc>
        <w:tc>
          <w:tcPr>
            <w:tcBorders>
              <w:top w:val="single" w:color="000000" w:sz="0" w:space="0"/>
              <w:left w:val="single" w:color="000000" w:sz="0" w:space="0"/>
              <w:bottom w:val="single" w:color="000000" w:sz="0" w:space="0"/>
            </w:tcBorders>
          </w:tcPr>
          <w:p w14:paraId="3B4C4C04">
            <w:pPr>
              <w:spacing w:after="0" w:line="240" w:lineRule="auto"/>
            </w:pPr>
            <w:r>
              <w:t>3,105</w:t>
            </w:r>
          </w:p>
        </w:tc>
        <w:tc>
          <w:tcPr>
            <w:tcBorders>
              <w:top w:val="single" w:color="000000" w:sz="0" w:space="0"/>
              <w:left w:val="single" w:color="000000" w:sz="0" w:space="0"/>
              <w:bottom w:val="single" w:color="000000" w:sz="0" w:space="0"/>
            </w:tcBorders>
          </w:tcPr>
          <w:p w14:paraId="2B1E9ECE">
            <w:pPr>
              <w:spacing w:after="0" w:line="240" w:lineRule="auto"/>
            </w:pPr>
            <w:r>
              <w:rPr>
                <w:rFonts w:ascii="Georgia" w:hAnsi="Georgia" w:eastAsia="Georgia" w:cs="Georgia"/>
              </w:rPr>
              <w:t>优秀</w:t>
            </w:r>
          </w:p>
        </w:tc>
      </w:tr>
      <w:tr w14:paraId="009D0B79">
        <w:trPr>
          <w:cantSplit/>
          <w:tblCellSpacing w:w="0" w:type="dxa"/>
          <w:jc w:val="center"/>
        </w:trPr>
        <w:tc>
          <w:tcPr>
            <w:tcBorders>
              <w:top w:val="single" w:color="000000" w:sz="0" w:space="0"/>
              <w:bottom w:val="single" w:color="000000" w:sz="0" w:space="0"/>
            </w:tcBorders>
          </w:tcPr>
          <w:p w14:paraId="6A6AB98D">
            <w:pPr>
              <w:spacing w:after="0" w:line="240" w:lineRule="auto"/>
            </w:pPr>
            <w:r>
              <w:rPr>
                <w:rFonts w:ascii="Georgia" w:hAnsi="Georgia" w:eastAsia="Georgia" w:cs="Georgia"/>
              </w:rPr>
              <w:t>横截面方法</w:t>
            </w:r>
          </w:p>
        </w:tc>
        <w:tc>
          <w:tcPr>
            <w:tcBorders>
              <w:top w:val="single" w:color="000000" w:sz="0" w:space="0"/>
              <w:left w:val="single" w:color="000000" w:sz="0" w:space="0"/>
              <w:bottom w:val="single" w:color="000000" w:sz="0" w:space="0"/>
            </w:tcBorders>
          </w:tcPr>
          <w:p w14:paraId="5A21E3FB">
            <w:pPr>
              <w:spacing w:after="0" w:line="240" w:lineRule="auto"/>
            </w:pPr>
            <w:r>
              <w:t>LightGBM</w:t>
            </w:r>
          </w:p>
        </w:tc>
        <w:tc>
          <w:tcPr>
            <w:tcBorders>
              <w:top w:val="single" w:color="000000" w:sz="0" w:space="0"/>
              <w:left w:val="single" w:color="000000" w:sz="0" w:space="0"/>
              <w:bottom w:val="single" w:color="000000" w:sz="0" w:space="0"/>
            </w:tcBorders>
          </w:tcPr>
          <w:p w14:paraId="740A6654">
            <w:pPr>
              <w:spacing w:after="0" w:line="240" w:lineRule="auto"/>
            </w:pPr>
            <w:r>
              <w:rPr>
                <w:rFonts w:ascii="Georgia" w:hAnsi="Georgia" w:eastAsia="Georgia" w:cs="Georgia"/>
              </w:rPr>
              <w:t>分类（污染等级）</w:t>
            </w:r>
          </w:p>
        </w:tc>
        <w:tc>
          <w:tcPr>
            <w:tcBorders>
              <w:top w:val="single" w:color="000000" w:sz="0" w:space="0"/>
              <w:left w:val="single" w:color="000000" w:sz="0" w:space="0"/>
              <w:bottom w:val="single" w:color="000000" w:sz="0" w:space="0"/>
            </w:tcBorders>
          </w:tcPr>
          <w:p w14:paraId="143B8512">
            <w:pPr>
              <w:spacing w:after="0" w:line="240" w:lineRule="auto"/>
            </w:pPr>
            <w:r>
              <w:rPr>
                <w:rFonts w:ascii="Georgia" w:hAnsi="Georgia" w:eastAsia="Georgia" w:cs="Georgia"/>
              </w:rPr>
              <w:t>准确率</w:t>
            </w:r>
          </w:p>
        </w:tc>
        <w:tc>
          <w:tcPr>
            <w:tcBorders>
              <w:top w:val="single" w:color="000000" w:sz="0" w:space="0"/>
              <w:left w:val="single" w:color="000000" w:sz="0" w:space="0"/>
              <w:bottom w:val="single" w:color="000000" w:sz="0" w:space="0"/>
            </w:tcBorders>
          </w:tcPr>
          <w:p w14:paraId="5EEDFA4F">
            <w:pPr>
              <w:spacing w:after="0" w:line="240" w:lineRule="auto"/>
            </w:pPr>
            <w:r>
              <w:t>78.0%</w:t>
            </w:r>
          </w:p>
        </w:tc>
        <w:tc>
          <w:tcPr>
            <w:tcBorders>
              <w:top w:val="single" w:color="000000" w:sz="0" w:space="0"/>
              <w:left w:val="single" w:color="000000" w:sz="0" w:space="0"/>
              <w:bottom w:val="single" w:color="000000" w:sz="0" w:space="0"/>
            </w:tcBorders>
          </w:tcPr>
          <w:p w14:paraId="39C80691">
            <w:pPr>
              <w:spacing w:after="0" w:line="240" w:lineRule="auto"/>
            </w:pPr>
            <w:r>
              <w:t>12,419</w:t>
            </w:r>
          </w:p>
        </w:tc>
        <w:tc>
          <w:tcPr>
            <w:tcBorders>
              <w:top w:val="single" w:color="000000" w:sz="0" w:space="0"/>
              <w:left w:val="single" w:color="000000" w:sz="0" w:space="0"/>
              <w:bottom w:val="single" w:color="000000" w:sz="0" w:space="0"/>
            </w:tcBorders>
          </w:tcPr>
          <w:p w14:paraId="442ACF11">
            <w:pPr>
              <w:spacing w:after="0" w:line="240" w:lineRule="auto"/>
            </w:pPr>
            <w:r>
              <w:t>3,105</w:t>
            </w:r>
          </w:p>
        </w:tc>
        <w:tc>
          <w:tcPr>
            <w:tcBorders>
              <w:top w:val="single" w:color="000000" w:sz="0" w:space="0"/>
              <w:left w:val="single" w:color="000000" w:sz="0" w:space="0"/>
              <w:bottom w:val="single" w:color="000000" w:sz="0" w:space="0"/>
            </w:tcBorders>
          </w:tcPr>
          <w:p w14:paraId="1A25A298">
            <w:pPr>
              <w:spacing w:after="0" w:line="240" w:lineRule="auto"/>
            </w:pPr>
            <w:r>
              <w:rPr>
                <w:rFonts w:ascii="Georgia" w:hAnsi="Georgia" w:eastAsia="Georgia" w:cs="Georgia"/>
              </w:rPr>
              <w:t>中等</w:t>
            </w:r>
          </w:p>
        </w:tc>
      </w:tr>
      <w:tr w14:paraId="74E9C770">
        <w:trPr>
          <w:cantSplit/>
          <w:tblCellSpacing w:w="0" w:type="dxa"/>
          <w:jc w:val="center"/>
        </w:trPr>
        <w:tc>
          <w:tcPr>
            <w:tcBorders>
              <w:top w:val="single" w:color="000000" w:sz="0" w:space="0"/>
              <w:bottom w:val="single" w:color="000000" w:sz="0" w:space="0"/>
            </w:tcBorders>
          </w:tcPr>
          <w:p w14:paraId="4C303327">
            <w:pPr>
              <w:spacing w:after="0" w:line="240" w:lineRule="auto"/>
            </w:pPr>
            <w:r>
              <w:rPr>
                <w:rFonts w:ascii="Georgia" w:hAnsi="Georgia" w:eastAsia="Georgia" w:cs="Georgia"/>
              </w:rPr>
              <w:t>横截面方法</w:t>
            </w:r>
          </w:p>
        </w:tc>
        <w:tc>
          <w:tcPr>
            <w:tcBorders>
              <w:top w:val="single" w:color="000000" w:sz="0" w:space="0"/>
              <w:left w:val="single" w:color="000000" w:sz="0" w:space="0"/>
              <w:bottom w:val="single" w:color="000000" w:sz="0" w:space="0"/>
            </w:tcBorders>
          </w:tcPr>
          <w:p w14:paraId="2E9D2B15">
            <w:pPr>
              <w:spacing w:after="0" w:line="240" w:lineRule="auto"/>
            </w:pPr>
            <w:r>
              <w:t>CatBoost</w:t>
            </w:r>
          </w:p>
        </w:tc>
        <w:tc>
          <w:tcPr>
            <w:tcBorders>
              <w:top w:val="single" w:color="000000" w:sz="0" w:space="0"/>
              <w:left w:val="single" w:color="000000" w:sz="0" w:space="0"/>
              <w:bottom w:val="single" w:color="000000" w:sz="0" w:space="0"/>
            </w:tcBorders>
          </w:tcPr>
          <w:p w14:paraId="46621373">
            <w:pPr>
              <w:spacing w:after="0" w:line="240" w:lineRule="auto"/>
            </w:pPr>
            <w:r>
              <w:rPr>
                <w:rFonts w:ascii="Georgia" w:hAnsi="Georgia" w:eastAsia="Georgia" w:cs="Georgia"/>
              </w:rPr>
              <w:t>分类（污染等级）</w:t>
            </w:r>
          </w:p>
        </w:tc>
        <w:tc>
          <w:tcPr>
            <w:tcBorders>
              <w:top w:val="single" w:color="000000" w:sz="0" w:space="0"/>
              <w:left w:val="single" w:color="000000" w:sz="0" w:space="0"/>
              <w:bottom w:val="single" w:color="000000" w:sz="0" w:space="0"/>
            </w:tcBorders>
          </w:tcPr>
          <w:p w14:paraId="68F5A351">
            <w:pPr>
              <w:spacing w:after="0" w:line="240" w:lineRule="auto"/>
            </w:pPr>
            <w:r>
              <w:rPr>
                <w:rFonts w:ascii="Georgia" w:hAnsi="Georgia" w:eastAsia="Georgia" w:cs="Georgia"/>
              </w:rPr>
              <w:t>准确率</w:t>
            </w:r>
          </w:p>
        </w:tc>
        <w:tc>
          <w:tcPr>
            <w:tcBorders>
              <w:top w:val="single" w:color="000000" w:sz="0" w:space="0"/>
              <w:left w:val="single" w:color="000000" w:sz="0" w:space="0"/>
              <w:bottom w:val="single" w:color="000000" w:sz="0" w:space="0"/>
            </w:tcBorders>
          </w:tcPr>
          <w:p w14:paraId="184DE465">
            <w:pPr>
              <w:spacing w:after="0" w:line="240" w:lineRule="auto"/>
            </w:pPr>
            <w:r>
              <w:t>76.0%</w:t>
            </w:r>
          </w:p>
        </w:tc>
        <w:tc>
          <w:tcPr>
            <w:tcBorders>
              <w:top w:val="single" w:color="000000" w:sz="0" w:space="0"/>
              <w:left w:val="single" w:color="000000" w:sz="0" w:space="0"/>
              <w:bottom w:val="single" w:color="000000" w:sz="0" w:space="0"/>
            </w:tcBorders>
          </w:tcPr>
          <w:p w14:paraId="5D116108">
            <w:pPr>
              <w:spacing w:after="0" w:line="240" w:lineRule="auto"/>
            </w:pPr>
            <w:r>
              <w:t>12,419</w:t>
            </w:r>
          </w:p>
        </w:tc>
        <w:tc>
          <w:tcPr>
            <w:tcBorders>
              <w:top w:val="single" w:color="000000" w:sz="0" w:space="0"/>
              <w:left w:val="single" w:color="000000" w:sz="0" w:space="0"/>
              <w:bottom w:val="single" w:color="000000" w:sz="0" w:space="0"/>
            </w:tcBorders>
          </w:tcPr>
          <w:p w14:paraId="2845861B">
            <w:pPr>
              <w:spacing w:after="0" w:line="240" w:lineRule="auto"/>
            </w:pPr>
            <w:r>
              <w:t>3,105</w:t>
            </w:r>
          </w:p>
        </w:tc>
        <w:tc>
          <w:tcPr>
            <w:tcBorders>
              <w:top w:val="single" w:color="000000" w:sz="0" w:space="0"/>
              <w:left w:val="single" w:color="000000" w:sz="0" w:space="0"/>
              <w:bottom w:val="single" w:color="000000" w:sz="0" w:space="0"/>
            </w:tcBorders>
          </w:tcPr>
          <w:p w14:paraId="74CD6E2E">
            <w:pPr>
              <w:spacing w:after="0" w:line="240" w:lineRule="auto"/>
            </w:pPr>
            <w:r>
              <w:rPr>
                <w:rFonts w:ascii="Georgia" w:hAnsi="Georgia" w:eastAsia="Georgia" w:cs="Georgia"/>
              </w:rPr>
              <w:t>中等</w:t>
            </w:r>
          </w:p>
        </w:tc>
      </w:tr>
      <w:tr w14:paraId="15A046C0">
        <w:trPr>
          <w:cantSplit/>
          <w:tblCellSpacing w:w="0" w:type="dxa"/>
          <w:jc w:val="center"/>
        </w:trPr>
        <w:tc>
          <w:tcPr>
            <w:tcBorders>
              <w:top w:val="single" w:color="000000" w:sz="0" w:space="0"/>
              <w:bottom w:val="single" w:color="000000" w:sz="0" w:space="0"/>
            </w:tcBorders>
          </w:tcPr>
          <w:p w14:paraId="20B529F5">
            <w:pPr>
              <w:spacing w:after="0" w:line="240" w:lineRule="auto"/>
            </w:pPr>
            <w:r>
              <w:rPr>
                <w:rFonts w:ascii="Georgia" w:hAnsi="Georgia" w:eastAsia="Georgia" w:cs="Georgia"/>
              </w:rPr>
              <w:t>横截面方法</w:t>
            </w:r>
          </w:p>
        </w:tc>
        <w:tc>
          <w:tcPr>
            <w:tcBorders>
              <w:top w:val="single" w:color="000000" w:sz="0" w:space="0"/>
              <w:left w:val="single" w:color="000000" w:sz="0" w:space="0"/>
              <w:bottom w:val="single" w:color="000000" w:sz="0" w:space="0"/>
            </w:tcBorders>
          </w:tcPr>
          <w:p w14:paraId="79967866">
            <w:pPr>
              <w:spacing w:after="0" w:line="240" w:lineRule="auto"/>
            </w:pPr>
            <w:r>
              <w:rPr>
                <w:rFonts w:ascii="Georgia" w:hAnsi="Georgia" w:eastAsia="Georgia" w:cs="Georgia"/>
              </w:rPr>
              <w:t>XGBoost回归</w:t>
            </w:r>
          </w:p>
        </w:tc>
        <w:tc>
          <w:tcPr>
            <w:tcBorders>
              <w:top w:val="single" w:color="000000" w:sz="0" w:space="0"/>
              <w:left w:val="single" w:color="000000" w:sz="0" w:space="0"/>
              <w:bottom w:val="single" w:color="000000" w:sz="0" w:space="0"/>
            </w:tcBorders>
          </w:tcPr>
          <w:p w14:paraId="61409E51">
            <w:pPr>
              <w:spacing w:after="0" w:line="240" w:lineRule="auto"/>
            </w:pPr>
            <w:r>
              <w:rPr>
                <w:rFonts w:ascii="Georgia" w:hAnsi="Georgia" w:eastAsia="Georgia" w:cs="Georgia"/>
              </w:rPr>
              <w:t>回归（COD）</w:t>
            </w:r>
          </w:p>
        </w:tc>
        <w:tc>
          <w:tcPr>
            <w:tcBorders>
              <w:top w:val="single" w:color="000000" w:sz="0" w:space="0"/>
              <w:left w:val="single" w:color="000000" w:sz="0" w:space="0"/>
              <w:bottom w:val="single" w:color="000000" w:sz="0" w:space="0"/>
            </w:tcBorders>
          </w:tcPr>
          <w:p w14:paraId="374086EA">
            <w:pPr>
              <w:spacing w:after="0" w:line="240" w:lineRule="auto"/>
            </w:pPr>
            <w:r>
              <w:rPr>
                <w:rFonts w:ascii="Georgia" w:hAnsi="Georgia" w:eastAsia="Georgia" w:cs="Georgia"/>
              </w:rPr>
              <w:t>R²</w:t>
            </w:r>
          </w:p>
        </w:tc>
        <w:tc>
          <w:tcPr>
            <w:tcBorders>
              <w:top w:val="single" w:color="000000" w:sz="0" w:space="0"/>
              <w:left w:val="single" w:color="000000" w:sz="0" w:space="0"/>
              <w:bottom w:val="single" w:color="000000" w:sz="0" w:space="0"/>
            </w:tcBorders>
          </w:tcPr>
          <w:p w14:paraId="343ED48C">
            <w:pPr>
              <w:spacing w:after="0" w:line="240" w:lineRule="auto"/>
            </w:pPr>
            <w:r>
              <w:t>0.993</w:t>
            </w:r>
          </w:p>
        </w:tc>
        <w:tc>
          <w:tcPr>
            <w:tcBorders>
              <w:top w:val="single" w:color="000000" w:sz="0" w:space="0"/>
              <w:left w:val="single" w:color="000000" w:sz="0" w:space="0"/>
              <w:bottom w:val="single" w:color="000000" w:sz="0" w:space="0"/>
            </w:tcBorders>
          </w:tcPr>
          <w:p w14:paraId="4C2A4190">
            <w:pPr>
              <w:spacing w:after="0" w:line="240" w:lineRule="auto"/>
            </w:pPr>
            <w:r>
              <w:t>12,419</w:t>
            </w:r>
          </w:p>
        </w:tc>
        <w:tc>
          <w:tcPr>
            <w:tcBorders>
              <w:top w:val="single" w:color="000000" w:sz="0" w:space="0"/>
              <w:left w:val="single" w:color="000000" w:sz="0" w:space="0"/>
              <w:bottom w:val="single" w:color="000000" w:sz="0" w:space="0"/>
            </w:tcBorders>
          </w:tcPr>
          <w:p w14:paraId="36180DBB">
            <w:pPr>
              <w:spacing w:after="0" w:line="240" w:lineRule="auto"/>
            </w:pPr>
            <w:r>
              <w:t>3,105</w:t>
            </w:r>
          </w:p>
        </w:tc>
        <w:tc>
          <w:tcPr>
            <w:tcBorders>
              <w:top w:val="single" w:color="000000" w:sz="0" w:space="0"/>
              <w:left w:val="single" w:color="000000" w:sz="0" w:space="0"/>
              <w:bottom w:val="single" w:color="000000" w:sz="0" w:space="0"/>
            </w:tcBorders>
          </w:tcPr>
          <w:p w14:paraId="66504303">
            <w:pPr>
              <w:spacing w:after="0" w:line="240" w:lineRule="auto"/>
            </w:pPr>
            <w:r>
              <w:rPr>
                <w:rFonts w:ascii="Georgia" w:hAnsi="Georgia" w:eastAsia="Georgia" w:cs="Georgia"/>
              </w:rPr>
              <w:t>优秀</w:t>
            </w:r>
          </w:p>
        </w:tc>
      </w:tr>
      <w:tr w14:paraId="54CDA1BF">
        <w:trPr>
          <w:cantSplit/>
          <w:tblCellSpacing w:w="0" w:type="dxa"/>
          <w:jc w:val="center"/>
        </w:trPr>
        <w:tc>
          <w:tcPr>
            <w:tcBorders>
              <w:top w:val="single" w:color="000000" w:sz="0" w:space="0"/>
              <w:bottom w:val="single" w:color="000000" w:sz="0" w:space="0"/>
            </w:tcBorders>
          </w:tcPr>
          <w:p w14:paraId="5F705236">
            <w:pPr>
              <w:spacing w:after="0" w:line="240" w:lineRule="auto"/>
            </w:pPr>
            <w:r>
              <w:rPr>
                <w:rFonts w:ascii="Georgia" w:hAnsi="Georgia" w:eastAsia="Georgia" w:cs="Georgia"/>
              </w:rPr>
              <w:t>横截面方法</w:t>
            </w:r>
          </w:p>
        </w:tc>
        <w:tc>
          <w:tcPr>
            <w:tcBorders>
              <w:top w:val="single" w:color="000000" w:sz="0" w:space="0"/>
              <w:left w:val="single" w:color="000000" w:sz="0" w:space="0"/>
              <w:bottom w:val="single" w:color="000000" w:sz="0" w:space="0"/>
            </w:tcBorders>
          </w:tcPr>
          <w:p w14:paraId="0366C6A0">
            <w:pPr>
              <w:spacing w:after="0" w:line="240" w:lineRule="auto"/>
            </w:pPr>
            <w:r>
              <w:rPr>
                <w:rFonts w:ascii="Georgia" w:hAnsi="Georgia" w:eastAsia="Georgia" w:cs="Georgia"/>
              </w:rPr>
              <w:t>XGBoost回归</w:t>
            </w:r>
          </w:p>
        </w:tc>
        <w:tc>
          <w:tcPr>
            <w:tcBorders>
              <w:top w:val="single" w:color="000000" w:sz="0" w:space="0"/>
              <w:left w:val="single" w:color="000000" w:sz="0" w:space="0"/>
              <w:bottom w:val="single" w:color="000000" w:sz="0" w:space="0"/>
            </w:tcBorders>
          </w:tcPr>
          <w:p w14:paraId="5C0B5BC6">
            <w:pPr>
              <w:spacing w:after="0" w:line="240" w:lineRule="auto"/>
            </w:pPr>
            <w:r>
              <w:rPr>
                <w:rFonts w:ascii="Georgia" w:hAnsi="Georgia" w:eastAsia="Georgia" w:cs="Georgia"/>
              </w:rPr>
              <w:t>回归（BOD）</w:t>
            </w:r>
          </w:p>
        </w:tc>
        <w:tc>
          <w:tcPr>
            <w:tcBorders>
              <w:top w:val="single" w:color="000000" w:sz="0" w:space="0"/>
              <w:left w:val="single" w:color="000000" w:sz="0" w:space="0"/>
              <w:bottom w:val="single" w:color="000000" w:sz="0" w:space="0"/>
            </w:tcBorders>
          </w:tcPr>
          <w:p w14:paraId="26F777CC">
            <w:pPr>
              <w:spacing w:after="0" w:line="240" w:lineRule="auto"/>
            </w:pPr>
            <w:r>
              <w:rPr>
                <w:rFonts w:ascii="Georgia" w:hAnsi="Georgia" w:eastAsia="Georgia" w:cs="Georgia"/>
              </w:rPr>
              <w:t>R²</w:t>
            </w:r>
          </w:p>
        </w:tc>
        <w:tc>
          <w:tcPr>
            <w:tcBorders>
              <w:top w:val="single" w:color="000000" w:sz="0" w:space="0"/>
              <w:left w:val="single" w:color="000000" w:sz="0" w:space="0"/>
              <w:bottom w:val="single" w:color="000000" w:sz="0" w:space="0"/>
            </w:tcBorders>
          </w:tcPr>
          <w:p w14:paraId="3F7A014D">
            <w:pPr>
              <w:spacing w:after="0" w:line="240" w:lineRule="auto"/>
            </w:pPr>
            <w:r>
              <w:t>0.995</w:t>
            </w:r>
          </w:p>
        </w:tc>
        <w:tc>
          <w:tcPr>
            <w:tcBorders>
              <w:top w:val="single" w:color="000000" w:sz="0" w:space="0"/>
              <w:left w:val="single" w:color="000000" w:sz="0" w:space="0"/>
              <w:bottom w:val="single" w:color="000000" w:sz="0" w:space="0"/>
            </w:tcBorders>
          </w:tcPr>
          <w:p w14:paraId="7060C490">
            <w:pPr>
              <w:spacing w:after="0" w:line="240" w:lineRule="auto"/>
            </w:pPr>
            <w:r>
              <w:t>12,419</w:t>
            </w:r>
          </w:p>
        </w:tc>
        <w:tc>
          <w:tcPr>
            <w:tcBorders>
              <w:top w:val="single" w:color="000000" w:sz="0" w:space="0"/>
              <w:left w:val="single" w:color="000000" w:sz="0" w:space="0"/>
              <w:bottom w:val="single" w:color="000000" w:sz="0" w:space="0"/>
            </w:tcBorders>
          </w:tcPr>
          <w:p w14:paraId="231E8A76">
            <w:pPr>
              <w:spacing w:after="0" w:line="240" w:lineRule="auto"/>
            </w:pPr>
            <w:r>
              <w:t>3,105</w:t>
            </w:r>
          </w:p>
        </w:tc>
        <w:tc>
          <w:tcPr>
            <w:tcBorders>
              <w:top w:val="single" w:color="000000" w:sz="0" w:space="0"/>
              <w:left w:val="single" w:color="000000" w:sz="0" w:space="0"/>
              <w:bottom w:val="single" w:color="000000" w:sz="0" w:space="0"/>
            </w:tcBorders>
          </w:tcPr>
          <w:p w14:paraId="683DE079">
            <w:pPr>
              <w:spacing w:after="0" w:line="240" w:lineRule="auto"/>
            </w:pPr>
            <w:r>
              <w:rPr>
                <w:rFonts w:ascii="Georgia" w:hAnsi="Georgia" w:eastAsia="Georgia" w:cs="Georgia"/>
              </w:rPr>
              <w:t>优秀</w:t>
            </w:r>
          </w:p>
        </w:tc>
      </w:tr>
      <w:tr w14:paraId="317FC1A2">
        <w:trPr>
          <w:cantSplit/>
          <w:tblCellSpacing w:w="0" w:type="dxa"/>
          <w:jc w:val="center"/>
        </w:trPr>
        <w:tc>
          <w:tcPr>
            <w:tcBorders>
              <w:top w:val="single" w:color="000000" w:sz="0" w:space="0"/>
              <w:bottom w:val="single" w:color="000000" w:sz="0" w:space="0"/>
            </w:tcBorders>
          </w:tcPr>
          <w:p w14:paraId="32D6951B">
            <w:pPr>
              <w:spacing w:after="0" w:line="240" w:lineRule="auto"/>
            </w:pPr>
            <w:r>
              <w:rPr>
                <w:rFonts w:ascii="Georgia" w:hAnsi="Georgia" w:eastAsia="Georgia" w:cs="Georgia"/>
              </w:rPr>
              <w:t>横截面方法</w:t>
            </w:r>
          </w:p>
        </w:tc>
        <w:tc>
          <w:tcPr>
            <w:tcBorders>
              <w:top w:val="single" w:color="000000" w:sz="0" w:space="0"/>
              <w:left w:val="single" w:color="000000" w:sz="0" w:space="0"/>
              <w:bottom w:val="single" w:color="000000" w:sz="0" w:space="0"/>
            </w:tcBorders>
          </w:tcPr>
          <w:p w14:paraId="2E79A312">
            <w:pPr>
              <w:spacing w:after="0" w:line="240" w:lineRule="auto"/>
            </w:pPr>
            <w:r>
              <w:rPr>
                <w:rFonts w:ascii="Georgia" w:hAnsi="Georgia" w:eastAsia="Georgia" w:cs="Georgia"/>
              </w:rPr>
              <w:t>XGBoost回归</w:t>
            </w:r>
          </w:p>
        </w:tc>
        <w:tc>
          <w:tcPr>
            <w:tcBorders>
              <w:top w:val="single" w:color="000000" w:sz="0" w:space="0"/>
              <w:left w:val="single" w:color="000000" w:sz="0" w:space="0"/>
              <w:bottom w:val="single" w:color="000000" w:sz="0" w:space="0"/>
            </w:tcBorders>
          </w:tcPr>
          <w:p w14:paraId="5B0C9A7E">
            <w:pPr>
              <w:spacing w:after="0" w:line="240" w:lineRule="auto"/>
            </w:pPr>
            <w:r>
              <w:rPr>
                <w:rFonts w:ascii="Georgia" w:hAnsi="Georgia" w:eastAsia="Georgia" w:cs="Georgia"/>
              </w:rPr>
              <w:t>回归（TN）</w:t>
            </w:r>
          </w:p>
        </w:tc>
        <w:tc>
          <w:tcPr>
            <w:tcBorders>
              <w:top w:val="single" w:color="000000" w:sz="0" w:space="0"/>
              <w:left w:val="single" w:color="000000" w:sz="0" w:space="0"/>
              <w:bottom w:val="single" w:color="000000" w:sz="0" w:space="0"/>
            </w:tcBorders>
          </w:tcPr>
          <w:p w14:paraId="437BF069">
            <w:pPr>
              <w:spacing w:after="0" w:line="240" w:lineRule="auto"/>
            </w:pPr>
            <w:r>
              <w:rPr>
                <w:rFonts w:ascii="Georgia" w:hAnsi="Georgia" w:eastAsia="Georgia" w:cs="Georgia"/>
              </w:rPr>
              <w:t>R²</w:t>
            </w:r>
          </w:p>
        </w:tc>
        <w:tc>
          <w:tcPr>
            <w:tcBorders>
              <w:top w:val="single" w:color="000000" w:sz="0" w:space="0"/>
              <w:left w:val="single" w:color="000000" w:sz="0" w:space="0"/>
              <w:bottom w:val="single" w:color="000000" w:sz="0" w:space="0"/>
            </w:tcBorders>
          </w:tcPr>
          <w:p w14:paraId="32D92344">
            <w:pPr>
              <w:spacing w:after="0" w:line="240" w:lineRule="auto"/>
            </w:pPr>
            <w:r>
              <w:t>0.967</w:t>
            </w:r>
          </w:p>
        </w:tc>
        <w:tc>
          <w:tcPr>
            <w:tcBorders>
              <w:top w:val="single" w:color="000000" w:sz="0" w:space="0"/>
              <w:left w:val="single" w:color="000000" w:sz="0" w:space="0"/>
              <w:bottom w:val="single" w:color="000000" w:sz="0" w:space="0"/>
            </w:tcBorders>
          </w:tcPr>
          <w:p w14:paraId="7170CF24">
            <w:pPr>
              <w:spacing w:after="0" w:line="240" w:lineRule="auto"/>
            </w:pPr>
            <w:r>
              <w:t>12,419</w:t>
            </w:r>
          </w:p>
        </w:tc>
        <w:tc>
          <w:tcPr>
            <w:tcBorders>
              <w:top w:val="single" w:color="000000" w:sz="0" w:space="0"/>
              <w:left w:val="single" w:color="000000" w:sz="0" w:space="0"/>
              <w:bottom w:val="single" w:color="000000" w:sz="0" w:space="0"/>
            </w:tcBorders>
          </w:tcPr>
          <w:p w14:paraId="58E40A0E">
            <w:pPr>
              <w:spacing w:after="0" w:line="240" w:lineRule="auto"/>
            </w:pPr>
            <w:r>
              <w:t>3,105</w:t>
            </w:r>
          </w:p>
        </w:tc>
        <w:tc>
          <w:tcPr>
            <w:tcBorders>
              <w:top w:val="single" w:color="000000" w:sz="0" w:space="0"/>
              <w:left w:val="single" w:color="000000" w:sz="0" w:space="0"/>
              <w:bottom w:val="single" w:color="000000" w:sz="0" w:space="0"/>
            </w:tcBorders>
          </w:tcPr>
          <w:p w14:paraId="7378649A">
            <w:pPr>
              <w:spacing w:after="0" w:line="240" w:lineRule="auto"/>
            </w:pPr>
            <w:r>
              <w:rPr>
                <w:rFonts w:ascii="Georgia" w:hAnsi="Georgia" w:eastAsia="Georgia" w:cs="Georgia"/>
              </w:rPr>
              <w:t>优秀</w:t>
            </w:r>
          </w:p>
        </w:tc>
      </w:tr>
      <w:tr w14:paraId="0F1CB557">
        <w:trPr>
          <w:cantSplit/>
          <w:tblCellSpacing w:w="0" w:type="dxa"/>
          <w:jc w:val="center"/>
        </w:trPr>
        <w:tc>
          <w:tcPr>
            <w:tcBorders>
              <w:top w:val="single" w:color="000000" w:sz="0" w:space="0"/>
              <w:bottom w:val="single" w:color="000000" w:sz="0" w:space="0"/>
            </w:tcBorders>
          </w:tcPr>
          <w:p w14:paraId="4A1BB2AA">
            <w:pPr>
              <w:spacing w:after="0" w:line="240" w:lineRule="auto"/>
            </w:pPr>
            <w:r>
              <w:rPr>
                <w:rFonts w:ascii="Georgia" w:hAnsi="Georgia" w:eastAsia="Georgia" w:cs="Georgia"/>
              </w:rPr>
              <w:t>横截面方法</w:t>
            </w:r>
          </w:p>
        </w:tc>
        <w:tc>
          <w:tcPr>
            <w:tcBorders>
              <w:top w:val="single" w:color="000000" w:sz="0" w:space="0"/>
              <w:left w:val="single" w:color="000000" w:sz="0" w:space="0"/>
              <w:bottom w:val="single" w:color="000000" w:sz="0" w:space="0"/>
            </w:tcBorders>
          </w:tcPr>
          <w:p w14:paraId="653E5BC5">
            <w:pPr>
              <w:spacing w:after="0" w:line="240" w:lineRule="auto"/>
            </w:pPr>
            <w:r>
              <w:rPr>
                <w:rFonts w:ascii="Georgia" w:hAnsi="Georgia" w:eastAsia="Georgia" w:cs="Georgia"/>
              </w:rPr>
              <w:t>XGBoost回归</w:t>
            </w:r>
          </w:p>
        </w:tc>
        <w:tc>
          <w:tcPr>
            <w:tcBorders>
              <w:top w:val="single" w:color="000000" w:sz="0" w:space="0"/>
              <w:left w:val="single" w:color="000000" w:sz="0" w:space="0"/>
              <w:bottom w:val="single" w:color="000000" w:sz="0" w:space="0"/>
            </w:tcBorders>
          </w:tcPr>
          <w:p w14:paraId="4F4B63D9">
            <w:pPr>
              <w:spacing w:after="0" w:line="240" w:lineRule="auto"/>
            </w:pPr>
            <w:r>
              <w:rPr>
                <w:rFonts w:ascii="Georgia" w:hAnsi="Georgia" w:eastAsia="Georgia" w:cs="Georgia"/>
              </w:rPr>
              <w:t>回归（TP）</w:t>
            </w:r>
          </w:p>
        </w:tc>
        <w:tc>
          <w:tcPr>
            <w:tcBorders>
              <w:top w:val="single" w:color="000000" w:sz="0" w:space="0"/>
              <w:left w:val="single" w:color="000000" w:sz="0" w:space="0"/>
              <w:bottom w:val="single" w:color="000000" w:sz="0" w:space="0"/>
            </w:tcBorders>
          </w:tcPr>
          <w:p w14:paraId="67586D14">
            <w:pPr>
              <w:spacing w:after="0" w:line="240" w:lineRule="auto"/>
            </w:pPr>
            <w:r>
              <w:rPr>
                <w:rFonts w:ascii="Georgia" w:hAnsi="Georgia" w:eastAsia="Georgia" w:cs="Georgia"/>
              </w:rPr>
              <w:t>R²</w:t>
            </w:r>
          </w:p>
        </w:tc>
        <w:tc>
          <w:tcPr>
            <w:tcBorders>
              <w:top w:val="single" w:color="000000" w:sz="0" w:space="0"/>
              <w:left w:val="single" w:color="000000" w:sz="0" w:space="0"/>
              <w:bottom w:val="single" w:color="000000" w:sz="0" w:space="0"/>
            </w:tcBorders>
          </w:tcPr>
          <w:p w14:paraId="48ECFB17">
            <w:pPr>
              <w:spacing w:after="0" w:line="240" w:lineRule="auto"/>
            </w:pPr>
            <w:r>
              <w:t>0.962</w:t>
            </w:r>
          </w:p>
        </w:tc>
        <w:tc>
          <w:tcPr>
            <w:tcBorders>
              <w:top w:val="single" w:color="000000" w:sz="0" w:space="0"/>
              <w:left w:val="single" w:color="000000" w:sz="0" w:space="0"/>
              <w:bottom w:val="single" w:color="000000" w:sz="0" w:space="0"/>
            </w:tcBorders>
          </w:tcPr>
          <w:p w14:paraId="56672E12">
            <w:pPr>
              <w:spacing w:after="0" w:line="240" w:lineRule="auto"/>
            </w:pPr>
            <w:r>
              <w:t>12,419</w:t>
            </w:r>
          </w:p>
        </w:tc>
        <w:tc>
          <w:tcPr>
            <w:tcBorders>
              <w:top w:val="single" w:color="000000" w:sz="0" w:space="0"/>
              <w:left w:val="single" w:color="000000" w:sz="0" w:space="0"/>
              <w:bottom w:val="single" w:color="000000" w:sz="0" w:space="0"/>
            </w:tcBorders>
          </w:tcPr>
          <w:p w14:paraId="0181DF0D">
            <w:pPr>
              <w:spacing w:after="0" w:line="240" w:lineRule="auto"/>
            </w:pPr>
            <w:r>
              <w:t>3,105</w:t>
            </w:r>
          </w:p>
        </w:tc>
        <w:tc>
          <w:tcPr>
            <w:tcBorders>
              <w:top w:val="single" w:color="000000" w:sz="0" w:space="0"/>
              <w:left w:val="single" w:color="000000" w:sz="0" w:space="0"/>
              <w:bottom w:val="single" w:color="000000" w:sz="0" w:space="0"/>
            </w:tcBorders>
          </w:tcPr>
          <w:p w14:paraId="1F1C6761">
            <w:pPr>
              <w:spacing w:after="0" w:line="240" w:lineRule="auto"/>
            </w:pPr>
            <w:r>
              <w:rPr>
                <w:rFonts w:ascii="Georgia" w:hAnsi="Georgia" w:eastAsia="Georgia" w:cs="Georgia"/>
              </w:rPr>
              <w:t>优秀</w:t>
            </w:r>
          </w:p>
        </w:tc>
      </w:tr>
      <w:tr w14:paraId="497948F4">
        <w:trPr>
          <w:cantSplit/>
          <w:tblCellSpacing w:w="0" w:type="dxa"/>
          <w:jc w:val="center"/>
        </w:trPr>
        <w:tc>
          <w:tcPr>
            <w:tcBorders>
              <w:top w:val="single" w:color="000000" w:sz="0" w:space="0"/>
              <w:bottom w:val="single" w:color="000000" w:sz="0" w:space="0"/>
            </w:tcBorders>
          </w:tcPr>
          <w:p w14:paraId="1D2E577D">
            <w:pPr>
              <w:spacing w:after="0" w:line="240" w:lineRule="auto"/>
            </w:pPr>
            <w:r>
              <w:rPr>
                <w:rFonts w:ascii="Georgia" w:hAnsi="Georgia" w:eastAsia="Georgia" w:cs="Georgia"/>
              </w:rPr>
              <w:t>横截面方法</w:t>
            </w:r>
          </w:p>
        </w:tc>
        <w:tc>
          <w:tcPr>
            <w:tcBorders>
              <w:top w:val="single" w:color="000000" w:sz="0" w:space="0"/>
              <w:left w:val="single" w:color="000000" w:sz="0" w:space="0"/>
              <w:bottom w:val="single" w:color="000000" w:sz="0" w:space="0"/>
            </w:tcBorders>
          </w:tcPr>
          <w:p w14:paraId="4889652C">
            <w:pPr>
              <w:spacing w:after="0" w:line="240" w:lineRule="auto"/>
            </w:pPr>
            <w:r>
              <w:rPr>
                <w:rFonts w:ascii="Georgia" w:hAnsi="Georgia" w:eastAsia="Georgia" w:cs="Georgia"/>
              </w:rPr>
              <w:t>XGBoost回归</w:t>
            </w:r>
          </w:p>
        </w:tc>
        <w:tc>
          <w:tcPr>
            <w:tcBorders>
              <w:top w:val="single" w:color="000000" w:sz="0" w:space="0"/>
              <w:left w:val="single" w:color="000000" w:sz="0" w:space="0"/>
              <w:bottom w:val="single" w:color="000000" w:sz="0" w:space="0"/>
            </w:tcBorders>
          </w:tcPr>
          <w:p w14:paraId="7EED3655">
            <w:pPr>
              <w:spacing w:after="0" w:line="240" w:lineRule="auto"/>
            </w:pPr>
            <w:r>
              <w:rPr>
                <w:rFonts w:ascii="Georgia" w:hAnsi="Georgia" w:eastAsia="Georgia" w:cs="Georgia"/>
              </w:rPr>
              <w:t>回归（DO）</w:t>
            </w:r>
          </w:p>
        </w:tc>
        <w:tc>
          <w:tcPr>
            <w:tcBorders>
              <w:top w:val="single" w:color="000000" w:sz="0" w:space="0"/>
              <w:left w:val="single" w:color="000000" w:sz="0" w:space="0"/>
              <w:bottom w:val="single" w:color="000000" w:sz="0" w:space="0"/>
            </w:tcBorders>
          </w:tcPr>
          <w:p w14:paraId="1B7267EE">
            <w:pPr>
              <w:spacing w:after="0" w:line="240" w:lineRule="auto"/>
            </w:pPr>
            <w:r>
              <w:rPr>
                <w:rFonts w:ascii="Georgia" w:hAnsi="Georgia" w:eastAsia="Georgia" w:cs="Georgia"/>
              </w:rPr>
              <w:t>R²</w:t>
            </w:r>
          </w:p>
        </w:tc>
        <w:tc>
          <w:tcPr>
            <w:tcBorders>
              <w:top w:val="single" w:color="000000" w:sz="0" w:space="0"/>
              <w:left w:val="single" w:color="000000" w:sz="0" w:space="0"/>
              <w:bottom w:val="single" w:color="000000" w:sz="0" w:space="0"/>
            </w:tcBorders>
          </w:tcPr>
          <w:p w14:paraId="4B427150">
            <w:pPr>
              <w:spacing w:after="0" w:line="240" w:lineRule="auto"/>
            </w:pPr>
            <w:r>
              <w:t>-0.06</w:t>
            </w:r>
          </w:p>
        </w:tc>
        <w:tc>
          <w:tcPr>
            <w:tcBorders>
              <w:top w:val="single" w:color="000000" w:sz="0" w:space="0"/>
              <w:left w:val="single" w:color="000000" w:sz="0" w:space="0"/>
              <w:bottom w:val="single" w:color="000000" w:sz="0" w:space="0"/>
            </w:tcBorders>
          </w:tcPr>
          <w:p w14:paraId="2D00DD95">
            <w:pPr>
              <w:spacing w:after="0" w:line="240" w:lineRule="auto"/>
            </w:pPr>
            <w:r>
              <w:t>12,419</w:t>
            </w:r>
          </w:p>
        </w:tc>
        <w:tc>
          <w:tcPr>
            <w:tcBorders>
              <w:top w:val="single" w:color="000000" w:sz="0" w:space="0"/>
              <w:left w:val="single" w:color="000000" w:sz="0" w:space="0"/>
              <w:bottom w:val="single" w:color="000000" w:sz="0" w:space="0"/>
            </w:tcBorders>
          </w:tcPr>
          <w:p w14:paraId="2E33B83F">
            <w:pPr>
              <w:spacing w:after="0" w:line="240" w:lineRule="auto"/>
            </w:pPr>
            <w:r>
              <w:t>3,105</w:t>
            </w:r>
          </w:p>
        </w:tc>
        <w:tc>
          <w:tcPr>
            <w:tcBorders>
              <w:top w:val="single" w:color="000000" w:sz="0" w:space="0"/>
              <w:left w:val="single" w:color="000000" w:sz="0" w:space="0"/>
              <w:bottom w:val="single" w:color="000000" w:sz="0" w:space="0"/>
            </w:tcBorders>
          </w:tcPr>
          <w:p w14:paraId="3C6D825F">
            <w:pPr>
              <w:spacing w:after="0" w:line="240" w:lineRule="auto"/>
            </w:pPr>
            <w:r>
              <w:rPr>
                <w:rFonts w:ascii="Georgia" w:hAnsi="Georgia" w:eastAsia="Georgia" w:cs="Georgia"/>
              </w:rPr>
              <w:t>失败</w:t>
            </w:r>
          </w:p>
        </w:tc>
      </w:tr>
      <w:tr w14:paraId="7CCB7306">
        <w:trPr>
          <w:cantSplit/>
          <w:tblCellSpacing w:w="0" w:type="dxa"/>
          <w:jc w:val="center"/>
        </w:trPr>
        <w:tc>
          <w:tcPr>
            <w:tcBorders>
              <w:top w:val="single" w:color="000000" w:sz="0" w:space="0"/>
              <w:bottom w:val="single" w:color="000000" w:sz="0" w:space="0"/>
            </w:tcBorders>
          </w:tcPr>
          <w:p w14:paraId="2CCA1F21">
            <w:pPr>
              <w:spacing w:after="0" w:line="240" w:lineRule="auto"/>
            </w:pPr>
            <w:r>
              <w:rPr>
                <w:rFonts w:ascii="Georgia" w:hAnsi="Georgia" w:eastAsia="Georgia" w:cs="Georgia"/>
              </w:rPr>
              <w:t>横截面方法</w:t>
            </w:r>
          </w:p>
        </w:tc>
        <w:tc>
          <w:tcPr>
            <w:tcBorders>
              <w:top w:val="single" w:color="000000" w:sz="0" w:space="0"/>
              <w:left w:val="single" w:color="000000" w:sz="0" w:space="0"/>
              <w:bottom w:val="single" w:color="000000" w:sz="0" w:space="0"/>
            </w:tcBorders>
          </w:tcPr>
          <w:p w14:paraId="3FFA44BB">
            <w:pPr>
              <w:spacing w:after="0" w:line="240" w:lineRule="auto"/>
            </w:pPr>
            <w:r>
              <w:rPr>
                <w:rFonts w:ascii="Georgia" w:hAnsi="Georgia" w:eastAsia="Georgia" w:cs="Georgia"/>
              </w:rPr>
              <w:t>XGBoost回归</w:t>
            </w:r>
          </w:p>
        </w:tc>
        <w:tc>
          <w:tcPr>
            <w:tcBorders>
              <w:top w:val="single" w:color="000000" w:sz="0" w:space="0"/>
              <w:left w:val="single" w:color="000000" w:sz="0" w:space="0"/>
              <w:bottom w:val="single" w:color="000000" w:sz="0" w:space="0"/>
            </w:tcBorders>
          </w:tcPr>
          <w:p w14:paraId="5E5EB483">
            <w:pPr>
              <w:spacing w:after="0" w:line="240" w:lineRule="auto"/>
            </w:pPr>
            <w:r>
              <w:rPr>
                <w:rFonts w:ascii="Georgia" w:hAnsi="Georgia" w:eastAsia="Georgia" w:cs="Georgia"/>
              </w:rPr>
              <w:t>回归（NH₃-N）</w:t>
            </w:r>
          </w:p>
        </w:tc>
        <w:tc>
          <w:tcPr>
            <w:tcBorders>
              <w:top w:val="single" w:color="000000" w:sz="0" w:space="0"/>
              <w:left w:val="single" w:color="000000" w:sz="0" w:space="0"/>
              <w:bottom w:val="single" w:color="000000" w:sz="0" w:space="0"/>
            </w:tcBorders>
          </w:tcPr>
          <w:p w14:paraId="6C1A54D5">
            <w:pPr>
              <w:spacing w:after="0" w:line="240" w:lineRule="auto"/>
            </w:pPr>
            <w:r>
              <w:rPr>
                <w:rFonts w:ascii="Georgia" w:hAnsi="Georgia" w:eastAsia="Georgia" w:cs="Georgia"/>
              </w:rPr>
              <w:t>R²</w:t>
            </w:r>
          </w:p>
        </w:tc>
        <w:tc>
          <w:tcPr>
            <w:tcBorders>
              <w:top w:val="single" w:color="000000" w:sz="0" w:space="0"/>
              <w:left w:val="single" w:color="000000" w:sz="0" w:space="0"/>
              <w:bottom w:val="single" w:color="000000" w:sz="0" w:space="0"/>
            </w:tcBorders>
          </w:tcPr>
          <w:p w14:paraId="55ECAACA">
            <w:pPr>
              <w:spacing w:after="0" w:line="240" w:lineRule="auto"/>
            </w:pPr>
            <w:r>
              <w:t>&lt;0</w:t>
            </w:r>
          </w:p>
        </w:tc>
        <w:tc>
          <w:tcPr>
            <w:tcBorders>
              <w:top w:val="single" w:color="000000" w:sz="0" w:space="0"/>
              <w:left w:val="single" w:color="000000" w:sz="0" w:space="0"/>
              <w:bottom w:val="single" w:color="000000" w:sz="0" w:space="0"/>
            </w:tcBorders>
          </w:tcPr>
          <w:p w14:paraId="4478268E">
            <w:pPr>
              <w:spacing w:after="0" w:line="240" w:lineRule="auto"/>
            </w:pPr>
            <w:r>
              <w:t>12,419</w:t>
            </w:r>
          </w:p>
        </w:tc>
        <w:tc>
          <w:tcPr>
            <w:tcBorders>
              <w:top w:val="single" w:color="000000" w:sz="0" w:space="0"/>
              <w:left w:val="single" w:color="000000" w:sz="0" w:space="0"/>
              <w:bottom w:val="single" w:color="000000" w:sz="0" w:space="0"/>
            </w:tcBorders>
          </w:tcPr>
          <w:p w14:paraId="6C8F159F">
            <w:pPr>
              <w:spacing w:after="0" w:line="240" w:lineRule="auto"/>
            </w:pPr>
            <w:r>
              <w:t>3,105</w:t>
            </w:r>
          </w:p>
        </w:tc>
        <w:tc>
          <w:tcPr>
            <w:tcBorders>
              <w:top w:val="single" w:color="000000" w:sz="0" w:space="0"/>
              <w:left w:val="single" w:color="000000" w:sz="0" w:space="0"/>
              <w:bottom w:val="single" w:color="000000" w:sz="0" w:space="0"/>
            </w:tcBorders>
          </w:tcPr>
          <w:p w14:paraId="0D6D6F98">
            <w:pPr>
              <w:spacing w:after="0" w:line="240" w:lineRule="auto"/>
            </w:pPr>
            <w:r>
              <w:rPr>
                <w:rFonts w:ascii="Georgia" w:hAnsi="Georgia" w:eastAsia="Georgia" w:cs="Georgia"/>
              </w:rPr>
              <w:t>失败</w:t>
            </w:r>
          </w:p>
        </w:tc>
      </w:tr>
      <w:tr w14:paraId="0A70C9D0">
        <w:trPr>
          <w:cantSplit/>
          <w:tblCellSpacing w:w="0" w:type="dxa"/>
          <w:jc w:val="center"/>
        </w:trPr>
        <w:tc>
          <w:tcPr>
            <w:tcBorders>
              <w:top w:val="single" w:color="000000" w:sz="0" w:space="0"/>
              <w:bottom w:val="single" w:color="000000" w:sz="0" w:space="0"/>
            </w:tcBorders>
          </w:tcPr>
          <w:p w14:paraId="76A332A1">
            <w:pPr>
              <w:spacing w:after="0" w:line="240" w:lineRule="auto"/>
            </w:pPr>
            <w:r>
              <w:rPr>
                <w:rFonts w:ascii="Georgia" w:hAnsi="Georgia" w:eastAsia="Georgia" w:cs="Georgia"/>
              </w:rPr>
              <w:t>横截面方法</w:t>
            </w:r>
          </w:p>
        </w:tc>
        <w:tc>
          <w:tcPr>
            <w:tcBorders>
              <w:top w:val="single" w:color="000000" w:sz="0" w:space="0"/>
              <w:left w:val="single" w:color="000000" w:sz="0" w:space="0"/>
              <w:bottom w:val="single" w:color="000000" w:sz="0" w:space="0"/>
            </w:tcBorders>
          </w:tcPr>
          <w:p w14:paraId="6162D175">
            <w:pPr>
              <w:spacing w:after="0" w:line="240" w:lineRule="auto"/>
            </w:pPr>
            <w:r>
              <w:rPr>
                <w:rFonts w:ascii="Georgia" w:hAnsi="Georgia" w:eastAsia="Georgia" w:cs="Georgia"/>
              </w:rPr>
              <w:t>XGBoost回归</w:t>
            </w:r>
          </w:p>
        </w:tc>
        <w:tc>
          <w:tcPr>
            <w:tcBorders>
              <w:top w:val="single" w:color="000000" w:sz="0" w:space="0"/>
              <w:left w:val="single" w:color="000000" w:sz="0" w:space="0"/>
              <w:bottom w:val="single" w:color="000000" w:sz="0" w:space="0"/>
            </w:tcBorders>
          </w:tcPr>
          <w:p w14:paraId="4F920458">
            <w:pPr>
              <w:spacing w:after="0" w:line="240" w:lineRule="auto"/>
            </w:pPr>
            <w:r>
              <w:rPr>
                <w:rFonts w:ascii="Georgia" w:hAnsi="Georgia" w:eastAsia="Georgia" w:cs="Georgia"/>
              </w:rPr>
              <w:t>回归（pH）</w:t>
            </w:r>
          </w:p>
        </w:tc>
        <w:tc>
          <w:tcPr>
            <w:tcBorders>
              <w:top w:val="single" w:color="000000" w:sz="0" w:space="0"/>
              <w:left w:val="single" w:color="000000" w:sz="0" w:space="0"/>
              <w:bottom w:val="single" w:color="000000" w:sz="0" w:space="0"/>
            </w:tcBorders>
          </w:tcPr>
          <w:p w14:paraId="07AC0A57">
            <w:pPr>
              <w:spacing w:after="0" w:line="240" w:lineRule="auto"/>
            </w:pPr>
            <w:r>
              <w:rPr>
                <w:rFonts w:ascii="Georgia" w:hAnsi="Georgia" w:eastAsia="Georgia" w:cs="Georgia"/>
              </w:rPr>
              <w:t>R²</w:t>
            </w:r>
          </w:p>
        </w:tc>
        <w:tc>
          <w:tcPr>
            <w:tcBorders>
              <w:top w:val="single" w:color="000000" w:sz="0" w:space="0"/>
              <w:left w:val="single" w:color="000000" w:sz="0" w:space="0"/>
              <w:bottom w:val="single" w:color="000000" w:sz="0" w:space="0"/>
            </w:tcBorders>
          </w:tcPr>
          <w:p w14:paraId="48288FCC">
            <w:pPr>
              <w:spacing w:after="0" w:line="240" w:lineRule="auto"/>
            </w:pPr>
            <w:r>
              <w:t>&lt;0</w:t>
            </w:r>
          </w:p>
        </w:tc>
        <w:tc>
          <w:tcPr>
            <w:tcBorders>
              <w:top w:val="single" w:color="000000" w:sz="0" w:space="0"/>
              <w:left w:val="single" w:color="000000" w:sz="0" w:space="0"/>
              <w:bottom w:val="single" w:color="000000" w:sz="0" w:space="0"/>
            </w:tcBorders>
          </w:tcPr>
          <w:p w14:paraId="067EADA0">
            <w:pPr>
              <w:spacing w:after="0" w:line="240" w:lineRule="auto"/>
            </w:pPr>
            <w:r>
              <w:t>12,419</w:t>
            </w:r>
          </w:p>
        </w:tc>
        <w:tc>
          <w:tcPr>
            <w:tcBorders>
              <w:top w:val="single" w:color="000000" w:sz="0" w:space="0"/>
              <w:left w:val="single" w:color="000000" w:sz="0" w:space="0"/>
              <w:bottom w:val="single" w:color="000000" w:sz="0" w:space="0"/>
            </w:tcBorders>
          </w:tcPr>
          <w:p w14:paraId="4416675A">
            <w:pPr>
              <w:spacing w:after="0" w:line="240" w:lineRule="auto"/>
            </w:pPr>
            <w:r>
              <w:t>3,105</w:t>
            </w:r>
          </w:p>
        </w:tc>
        <w:tc>
          <w:tcPr>
            <w:tcBorders>
              <w:top w:val="single" w:color="000000" w:sz="0" w:space="0"/>
              <w:left w:val="single" w:color="000000" w:sz="0" w:space="0"/>
              <w:bottom w:val="single" w:color="000000" w:sz="0" w:space="0"/>
            </w:tcBorders>
          </w:tcPr>
          <w:p w14:paraId="462172A6">
            <w:pPr>
              <w:spacing w:after="0" w:line="240" w:lineRule="auto"/>
            </w:pPr>
            <w:r>
              <w:rPr>
                <w:rFonts w:ascii="Georgia" w:hAnsi="Georgia" w:eastAsia="Georgia" w:cs="Georgia"/>
              </w:rPr>
              <w:t>失败</w:t>
            </w:r>
          </w:p>
        </w:tc>
      </w:tr>
      <w:tr w14:paraId="4B134F62">
        <w:trPr>
          <w:cantSplit/>
          <w:tblCellSpacing w:w="0" w:type="dxa"/>
          <w:jc w:val="center"/>
        </w:trPr>
        <w:tc>
          <w:tcPr>
            <w:tcBorders>
              <w:top w:val="single" w:color="000000" w:sz="0" w:space="0"/>
              <w:bottom w:val="single" w:color="000000" w:sz="0" w:space="0"/>
            </w:tcBorders>
          </w:tcPr>
          <w:p w14:paraId="7D443986">
            <w:pPr>
              <w:spacing w:after="0" w:line="240" w:lineRule="auto"/>
            </w:pPr>
            <w:r>
              <w:rPr>
                <w:b/>
              </w:rPr>
              <w:t>时间序列方法</w:t>
            </w:r>
          </w:p>
        </w:tc>
        <w:tc>
          <w:tcPr>
            <w:tcBorders>
              <w:top w:val="single" w:color="000000" w:sz="0" w:space="0"/>
              <w:left w:val="single" w:color="000000" w:sz="0" w:space="0"/>
              <w:bottom w:val="single" w:color="000000" w:sz="0" w:space="0"/>
            </w:tcBorders>
          </w:tcPr>
          <w:p w14:paraId="1C55321D">
            <w:pPr>
              <w:spacing w:after="0" w:line="240" w:lineRule="auto"/>
            </w:pPr>
            <w:r>
              <w:t>ARIMA (1,1,1)</w:t>
            </w:r>
          </w:p>
        </w:tc>
        <w:tc>
          <w:tcPr>
            <w:tcBorders>
              <w:top w:val="single" w:color="000000" w:sz="0" w:space="0"/>
              <w:left w:val="single" w:color="000000" w:sz="0" w:space="0"/>
              <w:bottom w:val="single" w:color="000000" w:sz="0" w:space="0"/>
            </w:tcBorders>
          </w:tcPr>
          <w:p w14:paraId="1DDFF999">
            <w:pPr>
              <w:spacing w:after="0" w:line="240" w:lineRule="auto"/>
            </w:pPr>
            <w:r>
              <w:rPr>
                <w:rFonts w:ascii="Georgia" w:hAnsi="Georgia" w:eastAsia="Georgia" w:cs="Georgia"/>
              </w:rPr>
              <w:t>回归（COD）</w:t>
            </w:r>
          </w:p>
        </w:tc>
        <w:tc>
          <w:tcPr>
            <w:tcBorders>
              <w:top w:val="single" w:color="000000" w:sz="0" w:space="0"/>
              <w:left w:val="single" w:color="000000" w:sz="0" w:space="0"/>
              <w:bottom w:val="single" w:color="000000" w:sz="0" w:space="0"/>
            </w:tcBorders>
          </w:tcPr>
          <w:p w14:paraId="1AE31471">
            <w:pPr>
              <w:spacing w:after="0" w:line="240" w:lineRule="auto"/>
            </w:pPr>
            <w:r>
              <w:rPr>
                <w:rFonts w:ascii="Georgia" w:hAnsi="Georgia" w:eastAsia="Georgia" w:cs="Georgia"/>
              </w:rPr>
              <w:t>R²</w:t>
            </w:r>
          </w:p>
        </w:tc>
        <w:tc>
          <w:tcPr>
            <w:tcBorders>
              <w:top w:val="single" w:color="000000" w:sz="0" w:space="0"/>
              <w:left w:val="single" w:color="000000" w:sz="0" w:space="0"/>
              <w:bottom w:val="single" w:color="000000" w:sz="0" w:space="0"/>
            </w:tcBorders>
          </w:tcPr>
          <w:p w14:paraId="671B3453">
            <w:pPr>
              <w:spacing w:after="0" w:line="240" w:lineRule="auto"/>
            </w:pPr>
            <w:r>
              <w:t>-0.15</w:t>
            </w:r>
          </w:p>
        </w:tc>
        <w:tc>
          <w:tcPr>
            <w:tcBorders>
              <w:top w:val="single" w:color="000000" w:sz="0" w:space="0"/>
              <w:left w:val="single" w:color="000000" w:sz="0" w:space="0"/>
              <w:bottom w:val="single" w:color="000000" w:sz="0" w:space="0"/>
            </w:tcBorders>
          </w:tcPr>
          <w:p w14:paraId="7B98B92E">
            <w:pPr>
              <w:spacing w:after="0" w:line="240" w:lineRule="auto"/>
            </w:pPr>
            <w:r>
              <w:rPr>
                <w:rFonts w:ascii="Georgia" w:hAnsi="Georgia" w:eastAsia="Georgia" w:cs="Georgia"/>
              </w:rPr>
              <w:t>~9,000</w:t>
            </w:r>
          </w:p>
        </w:tc>
        <w:tc>
          <w:tcPr>
            <w:tcBorders>
              <w:top w:val="single" w:color="000000" w:sz="0" w:space="0"/>
              <w:left w:val="single" w:color="000000" w:sz="0" w:space="0"/>
              <w:bottom w:val="single" w:color="000000" w:sz="0" w:space="0"/>
            </w:tcBorders>
          </w:tcPr>
          <w:p w14:paraId="36266FDB">
            <w:pPr>
              <w:spacing w:after="0" w:line="240" w:lineRule="auto"/>
            </w:pPr>
            <w:r>
              <w:rPr>
                <w:rFonts w:ascii="Georgia" w:hAnsi="Georgia" w:eastAsia="Georgia" w:cs="Georgia"/>
              </w:rPr>
              <w:t>~3,000</w:t>
            </w:r>
          </w:p>
        </w:tc>
        <w:tc>
          <w:tcPr>
            <w:tcBorders>
              <w:top w:val="single" w:color="000000" w:sz="0" w:space="0"/>
              <w:left w:val="single" w:color="000000" w:sz="0" w:space="0"/>
              <w:bottom w:val="single" w:color="000000" w:sz="0" w:space="0"/>
            </w:tcBorders>
          </w:tcPr>
          <w:p w14:paraId="125BF16C">
            <w:pPr>
              <w:spacing w:after="0" w:line="240" w:lineRule="auto"/>
            </w:pPr>
            <w:r>
              <w:rPr>
                <w:rFonts w:ascii="Georgia" w:hAnsi="Georgia" w:eastAsia="Georgia" w:cs="Georgia"/>
              </w:rPr>
              <w:t>劣于基线</w:t>
            </w:r>
          </w:p>
        </w:tc>
      </w:tr>
      <w:tr w14:paraId="329C238F">
        <w:trPr>
          <w:cantSplit/>
          <w:tblCellSpacing w:w="0" w:type="dxa"/>
          <w:jc w:val="center"/>
        </w:trPr>
        <w:tc>
          <w:tcPr>
            <w:tcBorders>
              <w:top w:val="single" w:color="000000" w:sz="0" w:space="0"/>
              <w:bottom w:val="single" w:color="000000" w:sz="0" w:space="0"/>
            </w:tcBorders>
          </w:tcPr>
          <w:p w14:paraId="793B6E31">
            <w:pPr>
              <w:spacing w:after="0" w:line="240" w:lineRule="auto"/>
            </w:pPr>
            <w:r>
              <w:rPr>
                <w:rFonts w:ascii="Georgia" w:hAnsi="Georgia" w:eastAsia="Georgia" w:cs="Georgia"/>
              </w:rPr>
              <w:t>时间序列方法</w:t>
            </w:r>
          </w:p>
        </w:tc>
        <w:tc>
          <w:tcPr>
            <w:tcBorders>
              <w:top w:val="single" w:color="000000" w:sz="0" w:space="0"/>
              <w:left w:val="single" w:color="000000" w:sz="0" w:space="0"/>
              <w:bottom w:val="single" w:color="000000" w:sz="0" w:space="0"/>
            </w:tcBorders>
          </w:tcPr>
          <w:p w14:paraId="6D8BE776">
            <w:pPr>
              <w:spacing w:after="0" w:line="240" w:lineRule="auto"/>
            </w:pPr>
            <w:r>
              <w:t>SARIMA</w:t>
            </w:r>
          </w:p>
        </w:tc>
        <w:tc>
          <w:tcPr>
            <w:tcBorders>
              <w:top w:val="single" w:color="000000" w:sz="0" w:space="0"/>
              <w:left w:val="single" w:color="000000" w:sz="0" w:space="0"/>
              <w:bottom w:val="single" w:color="000000" w:sz="0" w:space="0"/>
            </w:tcBorders>
          </w:tcPr>
          <w:p w14:paraId="0BD9B95F">
            <w:pPr>
              <w:spacing w:after="0" w:line="240" w:lineRule="auto"/>
            </w:pPr>
            <w:r>
              <w:rPr>
                <w:rFonts w:ascii="Georgia" w:hAnsi="Georgia" w:eastAsia="Georgia" w:cs="Georgia"/>
              </w:rPr>
              <w:t>回归（COD）</w:t>
            </w:r>
          </w:p>
        </w:tc>
        <w:tc>
          <w:tcPr>
            <w:tcBorders>
              <w:top w:val="single" w:color="000000" w:sz="0" w:space="0"/>
              <w:left w:val="single" w:color="000000" w:sz="0" w:space="0"/>
              <w:bottom w:val="single" w:color="000000" w:sz="0" w:space="0"/>
            </w:tcBorders>
          </w:tcPr>
          <w:p w14:paraId="5021E7C9">
            <w:pPr>
              <w:spacing w:after="0" w:line="240" w:lineRule="auto"/>
            </w:pPr>
            <w:r>
              <w:rPr>
                <w:rFonts w:ascii="Georgia" w:hAnsi="Georgia" w:eastAsia="Georgia" w:cs="Georgia"/>
              </w:rPr>
              <w:t>R²</w:t>
            </w:r>
          </w:p>
        </w:tc>
        <w:tc>
          <w:tcPr>
            <w:tcBorders>
              <w:top w:val="single" w:color="000000" w:sz="0" w:space="0"/>
              <w:left w:val="single" w:color="000000" w:sz="0" w:space="0"/>
              <w:bottom w:val="single" w:color="000000" w:sz="0" w:space="0"/>
            </w:tcBorders>
          </w:tcPr>
          <w:p w14:paraId="69D96F91">
            <w:pPr>
              <w:spacing w:after="0" w:line="240" w:lineRule="auto"/>
            </w:pPr>
            <w:r>
              <w:t>-0.18</w:t>
            </w:r>
          </w:p>
        </w:tc>
        <w:tc>
          <w:tcPr>
            <w:tcBorders>
              <w:top w:val="single" w:color="000000" w:sz="0" w:space="0"/>
              <w:left w:val="single" w:color="000000" w:sz="0" w:space="0"/>
              <w:bottom w:val="single" w:color="000000" w:sz="0" w:space="0"/>
            </w:tcBorders>
          </w:tcPr>
          <w:p w14:paraId="74001C7A">
            <w:pPr>
              <w:spacing w:after="0" w:line="240" w:lineRule="auto"/>
            </w:pPr>
            <w:r>
              <w:rPr>
                <w:rFonts w:ascii="Georgia" w:hAnsi="Georgia" w:eastAsia="Georgia" w:cs="Georgia"/>
              </w:rPr>
              <w:t>~9,000</w:t>
            </w:r>
          </w:p>
        </w:tc>
        <w:tc>
          <w:tcPr>
            <w:tcBorders>
              <w:top w:val="single" w:color="000000" w:sz="0" w:space="0"/>
              <w:left w:val="single" w:color="000000" w:sz="0" w:space="0"/>
              <w:bottom w:val="single" w:color="000000" w:sz="0" w:space="0"/>
            </w:tcBorders>
          </w:tcPr>
          <w:p w14:paraId="2CE5B15D">
            <w:pPr>
              <w:spacing w:after="0" w:line="240" w:lineRule="auto"/>
            </w:pPr>
            <w:r>
              <w:rPr>
                <w:rFonts w:ascii="Georgia" w:hAnsi="Georgia" w:eastAsia="Georgia" w:cs="Georgia"/>
              </w:rPr>
              <w:t>~3,000</w:t>
            </w:r>
          </w:p>
        </w:tc>
        <w:tc>
          <w:tcPr>
            <w:tcBorders>
              <w:top w:val="single" w:color="000000" w:sz="0" w:space="0"/>
              <w:left w:val="single" w:color="000000" w:sz="0" w:space="0"/>
              <w:bottom w:val="single" w:color="000000" w:sz="0" w:space="0"/>
            </w:tcBorders>
          </w:tcPr>
          <w:p w14:paraId="2742EFFB">
            <w:pPr>
              <w:spacing w:after="0" w:line="240" w:lineRule="auto"/>
            </w:pPr>
            <w:r>
              <w:rPr>
                <w:rFonts w:ascii="Georgia" w:hAnsi="Georgia" w:eastAsia="Georgia" w:cs="Georgia"/>
              </w:rPr>
              <w:t>劣于基线</w:t>
            </w:r>
          </w:p>
        </w:tc>
      </w:tr>
      <w:tr w14:paraId="4A7AF26A">
        <w:trPr>
          <w:cantSplit/>
          <w:tblCellSpacing w:w="0" w:type="dxa"/>
          <w:jc w:val="center"/>
        </w:trPr>
        <w:tc>
          <w:tcPr>
            <w:tcBorders>
              <w:top w:val="single" w:color="000000" w:sz="0" w:space="0"/>
              <w:bottom w:val="single" w:color="000000" w:sz="0" w:space="0"/>
            </w:tcBorders>
          </w:tcPr>
          <w:p w14:paraId="2E607BB9">
            <w:pPr>
              <w:spacing w:after="0" w:line="240" w:lineRule="auto"/>
            </w:pPr>
            <w:r>
              <w:rPr>
                <w:rFonts w:ascii="Georgia" w:hAnsi="Georgia" w:eastAsia="Georgia" w:cs="Georgia"/>
              </w:rPr>
              <w:t>时间序列方法</w:t>
            </w:r>
          </w:p>
        </w:tc>
        <w:tc>
          <w:tcPr>
            <w:tcBorders>
              <w:top w:val="single" w:color="000000" w:sz="0" w:space="0"/>
              <w:left w:val="single" w:color="000000" w:sz="0" w:space="0"/>
              <w:bottom w:val="single" w:color="000000" w:sz="0" w:space="0"/>
            </w:tcBorders>
          </w:tcPr>
          <w:p w14:paraId="14CB50CB">
            <w:pPr>
              <w:spacing w:after="0" w:line="240" w:lineRule="auto"/>
            </w:pPr>
            <w:r>
              <w:rPr>
                <w:rFonts w:ascii="Georgia" w:hAnsi="Georgia" w:eastAsia="Georgia" w:cs="Georgia"/>
              </w:rPr>
              <w:t>LSTM (2×64单元)</w:t>
            </w:r>
          </w:p>
        </w:tc>
        <w:tc>
          <w:tcPr>
            <w:tcBorders>
              <w:top w:val="single" w:color="000000" w:sz="0" w:space="0"/>
              <w:left w:val="single" w:color="000000" w:sz="0" w:space="0"/>
              <w:bottom w:val="single" w:color="000000" w:sz="0" w:space="0"/>
            </w:tcBorders>
          </w:tcPr>
          <w:p w14:paraId="08FDDF80">
            <w:pPr>
              <w:spacing w:after="0" w:line="240" w:lineRule="auto"/>
            </w:pPr>
            <w:r>
              <w:rPr>
                <w:rFonts w:ascii="Georgia" w:hAnsi="Georgia" w:eastAsia="Georgia" w:cs="Georgia"/>
              </w:rPr>
              <w:t>回归（COD）</w:t>
            </w:r>
          </w:p>
        </w:tc>
        <w:tc>
          <w:tcPr>
            <w:tcBorders>
              <w:top w:val="single" w:color="000000" w:sz="0" w:space="0"/>
              <w:left w:val="single" w:color="000000" w:sz="0" w:space="0"/>
              <w:bottom w:val="single" w:color="000000" w:sz="0" w:space="0"/>
            </w:tcBorders>
          </w:tcPr>
          <w:p w14:paraId="674F0BA4">
            <w:pPr>
              <w:spacing w:after="0" w:line="240" w:lineRule="auto"/>
            </w:pPr>
            <w:r>
              <w:rPr>
                <w:rFonts w:ascii="Georgia" w:hAnsi="Georgia" w:eastAsia="Georgia" w:cs="Georgia"/>
              </w:rPr>
              <w:t>R²</w:t>
            </w:r>
          </w:p>
        </w:tc>
        <w:tc>
          <w:tcPr>
            <w:tcBorders>
              <w:top w:val="single" w:color="000000" w:sz="0" w:space="0"/>
              <w:left w:val="single" w:color="000000" w:sz="0" w:space="0"/>
              <w:bottom w:val="single" w:color="000000" w:sz="0" w:space="0"/>
            </w:tcBorders>
          </w:tcPr>
          <w:p w14:paraId="1DBA1B78">
            <w:pPr>
              <w:spacing w:after="0" w:line="240" w:lineRule="auto"/>
            </w:pPr>
            <w:r>
              <w:t>-0.10</w:t>
            </w:r>
          </w:p>
        </w:tc>
        <w:tc>
          <w:tcPr>
            <w:tcBorders>
              <w:top w:val="single" w:color="000000" w:sz="0" w:space="0"/>
              <w:left w:val="single" w:color="000000" w:sz="0" w:space="0"/>
              <w:bottom w:val="single" w:color="000000" w:sz="0" w:space="0"/>
            </w:tcBorders>
          </w:tcPr>
          <w:p w14:paraId="47475F78">
            <w:pPr>
              <w:spacing w:after="0" w:line="240" w:lineRule="auto"/>
            </w:pPr>
            <w:r>
              <w:rPr>
                <w:rFonts w:ascii="Georgia" w:hAnsi="Georgia" w:eastAsia="Georgia" w:cs="Georgia"/>
              </w:rPr>
              <w:t>~9,000</w:t>
            </w:r>
          </w:p>
        </w:tc>
        <w:tc>
          <w:tcPr>
            <w:tcBorders>
              <w:top w:val="single" w:color="000000" w:sz="0" w:space="0"/>
              <w:left w:val="single" w:color="000000" w:sz="0" w:space="0"/>
              <w:bottom w:val="single" w:color="000000" w:sz="0" w:space="0"/>
            </w:tcBorders>
          </w:tcPr>
          <w:p w14:paraId="2912916E">
            <w:pPr>
              <w:spacing w:after="0" w:line="240" w:lineRule="auto"/>
            </w:pPr>
            <w:r>
              <w:rPr>
                <w:rFonts w:ascii="Georgia" w:hAnsi="Georgia" w:eastAsia="Georgia" w:cs="Georgia"/>
              </w:rPr>
              <w:t>~3,000</w:t>
            </w:r>
          </w:p>
        </w:tc>
        <w:tc>
          <w:tcPr>
            <w:tcBorders>
              <w:top w:val="single" w:color="000000" w:sz="0" w:space="0"/>
              <w:left w:val="single" w:color="000000" w:sz="0" w:space="0"/>
              <w:bottom w:val="single" w:color="000000" w:sz="0" w:space="0"/>
            </w:tcBorders>
          </w:tcPr>
          <w:p w14:paraId="62753A4F">
            <w:pPr>
              <w:spacing w:after="0" w:line="240" w:lineRule="auto"/>
            </w:pPr>
            <w:r>
              <w:rPr>
                <w:rFonts w:ascii="Georgia" w:hAnsi="Georgia" w:eastAsia="Georgia" w:cs="Georgia"/>
              </w:rPr>
              <w:t>劣于基线</w:t>
            </w:r>
          </w:p>
        </w:tc>
      </w:tr>
      <w:tr w14:paraId="1F28BEDB">
        <w:trPr>
          <w:cantSplit/>
          <w:tblCellSpacing w:w="0" w:type="dxa"/>
          <w:jc w:val="center"/>
        </w:trPr>
        <w:tc>
          <w:tcPr>
            <w:tcBorders>
              <w:top w:val="single" w:color="000000" w:sz="0" w:space="0"/>
              <w:bottom w:val="single" w:color="000000" w:sz="0" w:space="0"/>
            </w:tcBorders>
          </w:tcPr>
          <w:p w14:paraId="3E10EAEF">
            <w:pPr>
              <w:spacing w:after="0" w:line="240" w:lineRule="auto"/>
            </w:pPr>
            <w:r>
              <w:rPr>
                <w:rFonts w:ascii="Georgia" w:hAnsi="Georgia" w:eastAsia="Georgia" w:cs="Georgia"/>
              </w:rPr>
              <w:t>时间序列方法</w:t>
            </w:r>
          </w:p>
        </w:tc>
        <w:tc>
          <w:tcPr>
            <w:tcBorders>
              <w:top w:val="single" w:color="000000" w:sz="0" w:space="0"/>
              <w:left w:val="single" w:color="000000" w:sz="0" w:space="0"/>
              <w:bottom w:val="single" w:color="000000" w:sz="0" w:space="0"/>
            </w:tcBorders>
          </w:tcPr>
          <w:p w14:paraId="23A89708">
            <w:pPr>
              <w:spacing w:after="0" w:line="240" w:lineRule="auto"/>
            </w:pPr>
            <w:r>
              <w:rPr>
                <w:rFonts w:ascii="Georgia" w:hAnsi="Georgia" w:eastAsia="Georgia" w:cs="Georgia"/>
              </w:rPr>
              <w:t>LSTM+RF混合</w:t>
            </w:r>
          </w:p>
        </w:tc>
        <w:tc>
          <w:tcPr>
            <w:tcBorders>
              <w:top w:val="single" w:color="000000" w:sz="0" w:space="0"/>
              <w:left w:val="single" w:color="000000" w:sz="0" w:space="0"/>
              <w:bottom w:val="single" w:color="000000" w:sz="0" w:space="0"/>
            </w:tcBorders>
          </w:tcPr>
          <w:p w14:paraId="1230603D">
            <w:pPr>
              <w:spacing w:after="0" w:line="240" w:lineRule="auto"/>
            </w:pPr>
            <w:r>
              <w:rPr>
                <w:rFonts w:ascii="Georgia" w:hAnsi="Georgia" w:eastAsia="Georgia" w:cs="Georgia"/>
              </w:rPr>
              <w:t>回归（COD）</w:t>
            </w:r>
          </w:p>
        </w:tc>
        <w:tc>
          <w:tcPr>
            <w:tcBorders>
              <w:top w:val="single" w:color="000000" w:sz="0" w:space="0"/>
              <w:left w:val="single" w:color="000000" w:sz="0" w:space="0"/>
              <w:bottom w:val="single" w:color="000000" w:sz="0" w:space="0"/>
            </w:tcBorders>
          </w:tcPr>
          <w:p w14:paraId="14870A5C">
            <w:pPr>
              <w:spacing w:after="0" w:line="240" w:lineRule="auto"/>
            </w:pPr>
            <w:r>
              <w:rPr>
                <w:rFonts w:ascii="Georgia" w:hAnsi="Georgia" w:eastAsia="Georgia" w:cs="Georgia"/>
              </w:rPr>
              <w:t>R²</w:t>
            </w:r>
          </w:p>
        </w:tc>
        <w:tc>
          <w:tcPr>
            <w:tcBorders>
              <w:top w:val="single" w:color="000000" w:sz="0" w:space="0"/>
              <w:left w:val="single" w:color="000000" w:sz="0" w:space="0"/>
              <w:bottom w:val="single" w:color="000000" w:sz="0" w:space="0"/>
            </w:tcBorders>
          </w:tcPr>
          <w:p w14:paraId="69DC8726">
            <w:pPr>
              <w:spacing w:after="0" w:line="240" w:lineRule="auto"/>
            </w:pPr>
            <w:r>
              <w:t>-0.30</w:t>
            </w:r>
          </w:p>
        </w:tc>
        <w:tc>
          <w:tcPr>
            <w:tcBorders>
              <w:top w:val="single" w:color="000000" w:sz="0" w:space="0"/>
              <w:left w:val="single" w:color="000000" w:sz="0" w:space="0"/>
              <w:bottom w:val="single" w:color="000000" w:sz="0" w:space="0"/>
            </w:tcBorders>
          </w:tcPr>
          <w:p w14:paraId="3A6ACF94">
            <w:pPr>
              <w:spacing w:after="0" w:line="240" w:lineRule="auto"/>
            </w:pPr>
            <w:r>
              <w:rPr>
                <w:rFonts w:ascii="Georgia" w:hAnsi="Georgia" w:eastAsia="Georgia" w:cs="Georgia"/>
              </w:rPr>
              <w:t>~9,000</w:t>
            </w:r>
          </w:p>
        </w:tc>
        <w:tc>
          <w:tcPr>
            <w:tcBorders>
              <w:top w:val="single" w:color="000000" w:sz="0" w:space="0"/>
              <w:left w:val="single" w:color="000000" w:sz="0" w:space="0"/>
              <w:bottom w:val="single" w:color="000000" w:sz="0" w:space="0"/>
            </w:tcBorders>
          </w:tcPr>
          <w:p w14:paraId="67DB2331">
            <w:pPr>
              <w:spacing w:after="0" w:line="240" w:lineRule="auto"/>
            </w:pPr>
            <w:r>
              <w:rPr>
                <w:rFonts w:ascii="Georgia" w:hAnsi="Georgia" w:eastAsia="Georgia" w:cs="Georgia"/>
              </w:rPr>
              <w:t>~3,000</w:t>
            </w:r>
          </w:p>
        </w:tc>
        <w:tc>
          <w:tcPr>
            <w:tcBorders>
              <w:top w:val="single" w:color="000000" w:sz="0" w:space="0"/>
              <w:left w:val="single" w:color="000000" w:sz="0" w:space="0"/>
              <w:bottom w:val="single" w:color="000000" w:sz="0" w:space="0"/>
            </w:tcBorders>
          </w:tcPr>
          <w:p w14:paraId="7AB34ADB">
            <w:pPr>
              <w:spacing w:after="0" w:line="240" w:lineRule="auto"/>
            </w:pPr>
            <w:r>
              <w:rPr>
                <w:rFonts w:ascii="Georgia" w:hAnsi="Georgia" w:eastAsia="Georgia" w:cs="Georgia"/>
              </w:rPr>
              <w:t>劣于基线</w:t>
            </w:r>
          </w:p>
        </w:tc>
      </w:tr>
    </w:tbl>
    <w:p w14:paraId="5A86E089">
      <w:pPr>
        <w:snapToGrid/>
        <w:spacing w:beforeAutospacing="0" w:after="0" w:afterAutospacing="0" w:line="400" w:lineRule="exact"/>
        <w:ind w:left="0" w:leftChars="0" w:right="0" w:rightChars="0" w:firstLine="480" w:firstLineChars="200"/>
        <w:jc w:val="both"/>
        <w:rPr>
          <w:rFonts w:ascii="Times New Roman" w:eastAsia="宋体"/>
          <w:sz w:val="24"/>
        </w:rPr>
      </w:pPr>
    </w:p>
    <w:p w14:paraId="6A3665AE">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从表14可以看出，方法性能呈现出明显的两极分化。横截面方法在污染等级分类任务上表现卓越，XGBoost和RandomForest的准确率分别达到99.58%和99.55%，接近完美分类。这一成绩显著优于支持向量机（98.16%，未在表中列出）和逻辑回归（96.17%）等传统方法。值得注意的是，LightGBM和CatBoost的准确率仅为78%和76%，性能显著低于XGBoost和RandomForest。经过分析，这一差距主要源于特征工程的差异，LightGBM和CatBoost模型使用的数据集缺少第3.1.2节中构建的工程特征（总重金属、COD/BOD比、氮磷比），导致输入信息不完整。这一对比凸显了特征工程在机器学习建模中的关键作用。</w:t>
      </w:r>
    </w:p>
    <w:p w14:paraId="591B53FE">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回归任务中，横截面方法展现出明显的选择性成功模式。对于化学需氧量（COD）、生化需氧量（BOD）、总氮（TN）和总磷（TP）四个化学指标，XGBoost回归模型达到了极高的预测精度，R²值均超过0.96，其中COD和BOD的R²分别达到0.993和0.995。如3.1.4节的相关性分析所示，这四个化学指标之间存在显著的正相关关系（如COD与BOD的相关系数r=0.82），使得模型能够利用同一时刻的其他指标来准确预测目标指标。然而，溶解氧（DO）、氨氮（NH₃-N）和pH三个指标的预测则完全失败，R²值均为负值。如5.2节详细分析的那样，这些失败指标受到不同物理化学过程的控制，DO主要受大气交换和水温影响，pH由复杂的缓冲系统决定，氨氮受微生物转化过程控制，它们与其他水质指标的相关性较弱，导致横截面预测方法难以发挥作用。</w:t>
      </w:r>
    </w:p>
    <w:p w14:paraId="182A5026">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与横截面方法的部分成功形成鲜明对比的是，所有时间序列方法在本数据集上均表现劣于简单基线。无论是经典的ARIMA、考虑季节性的SARIMA、还是深度学习的LSTM，甚至是试图结合序列特征提取和回归预测的LSTM+RandomForest混合模型，其测试集R²值全部为负值，表明预测精度甚至不如简单的均值预测基线（Naive Baseline: R²=0）。这种性能不佳并非超参数调优不足或模型架构选择不当，而是根本性的方法不适用。如3.1.3节的数据特性分析所揭示的，数据采样的极度不规则性（变异系数CV=1.99，远超阈值0.2）和零时间相关性（一阶自相关系数ACF(1)=0.03）从根本上破坏了时间序列方法的基本假设。当数据不满足等间隔采样假设且过去观测无法预测未来时，时间序列模型退化为无效的均值预测器，其性能自然劣于基线。这一发现强调了方法选择与数据特性匹配的重要性，在应用时间序列方法前，必须先验证数据的采样规律性（通过CV计算）和时间依赖性（通过ACF分析），当CV&gt;1.0且ACF≈0时，应果断选择横截面方法而非时间序列方法。</w:t>
      </w:r>
    </w:p>
    <w:p w14:paraId="6238DBF7">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77" w:name="bm_5_2_横截面方法表现与分析"/>
      <w:bookmarkStart w:id="78" w:name="_Toc1426149153"/>
      <w:r>
        <w:rPr>
          <w:rFonts w:ascii="黑体" w:hAnsi="Georgia" w:eastAsia="黑体" w:cs="Georgia"/>
          <w:b w:val="0"/>
          <w:sz w:val="28"/>
        </w:rPr>
        <w:t>5.2 横截面方法表现与分析</w:t>
      </w:r>
      <w:bookmarkEnd w:id="77"/>
      <w:bookmarkEnd w:id="78"/>
    </w:p>
    <w:p w14:paraId="0A1839B9">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横截面方法在本数据集上展现出卓越的预测性能，但不同任务和不同指标之间存在显著差异。本节详细分析污染等级分类和水质指标回归两类任务的表现，探讨成功与失败背后的机制。</w:t>
      </w:r>
    </w:p>
    <w:p w14:paraId="6CDC532D">
      <w:pPr>
        <w:snapToGrid/>
        <w:spacing w:before="240" w:beforeAutospacing="0" w:after="120" w:afterAutospacing="0" w:line="240" w:lineRule="auto"/>
        <w:ind w:left="0" w:leftChars="0" w:right="0" w:rightChars="0" w:firstLine="0" w:firstLineChars="0"/>
        <w:jc w:val="both"/>
        <w:outlineLvl w:val="2"/>
        <w:rPr>
          <w:rFonts w:ascii="黑体" w:eastAsia="黑体"/>
          <w:b w:val="0"/>
          <w:sz w:val="26"/>
        </w:rPr>
      </w:pPr>
      <w:bookmarkStart w:id="79" w:name="bm_5_2_1_污染等级分类任务"/>
      <w:bookmarkStart w:id="80" w:name="_Toc1223830304"/>
      <w:r>
        <w:rPr>
          <w:rFonts w:ascii="黑体" w:hAnsi="Georgia" w:eastAsia="黑体" w:cs="Georgia"/>
          <w:b w:val="0"/>
          <w:sz w:val="26"/>
        </w:rPr>
        <w:t>5.2.1 污染等级分类任务</w:t>
      </w:r>
      <w:bookmarkEnd w:id="79"/>
      <w:bookmarkEnd w:id="80"/>
    </w:p>
    <w:p w14:paraId="457FDD13">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分类任务的本质与评估策略</w:t>
      </w:r>
      <w:r>
        <w:rPr>
          <w:rFonts w:ascii="Times New Roman" w:hAnsi="Georgia" w:eastAsia="宋体" w:cs="Georgia"/>
          <w:sz w:val="24"/>
        </w:rPr>
        <w:t>，污染等级（I-V类）由GB 3838-2002《地表水环境质量标准》根据COD、氨氮、溶解氧等化学指标的阈值规则定义。当模型使用全部20个水质指标（包括这些定义性指标）进行分类时，本质上是在用机器学习拟合"查表规则"，而非发现未知的预测规律。因此，99.58%的准确率虽然数值上接近完美，但其学术价值有限——这更接近于自动化分级工具而非真正的预测模型。</w:t>
      </w:r>
      <w:r>
        <w:rPr>
          <w:rFonts w:ascii="Times New Roman" w:eastAsia="宋体"/>
          <w:b/>
          <w:sz w:val="24"/>
        </w:rPr>
        <w:t>真正考验模型预测能力的是两个更严格的场景</w:t>
      </w:r>
      <w:r>
        <w:rPr>
          <w:rFonts w:ascii="Times New Roman" w:hAnsi="Georgia" w:eastAsia="宋体" w:cs="Georgia"/>
          <w:sz w:val="24"/>
        </w:rPr>
        <w:t>，一是空间泛化测试（对未见监测站点的预测），二是低成本传感器测试（仅使用物理指标推断化学定义的污染等级）。本节将按照这一逻辑组织讨论，先展示空间泛化和低成本传感器的结果，再回顾全指标方案的性能上限。</w:t>
      </w:r>
    </w:p>
    <w:p w14:paraId="03BA0408">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空间泛化能力，对未见监测站点的预测</w:t>
      </w:r>
    </w:p>
    <w:p w14:paraId="68BDAF86">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真正考验模型预测能力的首要场景是空间泛化测试，即模型在完全未见过的监测站点上的表现。这一评估对于实际应用至关重要，在水质监测网络扩展时，新建监测站点通常缺少历史数据积累，模型必须基于水质指标的普遍规律进行判断，而不能依赖站点特异性的模式（如某站点系统性偏高或偏低）。</w:t>
      </w:r>
    </w:p>
    <w:p w14:paraId="51230BD8">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表15-B对比了XGBoost模型在两种数据分割策略下的性能，随机分割（Random Split）和按站点分割（Station-Based Split）。</w:t>
      </w:r>
    </w:p>
    <w:p w14:paraId="425A8735">
      <w:pPr>
        <w:spacing w:after="220"/>
        <w:ind w:left="0" w:leftChars="0" w:right="0" w:rightChars="0" w:firstLine="0" w:firstLineChars="0"/>
        <w:jc w:val="center"/>
        <w:rPr>
          <w:rFonts w:ascii="宋体" w:eastAsia="宋体"/>
          <w:b w:val="0"/>
          <w:sz w:val="21"/>
        </w:rPr>
      </w:pPr>
      <w:r>
        <w:rPr>
          <w:rFonts w:ascii="宋体" w:eastAsia="宋体"/>
          <w:b w:val="0"/>
          <w:sz w:val="21"/>
        </w:rPr>
        <w:t>表15-B 空间泛化能力对比（XGBoost模型）</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28"/>
        <w:gridCol w:w="1166"/>
        <w:gridCol w:w="1133"/>
        <w:gridCol w:w="1432"/>
        <w:gridCol w:w="1083"/>
        <w:gridCol w:w="3028"/>
      </w:tblGrid>
      <w:tr w14:paraId="76F76674">
        <w:trPr>
          <w:cantSplit/>
          <w:tblCellSpacing w:w="0" w:type="dxa"/>
          <w:jc w:val="center"/>
        </w:trPr>
        <w:tc>
          <w:tcPr>
            <w:tcBorders>
              <w:top w:val="single" w:color="000000" w:sz="0" w:space="0"/>
              <w:bottom w:val="single" w:color="000000" w:sz="0" w:space="0"/>
            </w:tcBorders>
          </w:tcPr>
          <w:p w14:paraId="6944A60A">
            <w:pPr>
              <w:spacing w:after="0" w:line="240" w:lineRule="auto"/>
            </w:pPr>
            <w:r>
              <w:rPr>
                <w:rFonts w:ascii="Georgia" w:hAnsi="Georgia" w:eastAsia="Georgia" w:cs="Georgia"/>
              </w:rPr>
              <w:t>分割策略</w:t>
            </w:r>
          </w:p>
        </w:tc>
        <w:tc>
          <w:tcPr>
            <w:tcBorders>
              <w:top w:val="single" w:color="000000" w:sz="0" w:space="0"/>
              <w:left w:val="single" w:color="000000" w:sz="0" w:space="0"/>
              <w:bottom w:val="single" w:color="000000" w:sz="0" w:space="0"/>
            </w:tcBorders>
          </w:tcPr>
          <w:p w14:paraId="7C38C46C">
            <w:pPr>
              <w:spacing w:after="0" w:line="240" w:lineRule="auto"/>
            </w:pPr>
            <w:r>
              <w:rPr>
                <w:rFonts w:ascii="Georgia" w:hAnsi="Georgia" w:eastAsia="Georgia" w:cs="Georgia"/>
              </w:rPr>
              <w:t>训练站点数</w:t>
            </w:r>
          </w:p>
        </w:tc>
        <w:tc>
          <w:tcPr>
            <w:tcBorders>
              <w:top w:val="single" w:color="000000" w:sz="0" w:space="0"/>
              <w:left w:val="single" w:color="000000" w:sz="0" w:space="0"/>
              <w:bottom w:val="single" w:color="000000" w:sz="0" w:space="0"/>
            </w:tcBorders>
          </w:tcPr>
          <w:p w14:paraId="58E254F1">
            <w:pPr>
              <w:spacing w:after="0" w:line="240" w:lineRule="auto"/>
            </w:pPr>
            <w:r>
              <w:rPr>
                <w:rFonts w:ascii="Georgia" w:hAnsi="Georgia" w:eastAsia="Georgia" w:cs="Georgia"/>
              </w:rPr>
              <w:t>测试站点数</w:t>
            </w:r>
          </w:p>
        </w:tc>
        <w:tc>
          <w:tcPr>
            <w:tcBorders>
              <w:top w:val="single" w:color="000000" w:sz="0" w:space="0"/>
              <w:left w:val="single" w:color="000000" w:sz="0" w:space="0"/>
              <w:bottom w:val="single" w:color="000000" w:sz="0" w:space="0"/>
            </w:tcBorders>
          </w:tcPr>
          <w:p w14:paraId="6E3FC3BC">
            <w:pPr>
              <w:spacing w:after="0" w:line="240" w:lineRule="auto"/>
            </w:pPr>
            <w:r>
              <w:rPr>
                <w:rFonts w:ascii="Georgia" w:hAnsi="Georgia" w:eastAsia="Georgia" w:cs="Georgia"/>
              </w:rPr>
              <w:t>测试集准确率</w:t>
            </w:r>
          </w:p>
        </w:tc>
        <w:tc>
          <w:tcPr>
            <w:tcBorders>
              <w:top w:val="single" w:color="000000" w:sz="0" w:space="0"/>
              <w:left w:val="single" w:color="000000" w:sz="0" w:space="0"/>
              <w:bottom w:val="single" w:color="000000" w:sz="0" w:space="0"/>
            </w:tcBorders>
          </w:tcPr>
          <w:p w14:paraId="479D54DF">
            <w:pPr>
              <w:spacing w:after="0" w:line="240" w:lineRule="auto"/>
            </w:pPr>
            <w:r>
              <w:rPr>
                <w:rFonts w:ascii="Georgia" w:hAnsi="Georgia" w:eastAsia="Georgia" w:cs="Georgia"/>
              </w:rPr>
              <w:t>宏平均F1</w:t>
            </w:r>
          </w:p>
        </w:tc>
        <w:tc>
          <w:tcPr>
            <w:tcBorders>
              <w:top w:val="single" w:color="000000" w:sz="0" w:space="0"/>
              <w:left w:val="single" w:color="000000" w:sz="0" w:space="0"/>
              <w:bottom w:val="single" w:color="000000" w:sz="0" w:space="0"/>
            </w:tcBorders>
          </w:tcPr>
          <w:p w14:paraId="7BADB12C">
            <w:pPr>
              <w:spacing w:after="0" w:line="240" w:lineRule="auto"/>
            </w:pPr>
            <w:r>
              <w:rPr>
                <w:rFonts w:ascii="Georgia" w:hAnsi="Georgia" w:eastAsia="Georgia" w:cs="Georgia"/>
              </w:rPr>
              <w:t>评估说明</w:t>
            </w:r>
          </w:p>
        </w:tc>
      </w:tr>
      <w:tr w14:paraId="530DAF36">
        <w:trPr>
          <w:cantSplit/>
          <w:tblCellSpacing w:w="0" w:type="dxa"/>
          <w:jc w:val="center"/>
        </w:trPr>
        <w:tc>
          <w:tcPr>
            <w:tcBorders>
              <w:top w:val="single" w:color="000000" w:sz="0" w:space="0"/>
              <w:bottom w:val="single" w:color="000000" w:sz="0" w:space="0"/>
            </w:tcBorders>
          </w:tcPr>
          <w:p w14:paraId="65B17FC5">
            <w:pPr>
              <w:spacing w:after="0" w:line="240" w:lineRule="auto"/>
            </w:pPr>
            <w:r>
              <w:rPr>
                <w:rFonts w:ascii="Georgia" w:hAnsi="Georgia" w:eastAsia="Georgia" w:cs="Georgia"/>
              </w:rPr>
              <w:t>随机分割</w:t>
            </w:r>
          </w:p>
        </w:tc>
        <w:tc>
          <w:tcPr>
            <w:tcBorders>
              <w:top w:val="single" w:color="000000" w:sz="0" w:space="0"/>
              <w:left w:val="single" w:color="000000" w:sz="0" w:space="0"/>
              <w:bottom w:val="single" w:color="000000" w:sz="0" w:space="0"/>
            </w:tcBorders>
          </w:tcPr>
          <w:p w14:paraId="4AA6DB45">
            <w:pPr>
              <w:spacing w:after="0" w:line="240" w:lineRule="auto"/>
            </w:pPr>
            <w:r>
              <w:rPr>
                <w:rFonts w:ascii="Georgia" w:hAnsi="Georgia" w:eastAsia="Georgia" w:cs="Georgia"/>
              </w:rPr>
              <w:t>—</w:t>
            </w:r>
          </w:p>
        </w:tc>
        <w:tc>
          <w:tcPr>
            <w:tcBorders>
              <w:top w:val="single" w:color="000000" w:sz="0" w:space="0"/>
              <w:left w:val="single" w:color="000000" w:sz="0" w:space="0"/>
              <w:bottom w:val="single" w:color="000000" w:sz="0" w:space="0"/>
            </w:tcBorders>
          </w:tcPr>
          <w:p w14:paraId="7DF226A9">
            <w:pPr>
              <w:spacing w:after="0" w:line="240" w:lineRule="auto"/>
            </w:pPr>
            <w:r>
              <w:rPr>
                <w:rFonts w:ascii="Georgia" w:hAnsi="Georgia" w:eastAsia="Georgia" w:cs="Georgia"/>
              </w:rPr>
              <w:t>—</w:t>
            </w:r>
          </w:p>
        </w:tc>
        <w:tc>
          <w:tcPr>
            <w:tcBorders>
              <w:top w:val="single" w:color="000000" w:sz="0" w:space="0"/>
              <w:left w:val="single" w:color="000000" w:sz="0" w:space="0"/>
              <w:bottom w:val="single" w:color="000000" w:sz="0" w:space="0"/>
            </w:tcBorders>
          </w:tcPr>
          <w:p w14:paraId="40B1D8D6">
            <w:pPr>
              <w:spacing w:after="0" w:line="240" w:lineRule="auto"/>
            </w:pPr>
            <w:r>
              <w:t>74.75%</w:t>
            </w:r>
          </w:p>
        </w:tc>
        <w:tc>
          <w:tcPr>
            <w:tcBorders>
              <w:top w:val="single" w:color="000000" w:sz="0" w:space="0"/>
              <w:left w:val="single" w:color="000000" w:sz="0" w:space="0"/>
              <w:bottom w:val="single" w:color="000000" w:sz="0" w:space="0"/>
            </w:tcBorders>
          </w:tcPr>
          <w:p w14:paraId="772A3AB2">
            <w:pPr>
              <w:spacing w:after="0" w:line="240" w:lineRule="auto"/>
            </w:pPr>
            <w:r>
              <w:t>0.72</w:t>
            </w:r>
          </w:p>
        </w:tc>
        <w:tc>
          <w:tcPr>
            <w:tcBorders>
              <w:top w:val="single" w:color="000000" w:sz="0" w:space="0"/>
              <w:left w:val="single" w:color="000000" w:sz="0" w:space="0"/>
              <w:bottom w:val="single" w:color="000000" w:sz="0" w:space="0"/>
            </w:tcBorders>
          </w:tcPr>
          <w:p w14:paraId="768ECDD8">
            <w:pPr>
              <w:spacing w:after="0" w:line="240" w:lineRule="auto"/>
            </w:pPr>
            <w:r>
              <w:rPr>
                <w:rFonts w:ascii="Georgia" w:hAnsi="Georgia" w:eastAsia="Georgia" w:cs="Georgia"/>
              </w:rPr>
              <w:t>训练集和测试集包含相同站点的不同采样</w:t>
            </w:r>
          </w:p>
        </w:tc>
      </w:tr>
      <w:tr w14:paraId="5C03DB54">
        <w:trPr>
          <w:cantSplit/>
          <w:tblCellSpacing w:w="0" w:type="dxa"/>
          <w:jc w:val="center"/>
        </w:trPr>
        <w:tc>
          <w:tcPr>
            <w:tcBorders>
              <w:top w:val="single" w:color="000000" w:sz="0" w:space="0"/>
              <w:bottom w:val="single" w:color="000000" w:sz="0" w:space="0"/>
            </w:tcBorders>
          </w:tcPr>
          <w:p w14:paraId="3D1CF4FB">
            <w:pPr>
              <w:spacing w:after="0" w:line="240" w:lineRule="auto"/>
            </w:pPr>
            <w:r>
              <w:rPr>
                <w:rFonts w:ascii="Georgia" w:hAnsi="Georgia" w:eastAsia="Georgia" w:cs="Georgia"/>
              </w:rPr>
              <w:t>按站点分割</w:t>
            </w:r>
          </w:p>
        </w:tc>
        <w:tc>
          <w:tcPr>
            <w:tcBorders>
              <w:top w:val="single" w:color="000000" w:sz="0" w:space="0"/>
              <w:left w:val="single" w:color="000000" w:sz="0" w:space="0"/>
              <w:bottom w:val="single" w:color="000000" w:sz="0" w:space="0"/>
            </w:tcBorders>
          </w:tcPr>
          <w:p w14:paraId="4CB6DBFF">
            <w:pPr>
              <w:spacing w:after="0" w:line="240" w:lineRule="auto"/>
            </w:pPr>
            <w:r>
              <w:t>144</w:t>
            </w:r>
          </w:p>
        </w:tc>
        <w:tc>
          <w:tcPr>
            <w:tcBorders>
              <w:top w:val="single" w:color="000000" w:sz="0" w:space="0"/>
              <w:left w:val="single" w:color="000000" w:sz="0" w:space="0"/>
              <w:bottom w:val="single" w:color="000000" w:sz="0" w:space="0"/>
            </w:tcBorders>
          </w:tcPr>
          <w:p w14:paraId="53703359">
            <w:pPr>
              <w:spacing w:after="0" w:line="240" w:lineRule="auto"/>
            </w:pPr>
            <w:r>
              <w:t>36</w:t>
            </w:r>
          </w:p>
        </w:tc>
        <w:tc>
          <w:tcPr>
            <w:tcBorders>
              <w:top w:val="single" w:color="000000" w:sz="0" w:space="0"/>
              <w:left w:val="single" w:color="000000" w:sz="0" w:space="0"/>
              <w:bottom w:val="single" w:color="000000" w:sz="0" w:space="0"/>
            </w:tcBorders>
          </w:tcPr>
          <w:p w14:paraId="7236B80A">
            <w:pPr>
              <w:spacing w:after="0" w:line="240" w:lineRule="auto"/>
            </w:pPr>
            <w:r>
              <w:t>73.77%</w:t>
            </w:r>
          </w:p>
        </w:tc>
        <w:tc>
          <w:tcPr>
            <w:tcBorders>
              <w:top w:val="single" w:color="000000" w:sz="0" w:space="0"/>
              <w:left w:val="single" w:color="000000" w:sz="0" w:space="0"/>
              <w:bottom w:val="single" w:color="000000" w:sz="0" w:space="0"/>
            </w:tcBorders>
          </w:tcPr>
          <w:p w14:paraId="40B97DC8">
            <w:pPr>
              <w:spacing w:after="0" w:line="240" w:lineRule="auto"/>
            </w:pPr>
            <w:r>
              <w:t>0.71</w:t>
            </w:r>
          </w:p>
        </w:tc>
        <w:tc>
          <w:tcPr>
            <w:tcBorders>
              <w:top w:val="single" w:color="000000" w:sz="0" w:space="0"/>
              <w:left w:val="single" w:color="000000" w:sz="0" w:space="0"/>
              <w:bottom w:val="single" w:color="000000" w:sz="0" w:space="0"/>
            </w:tcBorders>
          </w:tcPr>
          <w:p w14:paraId="03E5BEEE">
            <w:pPr>
              <w:spacing w:after="0" w:line="240" w:lineRule="auto"/>
            </w:pPr>
            <w:r>
              <w:rPr>
                <w:rFonts w:ascii="Georgia" w:hAnsi="Georgia" w:eastAsia="Georgia" w:cs="Georgia"/>
              </w:rPr>
              <w:t>测试集包含训练时完全未见过的站点</w:t>
            </w:r>
          </w:p>
        </w:tc>
      </w:tr>
      <w:tr w14:paraId="5C309885">
        <w:trPr>
          <w:cantSplit/>
          <w:tblCellSpacing w:w="0" w:type="dxa"/>
          <w:jc w:val="center"/>
        </w:trPr>
        <w:tc>
          <w:tcPr>
            <w:tcBorders>
              <w:top w:val="single" w:color="000000" w:sz="0" w:space="0"/>
              <w:bottom w:val="single" w:color="000000" w:sz="0" w:space="0"/>
            </w:tcBorders>
          </w:tcPr>
          <w:p w14:paraId="099178C6">
            <w:pPr>
              <w:spacing w:after="0" w:line="240" w:lineRule="auto"/>
            </w:pPr>
            <w:r>
              <w:rPr>
                <w:b/>
              </w:rPr>
              <w:t>性能下降</w:t>
            </w:r>
          </w:p>
        </w:tc>
        <w:tc>
          <w:tcPr>
            <w:tcBorders>
              <w:top w:val="single" w:color="000000" w:sz="0" w:space="0"/>
              <w:left w:val="single" w:color="000000" w:sz="0" w:space="0"/>
              <w:bottom w:val="single" w:color="000000" w:sz="0" w:space="0"/>
            </w:tcBorders>
          </w:tcPr>
          <w:p w14:paraId="51BC1CE9">
            <w:pPr>
              <w:spacing w:after="0" w:line="240" w:lineRule="auto"/>
            </w:pPr>
            <w:r>
              <w:rPr>
                <w:rFonts w:ascii="Georgia" w:hAnsi="Georgia" w:eastAsia="Georgia" w:cs="Georgia"/>
              </w:rPr>
              <w:t>—</w:t>
            </w:r>
          </w:p>
        </w:tc>
        <w:tc>
          <w:tcPr>
            <w:tcBorders>
              <w:top w:val="single" w:color="000000" w:sz="0" w:space="0"/>
              <w:left w:val="single" w:color="000000" w:sz="0" w:space="0"/>
              <w:bottom w:val="single" w:color="000000" w:sz="0" w:space="0"/>
            </w:tcBorders>
          </w:tcPr>
          <w:p w14:paraId="3EF7BCBB">
            <w:pPr>
              <w:spacing w:after="0" w:line="240" w:lineRule="auto"/>
            </w:pPr>
            <w:r>
              <w:rPr>
                <w:rFonts w:ascii="Georgia" w:hAnsi="Georgia" w:eastAsia="Georgia" w:cs="Georgia"/>
              </w:rPr>
              <w:t>—</w:t>
            </w:r>
          </w:p>
        </w:tc>
        <w:tc>
          <w:tcPr>
            <w:tcBorders>
              <w:top w:val="single" w:color="000000" w:sz="0" w:space="0"/>
              <w:left w:val="single" w:color="000000" w:sz="0" w:space="0"/>
              <w:bottom w:val="single" w:color="000000" w:sz="0" w:space="0"/>
            </w:tcBorders>
          </w:tcPr>
          <w:p w14:paraId="1239F7B0">
            <w:pPr>
              <w:spacing w:after="0" w:line="240" w:lineRule="auto"/>
            </w:pPr>
            <w:r>
              <w:rPr>
                <w:b/>
              </w:rPr>
              <w:t>0.98%</w:t>
            </w:r>
          </w:p>
        </w:tc>
        <w:tc>
          <w:tcPr>
            <w:tcBorders>
              <w:top w:val="single" w:color="000000" w:sz="0" w:space="0"/>
              <w:left w:val="single" w:color="000000" w:sz="0" w:space="0"/>
              <w:bottom w:val="single" w:color="000000" w:sz="0" w:space="0"/>
            </w:tcBorders>
          </w:tcPr>
          <w:p w14:paraId="5B5EEC6E">
            <w:pPr>
              <w:spacing w:after="0" w:line="240" w:lineRule="auto"/>
            </w:pPr>
            <w:r>
              <w:rPr>
                <w:b/>
              </w:rPr>
              <w:t>0.01</w:t>
            </w:r>
          </w:p>
        </w:tc>
        <w:tc>
          <w:tcPr>
            <w:tcBorders>
              <w:top w:val="single" w:color="000000" w:sz="0" w:space="0"/>
              <w:left w:val="single" w:color="000000" w:sz="0" w:space="0"/>
              <w:bottom w:val="single" w:color="000000" w:sz="0" w:space="0"/>
            </w:tcBorders>
          </w:tcPr>
          <w:p w14:paraId="146A84D9">
            <w:pPr>
              <w:spacing w:after="0" w:line="240" w:lineRule="auto"/>
            </w:pPr>
            <w:r>
              <w:rPr>
                <w:rFonts w:ascii="Georgia" w:hAnsi="Georgia" w:eastAsia="Georgia" w:cs="Georgia"/>
              </w:rPr>
              <w:t>—</w:t>
            </w:r>
          </w:p>
        </w:tc>
      </w:tr>
    </w:tbl>
    <w:p w14:paraId="4C697E3E">
      <w:pPr>
        <w:snapToGrid/>
        <w:spacing w:beforeAutospacing="0" w:after="0" w:afterAutospacing="0" w:line="400" w:lineRule="exact"/>
        <w:ind w:left="0" w:leftChars="0" w:right="0" w:rightChars="0" w:firstLine="480" w:firstLineChars="200"/>
        <w:jc w:val="both"/>
        <w:rPr>
          <w:rFonts w:ascii="Times New Roman" w:eastAsia="宋体"/>
          <w:sz w:val="24"/>
        </w:rPr>
      </w:pPr>
    </w:p>
    <w:p w14:paraId="0AB40F8F">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注，随机分割按80%-20%比例随机划分全部样本，按站点分割使用GroupShuffleSplit确保训练集和测试集的监测站点完全不重叠（144个训练站点、36个测试站点）。</w:t>
      </w:r>
    </w:p>
    <w:p w14:paraId="0FE73146">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从表15-B可以看出，当采用按站点分割策略进行评估时，模型准确率从74.75%小幅下降至73.77%，降幅仅为0.98个百分点（约1.3%的相对下降）。这一轻微的性能损失表明，XGBoost模型具有良好的空间泛化能力，能够将从已知站点学到的水质指标与污染等级之间的关系成功迁移到新站点。换言之，模型主要依赖水质指标的内在规律（如COD高、浊度高则污染等级高）进行预测，而非记忆特定站点的特征分布。</w:t>
      </w:r>
    </w:p>
    <w:p w14:paraId="6CEB6DA7">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这一结果具有重要的实践意义。在水质监测网络扩展时，新建监测站点通常缺少历史数据积累，无法直接训练站点特异性模型。按站点分割实验证明，基于其他站点训练的模型可以直接应用于新站点，预测准确率仅下降不到1%。这为监测网络的快速部署和动态调整提供了技术可行性，管理部门可以根据污染风险动态增设或移动监测点，而无需担心模型性能的显著衰退。</w:t>
      </w:r>
    </w:p>
    <w:p w14:paraId="0C05C045">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需要指出的是，表15-B中的准确率（74.75%）显著低于表15中报告的XGBoost准确率（99.58%），这一差异源于特征集的不同。表15中的高性能模型包含了更丰富的工程特征和空间特征，而表15-B的对比实验采用了相对简化的特征集，以确保随机分割和按站点分割两种策略在完全相同的输入条件下进行公平对比。尽管绝对准确率较低，但两种分割策略之间不到1%的性能差距仍然验证了模型的空间鲁棒性。</w:t>
      </w:r>
    </w:p>
    <w:p w14:paraId="38710EE0">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低成本传感器预测性能评估</w:t>
      </w:r>
    </w:p>
    <w:p w14:paraId="20D6C77C">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在验证了模型的空间泛化能力之后，本研究进一步探索了低成本传感器在实时预警场景中的应用价值。表15-C对比了全指标方案与低成本传感器方案的性能与成本权衡。</w:t>
      </w:r>
    </w:p>
    <w:p w14:paraId="2D3F1CAD">
      <w:pPr>
        <w:spacing w:after="220"/>
        <w:ind w:left="0" w:leftChars="0" w:right="0" w:rightChars="0" w:firstLine="0" w:firstLineChars="0"/>
        <w:jc w:val="center"/>
        <w:rPr>
          <w:rFonts w:ascii="宋体" w:eastAsia="宋体"/>
          <w:b w:val="0"/>
          <w:sz w:val="21"/>
        </w:rPr>
      </w:pPr>
      <w:r>
        <w:rPr>
          <w:rFonts w:ascii="宋体" w:eastAsia="宋体"/>
          <w:b w:val="0"/>
          <w:sz w:val="21"/>
        </w:rPr>
        <w:t>表15-C 低成本传感器预测性能对比</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737"/>
        <w:gridCol w:w="696"/>
        <w:gridCol w:w="733"/>
        <w:gridCol w:w="1060"/>
        <w:gridCol w:w="1099"/>
        <w:gridCol w:w="1235"/>
        <w:gridCol w:w="1461"/>
        <w:gridCol w:w="733"/>
        <w:gridCol w:w="1216"/>
      </w:tblGrid>
      <w:tr w14:paraId="1A6B8023">
        <w:trPr>
          <w:cantSplit/>
          <w:tblCellSpacing w:w="0" w:type="dxa"/>
          <w:jc w:val="center"/>
        </w:trPr>
        <w:tc>
          <w:tcPr>
            <w:tcBorders>
              <w:top w:val="single" w:color="000000" w:sz="0" w:space="0"/>
              <w:bottom w:val="single" w:color="000000" w:sz="0" w:space="0"/>
            </w:tcBorders>
          </w:tcPr>
          <w:p w14:paraId="7CDA44AB">
            <w:pPr>
              <w:spacing w:after="0" w:line="240" w:lineRule="auto"/>
            </w:pPr>
            <w:r>
              <w:rPr>
                <w:rFonts w:ascii="Georgia" w:hAnsi="Georgia" w:eastAsia="Georgia" w:cs="Georgia"/>
              </w:rPr>
              <w:t>特征配置</w:t>
            </w:r>
          </w:p>
        </w:tc>
        <w:tc>
          <w:tcPr>
            <w:tcBorders>
              <w:top w:val="single" w:color="000000" w:sz="0" w:space="0"/>
              <w:left w:val="single" w:color="000000" w:sz="0" w:space="0"/>
              <w:bottom w:val="single" w:color="000000" w:sz="0" w:space="0"/>
            </w:tcBorders>
          </w:tcPr>
          <w:p w14:paraId="0FE1DC4D">
            <w:pPr>
              <w:spacing w:after="0" w:line="240" w:lineRule="auto"/>
            </w:pPr>
            <w:r>
              <w:rPr>
                <w:rFonts w:ascii="Georgia" w:hAnsi="Georgia" w:eastAsia="Georgia" w:cs="Georgia"/>
              </w:rPr>
              <w:t>特征数</w:t>
            </w:r>
          </w:p>
        </w:tc>
        <w:tc>
          <w:tcPr>
            <w:tcBorders>
              <w:top w:val="single" w:color="000000" w:sz="0" w:space="0"/>
              <w:left w:val="single" w:color="000000" w:sz="0" w:space="0"/>
              <w:bottom w:val="single" w:color="000000" w:sz="0" w:space="0"/>
            </w:tcBorders>
          </w:tcPr>
          <w:p w14:paraId="7DE3F931">
            <w:pPr>
              <w:spacing w:after="0" w:line="240" w:lineRule="auto"/>
            </w:pPr>
            <w:r>
              <w:rPr>
                <w:rFonts w:ascii="Georgia" w:hAnsi="Georgia" w:eastAsia="Georgia" w:cs="Georgia"/>
              </w:rPr>
              <w:t>分割策略</w:t>
            </w:r>
          </w:p>
        </w:tc>
        <w:tc>
          <w:tcPr>
            <w:tcBorders>
              <w:top w:val="single" w:color="000000" w:sz="0" w:space="0"/>
              <w:left w:val="single" w:color="000000" w:sz="0" w:space="0"/>
              <w:bottom w:val="single" w:color="000000" w:sz="0" w:space="0"/>
            </w:tcBorders>
          </w:tcPr>
          <w:p w14:paraId="44B5BCDE">
            <w:pPr>
              <w:spacing w:after="0" w:line="240" w:lineRule="auto"/>
            </w:pPr>
            <w:r>
              <w:rPr>
                <w:rFonts w:ascii="Georgia" w:hAnsi="Georgia" w:eastAsia="Georgia" w:cs="Georgia"/>
              </w:rPr>
              <w:t>准确率</w:t>
            </w:r>
          </w:p>
        </w:tc>
        <w:tc>
          <w:tcPr>
            <w:tcBorders>
              <w:top w:val="single" w:color="000000" w:sz="0" w:space="0"/>
              <w:left w:val="single" w:color="000000" w:sz="0" w:space="0"/>
              <w:bottom w:val="single" w:color="000000" w:sz="0" w:space="0"/>
            </w:tcBorders>
          </w:tcPr>
          <w:p w14:paraId="6F13556B">
            <w:pPr>
              <w:spacing w:after="0" w:line="240" w:lineRule="auto"/>
            </w:pPr>
            <w:r>
              <w:rPr>
                <w:rFonts w:ascii="Georgia" w:hAnsi="Georgia" w:eastAsia="Georgia" w:cs="Georgia"/>
              </w:rPr>
              <w:t>宏平均F1</w:t>
            </w:r>
          </w:p>
        </w:tc>
        <w:tc>
          <w:tcPr>
            <w:tcBorders>
              <w:top w:val="single" w:color="000000" w:sz="0" w:space="0"/>
              <w:left w:val="single" w:color="000000" w:sz="0" w:space="0"/>
              <w:bottom w:val="single" w:color="000000" w:sz="0" w:space="0"/>
            </w:tcBorders>
          </w:tcPr>
          <w:p w14:paraId="6596C530">
            <w:pPr>
              <w:spacing w:after="0" w:line="240" w:lineRule="auto"/>
            </w:pPr>
            <w:r>
              <w:rPr>
                <w:rFonts w:ascii="Georgia" w:hAnsi="Georgia" w:eastAsia="Georgia" w:cs="Georgia"/>
              </w:rPr>
              <w:t>极差类召回率</w:t>
            </w:r>
          </w:p>
        </w:tc>
        <w:tc>
          <w:tcPr>
            <w:tcBorders>
              <w:top w:val="single" w:color="000000" w:sz="0" w:space="0"/>
              <w:left w:val="single" w:color="000000" w:sz="0" w:space="0"/>
              <w:bottom w:val="single" w:color="000000" w:sz="0" w:space="0"/>
            </w:tcBorders>
          </w:tcPr>
          <w:p w14:paraId="4D2ED9A4">
            <w:pPr>
              <w:spacing w:after="0" w:line="240" w:lineRule="auto"/>
            </w:pPr>
            <w:r>
              <w:rPr>
                <w:rFonts w:ascii="Georgia" w:hAnsi="Georgia" w:eastAsia="Georgia" w:cs="Georgia"/>
              </w:rPr>
              <w:t>传感器成本(5年)</w:t>
            </w:r>
          </w:p>
        </w:tc>
        <w:tc>
          <w:tcPr>
            <w:tcBorders>
              <w:top w:val="single" w:color="000000" w:sz="0" w:space="0"/>
              <w:left w:val="single" w:color="000000" w:sz="0" w:space="0"/>
              <w:bottom w:val="single" w:color="000000" w:sz="0" w:space="0"/>
            </w:tcBorders>
          </w:tcPr>
          <w:p w14:paraId="39E17B6C">
            <w:pPr>
              <w:spacing w:after="0" w:line="240" w:lineRule="auto"/>
            </w:pPr>
            <w:r>
              <w:rPr>
                <w:rFonts w:ascii="Georgia" w:hAnsi="Georgia" w:eastAsia="Georgia" w:cs="Georgia"/>
              </w:rPr>
              <w:t>响应时间</w:t>
            </w:r>
          </w:p>
        </w:tc>
        <w:tc>
          <w:tcPr>
            <w:tcBorders>
              <w:top w:val="single" w:color="000000" w:sz="0" w:space="0"/>
              <w:left w:val="single" w:color="000000" w:sz="0" w:space="0"/>
              <w:bottom w:val="single" w:color="000000" w:sz="0" w:space="0"/>
            </w:tcBorders>
          </w:tcPr>
          <w:p w14:paraId="199CAEC6">
            <w:pPr>
              <w:spacing w:after="0" w:line="240" w:lineRule="auto"/>
            </w:pPr>
            <w:r>
              <w:rPr>
                <w:rFonts w:ascii="Georgia" w:hAnsi="Georgia" w:eastAsia="Georgia" w:cs="Georgia"/>
              </w:rPr>
              <w:t>适用场景</w:t>
            </w:r>
          </w:p>
        </w:tc>
      </w:tr>
      <w:tr w14:paraId="1DBB0AEC">
        <w:trPr>
          <w:cantSplit/>
          <w:tblCellSpacing w:w="0" w:type="dxa"/>
          <w:jc w:val="center"/>
        </w:trPr>
        <w:tc>
          <w:tcPr>
            <w:tcBorders>
              <w:top w:val="single" w:color="000000" w:sz="0" w:space="0"/>
              <w:bottom w:val="single" w:color="000000" w:sz="0" w:space="0"/>
            </w:tcBorders>
          </w:tcPr>
          <w:p w14:paraId="487F18E7">
            <w:pPr>
              <w:spacing w:after="0" w:line="240" w:lineRule="auto"/>
            </w:pPr>
            <w:r>
              <w:rPr>
                <w:rFonts w:ascii="Georgia" w:hAnsi="Georgia" w:eastAsia="Georgia" w:cs="Georgia"/>
              </w:rPr>
              <w:t>全指标</w:t>
            </w:r>
          </w:p>
        </w:tc>
        <w:tc>
          <w:tcPr>
            <w:tcBorders>
              <w:top w:val="single" w:color="000000" w:sz="0" w:space="0"/>
              <w:left w:val="single" w:color="000000" w:sz="0" w:space="0"/>
              <w:bottom w:val="single" w:color="000000" w:sz="0" w:space="0"/>
            </w:tcBorders>
          </w:tcPr>
          <w:p w14:paraId="2BBD1107">
            <w:pPr>
              <w:spacing w:after="0" w:line="240" w:lineRule="auto"/>
            </w:pPr>
            <w:r>
              <w:t>20</w:t>
            </w:r>
          </w:p>
        </w:tc>
        <w:tc>
          <w:tcPr>
            <w:tcBorders>
              <w:top w:val="single" w:color="000000" w:sz="0" w:space="0"/>
              <w:left w:val="single" w:color="000000" w:sz="0" w:space="0"/>
              <w:bottom w:val="single" w:color="000000" w:sz="0" w:space="0"/>
            </w:tcBorders>
          </w:tcPr>
          <w:p w14:paraId="536865F9">
            <w:pPr>
              <w:spacing w:after="0" w:line="240" w:lineRule="auto"/>
            </w:pPr>
            <w:r>
              <w:rPr>
                <w:rFonts w:ascii="Georgia" w:hAnsi="Georgia" w:eastAsia="Georgia" w:cs="Georgia"/>
              </w:rPr>
              <w:t>随机</w:t>
            </w:r>
          </w:p>
        </w:tc>
        <w:tc>
          <w:tcPr>
            <w:tcBorders>
              <w:top w:val="single" w:color="000000" w:sz="0" w:space="0"/>
              <w:left w:val="single" w:color="000000" w:sz="0" w:space="0"/>
              <w:bottom w:val="single" w:color="000000" w:sz="0" w:space="0"/>
            </w:tcBorders>
          </w:tcPr>
          <w:p w14:paraId="6F815879">
            <w:pPr>
              <w:spacing w:after="0" w:line="240" w:lineRule="auto"/>
            </w:pPr>
            <w:r>
              <w:t>99.58%</w:t>
            </w:r>
          </w:p>
        </w:tc>
        <w:tc>
          <w:tcPr>
            <w:tcBorders>
              <w:top w:val="single" w:color="000000" w:sz="0" w:space="0"/>
              <w:left w:val="single" w:color="000000" w:sz="0" w:space="0"/>
              <w:bottom w:val="single" w:color="000000" w:sz="0" w:space="0"/>
            </w:tcBorders>
          </w:tcPr>
          <w:p w14:paraId="7317428C">
            <w:pPr>
              <w:spacing w:after="0" w:line="240" w:lineRule="auto"/>
            </w:pPr>
            <w:r>
              <w:t>0.997</w:t>
            </w:r>
          </w:p>
        </w:tc>
        <w:tc>
          <w:tcPr>
            <w:tcBorders>
              <w:top w:val="single" w:color="000000" w:sz="0" w:space="0"/>
              <w:left w:val="single" w:color="000000" w:sz="0" w:space="0"/>
              <w:bottom w:val="single" w:color="000000" w:sz="0" w:space="0"/>
            </w:tcBorders>
          </w:tcPr>
          <w:p w14:paraId="00AD366F">
            <w:pPr>
              <w:spacing w:after="0" w:line="240" w:lineRule="auto"/>
            </w:pPr>
            <w:r>
              <w:t>100%</w:t>
            </w:r>
          </w:p>
        </w:tc>
        <w:tc>
          <w:tcPr>
            <w:tcBorders>
              <w:top w:val="single" w:color="000000" w:sz="0" w:space="0"/>
              <w:left w:val="single" w:color="000000" w:sz="0" w:space="0"/>
              <w:bottom w:val="single" w:color="000000" w:sz="0" w:space="0"/>
            </w:tcBorders>
          </w:tcPr>
          <w:p w14:paraId="7C897893">
            <w:pPr>
              <w:spacing w:after="0" w:line="240" w:lineRule="auto"/>
            </w:pPr>
            <w:r>
              <w:rPr>
                <w:rFonts w:ascii="Georgia" w:hAnsi="Georgia" w:eastAsia="Georgia" w:cs="Georgia"/>
              </w:rPr>
              <w:t>¥128,500</w:t>
            </w:r>
          </w:p>
        </w:tc>
        <w:tc>
          <w:tcPr>
            <w:tcBorders>
              <w:top w:val="single" w:color="000000" w:sz="0" w:space="0"/>
              <w:left w:val="single" w:color="000000" w:sz="0" w:space="0"/>
              <w:bottom w:val="single" w:color="000000" w:sz="0" w:space="0"/>
            </w:tcBorders>
          </w:tcPr>
          <w:p w14:paraId="2DFC272C">
            <w:pPr>
              <w:spacing w:after="0" w:line="240" w:lineRule="auto"/>
            </w:pPr>
            <w:r>
              <w:rPr>
                <w:rFonts w:ascii="Georgia" w:hAnsi="Georgia" w:eastAsia="Georgia" w:cs="Georgia"/>
              </w:rPr>
              <w:t>2-4小时</w:t>
            </w:r>
          </w:p>
        </w:tc>
        <w:tc>
          <w:tcPr>
            <w:tcBorders>
              <w:top w:val="single" w:color="000000" w:sz="0" w:space="0"/>
              <w:left w:val="single" w:color="000000" w:sz="0" w:space="0"/>
              <w:bottom w:val="single" w:color="000000" w:sz="0" w:space="0"/>
            </w:tcBorders>
          </w:tcPr>
          <w:p w14:paraId="1ADF2A84">
            <w:pPr>
              <w:spacing w:after="0" w:line="240" w:lineRule="auto"/>
            </w:pPr>
            <w:r>
              <w:rPr>
                <w:rFonts w:ascii="Georgia" w:hAnsi="Georgia" w:eastAsia="Georgia" w:cs="Georgia"/>
              </w:rPr>
              <w:t>精确评估、污染溯源</w:t>
            </w:r>
          </w:p>
        </w:tc>
      </w:tr>
      <w:tr w14:paraId="32FA9D21">
        <w:trPr>
          <w:cantSplit/>
          <w:tblCellSpacing w:w="0" w:type="dxa"/>
          <w:jc w:val="center"/>
        </w:trPr>
        <w:tc>
          <w:tcPr>
            <w:tcBorders>
              <w:top w:val="single" w:color="000000" w:sz="0" w:space="0"/>
              <w:bottom w:val="single" w:color="000000" w:sz="0" w:space="0"/>
            </w:tcBorders>
          </w:tcPr>
          <w:p w14:paraId="7392B913">
            <w:pPr>
              <w:spacing w:after="0" w:line="240" w:lineRule="auto"/>
            </w:pPr>
            <w:r>
              <w:rPr>
                <w:rFonts w:ascii="Georgia" w:hAnsi="Georgia" w:eastAsia="Georgia" w:cs="Georgia"/>
              </w:rPr>
              <w:t>全指标</w:t>
            </w:r>
          </w:p>
        </w:tc>
        <w:tc>
          <w:tcPr>
            <w:tcBorders>
              <w:top w:val="single" w:color="000000" w:sz="0" w:space="0"/>
              <w:left w:val="single" w:color="000000" w:sz="0" w:space="0"/>
              <w:bottom w:val="single" w:color="000000" w:sz="0" w:space="0"/>
            </w:tcBorders>
          </w:tcPr>
          <w:p w14:paraId="7C642A89">
            <w:pPr>
              <w:spacing w:after="0" w:line="240" w:lineRule="auto"/>
            </w:pPr>
            <w:r>
              <w:t>20</w:t>
            </w:r>
          </w:p>
        </w:tc>
        <w:tc>
          <w:tcPr>
            <w:tcBorders>
              <w:top w:val="single" w:color="000000" w:sz="0" w:space="0"/>
              <w:left w:val="single" w:color="000000" w:sz="0" w:space="0"/>
              <w:bottom w:val="single" w:color="000000" w:sz="0" w:space="0"/>
            </w:tcBorders>
          </w:tcPr>
          <w:p w14:paraId="4C03A4C3">
            <w:pPr>
              <w:spacing w:after="0" w:line="240" w:lineRule="auto"/>
            </w:pPr>
            <w:r>
              <w:rPr>
                <w:rFonts w:ascii="Georgia" w:hAnsi="Georgia" w:eastAsia="Georgia" w:cs="Georgia"/>
              </w:rPr>
              <w:t>空间</w:t>
            </w:r>
          </w:p>
        </w:tc>
        <w:tc>
          <w:tcPr>
            <w:tcBorders>
              <w:top w:val="single" w:color="000000" w:sz="0" w:space="0"/>
              <w:left w:val="single" w:color="000000" w:sz="0" w:space="0"/>
              <w:bottom w:val="single" w:color="000000" w:sz="0" w:space="0"/>
            </w:tcBorders>
          </w:tcPr>
          <w:p w14:paraId="653F87D9">
            <w:pPr>
              <w:spacing w:after="0" w:line="240" w:lineRule="auto"/>
            </w:pPr>
            <w:r>
              <w:t>73.77%</w:t>
            </w:r>
          </w:p>
        </w:tc>
        <w:tc>
          <w:tcPr>
            <w:tcBorders>
              <w:top w:val="single" w:color="000000" w:sz="0" w:space="0"/>
              <w:left w:val="single" w:color="000000" w:sz="0" w:space="0"/>
              <w:bottom w:val="single" w:color="000000" w:sz="0" w:space="0"/>
            </w:tcBorders>
          </w:tcPr>
          <w:p w14:paraId="0DFB580F">
            <w:pPr>
              <w:spacing w:after="0" w:line="240" w:lineRule="auto"/>
            </w:pPr>
            <w:r>
              <w:t>0.71</w:t>
            </w:r>
          </w:p>
        </w:tc>
        <w:tc>
          <w:tcPr>
            <w:tcBorders>
              <w:top w:val="single" w:color="000000" w:sz="0" w:space="0"/>
              <w:left w:val="single" w:color="000000" w:sz="0" w:space="0"/>
              <w:bottom w:val="single" w:color="000000" w:sz="0" w:space="0"/>
            </w:tcBorders>
          </w:tcPr>
          <w:p w14:paraId="3EC074F1">
            <w:pPr>
              <w:spacing w:after="0" w:line="240" w:lineRule="auto"/>
            </w:pPr>
            <w:r>
              <w:t>95%</w:t>
            </w:r>
          </w:p>
        </w:tc>
        <w:tc>
          <w:tcPr>
            <w:tcBorders>
              <w:top w:val="single" w:color="000000" w:sz="0" w:space="0"/>
              <w:left w:val="single" w:color="000000" w:sz="0" w:space="0"/>
              <w:bottom w:val="single" w:color="000000" w:sz="0" w:space="0"/>
            </w:tcBorders>
          </w:tcPr>
          <w:p w14:paraId="7FB3184C">
            <w:pPr>
              <w:spacing w:after="0" w:line="240" w:lineRule="auto"/>
            </w:pPr>
            <w:r>
              <w:rPr>
                <w:rFonts w:ascii="Georgia" w:hAnsi="Georgia" w:eastAsia="Georgia" w:cs="Georgia"/>
              </w:rPr>
              <w:t>¥128,500</w:t>
            </w:r>
          </w:p>
        </w:tc>
        <w:tc>
          <w:tcPr>
            <w:tcBorders>
              <w:top w:val="single" w:color="000000" w:sz="0" w:space="0"/>
              <w:left w:val="single" w:color="000000" w:sz="0" w:space="0"/>
              <w:bottom w:val="single" w:color="000000" w:sz="0" w:space="0"/>
            </w:tcBorders>
          </w:tcPr>
          <w:p w14:paraId="1FABE27A">
            <w:pPr>
              <w:spacing w:after="0" w:line="240" w:lineRule="auto"/>
            </w:pPr>
            <w:r>
              <w:rPr>
                <w:rFonts w:ascii="Georgia" w:hAnsi="Georgia" w:eastAsia="Georgia" w:cs="Georgia"/>
              </w:rPr>
              <w:t>2-4小时</w:t>
            </w:r>
          </w:p>
        </w:tc>
        <w:tc>
          <w:tcPr>
            <w:tcBorders>
              <w:top w:val="single" w:color="000000" w:sz="0" w:space="0"/>
              <w:left w:val="single" w:color="000000" w:sz="0" w:space="0"/>
              <w:bottom w:val="single" w:color="000000" w:sz="0" w:space="0"/>
            </w:tcBorders>
          </w:tcPr>
          <w:p w14:paraId="5AF029BD">
            <w:pPr>
              <w:spacing w:after="0" w:line="240" w:lineRule="auto"/>
            </w:pPr>
            <w:r>
              <w:rPr>
                <w:rFonts w:ascii="Georgia" w:hAnsi="Georgia" w:eastAsia="Georgia" w:cs="Georgia"/>
              </w:rPr>
              <w:t>新站预测</w:t>
            </w:r>
          </w:p>
        </w:tc>
      </w:tr>
      <w:tr w14:paraId="72F96E0C">
        <w:trPr>
          <w:cantSplit/>
          <w:tblCellSpacing w:w="0" w:type="dxa"/>
          <w:jc w:val="center"/>
        </w:trPr>
        <w:tc>
          <w:tcPr>
            <w:tcBorders>
              <w:top w:val="single" w:color="000000" w:sz="0" w:space="0"/>
              <w:bottom w:val="single" w:color="000000" w:sz="0" w:space="0"/>
            </w:tcBorders>
          </w:tcPr>
          <w:p w14:paraId="61FED6B9">
            <w:pPr>
              <w:spacing w:after="0" w:line="240" w:lineRule="auto"/>
            </w:pPr>
            <w:r>
              <w:rPr>
                <w:b/>
              </w:rPr>
              <w:t>低成本</w:t>
            </w:r>
          </w:p>
        </w:tc>
        <w:tc>
          <w:tcPr>
            <w:tcBorders>
              <w:top w:val="single" w:color="000000" w:sz="0" w:space="0"/>
              <w:left w:val="single" w:color="000000" w:sz="0" w:space="0"/>
              <w:bottom w:val="single" w:color="000000" w:sz="0" w:space="0"/>
            </w:tcBorders>
          </w:tcPr>
          <w:p w14:paraId="7FDDBE4F">
            <w:pPr>
              <w:spacing w:after="0" w:line="240" w:lineRule="auto"/>
            </w:pPr>
            <w:r>
              <w:rPr>
                <w:b/>
              </w:rPr>
              <w:t>6</w:t>
            </w:r>
          </w:p>
        </w:tc>
        <w:tc>
          <w:tcPr>
            <w:tcBorders>
              <w:top w:val="single" w:color="000000" w:sz="0" w:space="0"/>
              <w:left w:val="single" w:color="000000" w:sz="0" w:space="0"/>
              <w:bottom w:val="single" w:color="000000" w:sz="0" w:space="0"/>
            </w:tcBorders>
          </w:tcPr>
          <w:p w14:paraId="7794BD9C">
            <w:pPr>
              <w:spacing w:after="0" w:line="240" w:lineRule="auto"/>
            </w:pPr>
            <w:r>
              <w:rPr>
                <w:b/>
              </w:rPr>
              <w:t>随机</w:t>
            </w:r>
          </w:p>
        </w:tc>
        <w:tc>
          <w:tcPr>
            <w:tcBorders>
              <w:top w:val="single" w:color="000000" w:sz="0" w:space="0"/>
              <w:left w:val="single" w:color="000000" w:sz="0" w:space="0"/>
              <w:bottom w:val="single" w:color="000000" w:sz="0" w:space="0"/>
            </w:tcBorders>
          </w:tcPr>
          <w:p w14:paraId="1BC39DCB">
            <w:pPr>
              <w:spacing w:after="0" w:line="240" w:lineRule="auto"/>
            </w:pPr>
            <w:r>
              <w:rPr>
                <w:b/>
              </w:rPr>
              <w:t>38.62%</w:t>
            </w:r>
          </w:p>
        </w:tc>
        <w:tc>
          <w:tcPr>
            <w:tcBorders>
              <w:top w:val="single" w:color="000000" w:sz="0" w:space="0"/>
              <w:left w:val="single" w:color="000000" w:sz="0" w:space="0"/>
              <w:bottom w:val="single" w:color="000000" w:sz="0" w:space="0"/>
            </w:tcBorders>
          </w:tcPr>
          <w:p w14:paraId="621E24D9">
            <w:pPr>
              <w:spacing w:after="0" w:line="240" w:lineRule="auto"/>
            </w:pPr>
            <w:r>
              <w:rPr>
                <w:b/>
              </w:rPr>
              <w:t>0.2880</w:t>
            </w:r>
          </w:p>
        </w:tc>
        <w:tc>
          <w:tcPr>
            <w:tcBorders>
              <w:top w:val="single" w:color="000000" w:sz="0" w:space="0"/>
              <w:left w:val="single" w:color="000000" w:sz="0" w:space="0"/>
              <w:bottom w:val="single" w:color="000000" w:sz="0" w:space="0"/>
            </w:tcBorders>
          </w:tcPr>
          <w:p w14:paraId="5AD126AF">
            <w:pPr>
              <w:spacing w:after="0" w:line="240" w:lineRule="auto"/>
            </w:pPr>
            <w:r>
              <w:rPr>
                <w:b/>
              </w:rPr>
              <w:t>28.18%</w:t>
            </w:r>
          </w:p>
        </w:tc>
        <w:tc>
          <w:tcPr>
            <w:tcBorders>
              <w:top w:val="single" w:color="000000" w:sz="0" w:space="0"/>
              <w:left w:val="single" w:color="000000" w:sz="0" w:space="0"/>
              <w:bottom w:val="single" w:color="000000" w:sz="0" w:space="0"/>
            </w:tcBorders>
          </w:tcPr>
          <w:p w14:paraId="5C2960FA">
            <w:pPr>
              <w:spacing w:after="0" w:line="240" w:lineRule="auto"/>
            </w:pPr>
            <w:r>
              <w:rPr>
                <w:b/>
              </w:rPr>
              <w:t>¥14,000</w:t>
            </w:r>
          </w:p>
        </w:tc>
        <w:tc>
          <w:tcPr>
            <w:tcBorders>
              <w:top w:val="single" w:color="000000" w:sz="0" w:space="0"/>
              <w:left w:val="single" w:color="000000" w:sz="0" w:space="0"/>
              <w:bottom w:val="single" w:color="000000" w:sz="0" w:space="0"/>
            </w:tcBorders>
          </w:tcPr>
          <w:p w14:paraId="01C5871A">
            <w:pPr>
              <w:spacing w:after="0" w:line="240" w:lineRule="auto"/>
            </w:pPr>
            <w:r>
              <w:rPr>
                <w:b/>
              </w:rPr>
              <w:t>秒级</w:t>
            </w:r>
          </w:p>
        </w:tc>
        <w:tc>
          <w:tcPr>
            <w:tcBorders>
              <w:top w:val="single" w:color="000000" w:sz="0" w:space="0"/>
              <w:left w:val="single" w:color="000000" w:sz="0" w:space="0"/>
              <w:bottom w:val="single" w:color="000000" w:sz="0" w:space="0"/>
            </w:tcBorders>
          </w:tcPr>
          <w:p w14:paraId="7B3CED44">
            <w:pPr>
              <w:spacing w:after="0" w:line="240" w:lineRule="auto"/>
            </w:pPr>
            <w:r>
              <w:rPr>
                <w:b/>
              </w:rPr>
              <w:t>不适用</w:t>
            </w:r>
          </w:p>
        </w:tc>
      </w:tr>
      <w:tr w14:paraId="3E6F494D">
        <w:trPr>
          <w:cantSplit/>
          <w:tblCellSpacing w:w="0" w:type="dxa"/>
          <w:jc w:val="center"/>
        </w:trPr>
        <w:tc>
          <w:tcPr>
            <w:tcBorders>
              <w:top w:val="single" w:color="000000" w:sz="0" w:space="0"/>
              <w:bottom w:val="single" w:color="000000" w:sz="0" w:space="0"/>
            </w:tcBorders>
          </w:tcPr>
          <w:p w14:paraId="3EECEE0E">
            <w:pPr>
              <w:spacing w:after="0" w:line="240" w:lineRule="auto"/>
            </w:pPr>
            <w:r>
              <w:rPr>
                <w:b/>
              </w:rPr>
              <w:t>低成本</w:t>
            </w:r>
          </w:p>
        </w:tc>
        <w:tc>
          <w:tcPr>
            <w:tcBorders>
              <w:top w:val="single" w:color="000000" w:sz="0" w:space="0"/>
              <w:left w:val="single" w:color="000000" w:sz="0" w:space="0"/>
              <w:bottom w:val="single" w:color="000000" w:sz="0" w:space="0"/>
            </w:tcBorders>
          </w:tcPr>
          <w:p w14:paraId="7EFCC97C">
            <w:pPr>
              <w:spacing w:after="0" w:line="240" w:lineRule="auto"/>
            </w:pPr>
            <w:r>
              <w:rPr>
                <w:b/>
              </w:rPr>
              <w:t>6</w:t>
            </w:r>
          </w:p>
        </w:tc>
        <w:tc>
          <w:tcPr>
            <w:tcBorders>
              <w:top w:val="single" w:color="000000" w:sz="0" w:space="0"/>
              <w:left w:val="single" w:color="000000" w:sz="0" w:space="0"/>
              <w:bottom w:val="single" w:color="000000" w:sz="0" w:space="0"/>
            </w:tcBorders>
          </w:tcPr>
          <w:p w14:paraId="4F517BAC">
            <w:pPr>
              <w:spacing w:after="0" w:line="240" w:lineRule="auto"/>
            </w:pPr>
            <w:r>
              <w:rPr>
                <w:b/>
              </w:rPr>
              <w:t>空间</w:t>
            </w:r>
          </w:p>
        </w:tc>
        <w:tc>
          <w:tcPr>
            <w:tcBorders>
              <w:top w:val="single" w:color="000000" w:sz="0" w:space="0"/>
              <w:left w:val="single" w:color="000000" w:sz="0" w:space="0"/>
              <w:bottom w:val="single" w:color="000000" w:sz="0" w:space="0"/>
            </w:tcBorders>
          </w:tcPr>
          <w:p w14:paraId="21A49B3B">
            <w:pPr>
              <w:spacing w:after="0" w:line="240" w:lineRule="auto"/>
            </w:pPr>
            <w:r>
              <w:rPr>
                <w:b/>
              </w:rPr>
              <w:t>37.62%</w:t>
            </w:r>
          </w:p>
        </w:tc>
        <w:tc>
          <w:tcPr>
            <w:tcBorders>
              <w:top w:val="single" w:color="000000" w:sz="0" w:space="0"/>
              <w:left w:val="single" w:color="000000" w:sz="0" w:space="0"/>
              <w:bottom w:val="single" w:color="000000" w:sz="0" w:space="0"/>
            </w:tcBorders>
          </w:tcPr>
          <w:p w14:paraId="6D05CE76">
            <w:pPr>
              <w:spacing w:after="0" w:line="240" w:lineRule="auto"/>
            </w:pPr>
            <w:r>
              <w:rPr>
                <w:b/>
              </w:rPr>
              <w:t>0.2820</w:t>
            </w:r>
          </w:p>
        </w:tc>
        <w:tc>
          <w:tcPr>
            <w:tcBorders>
              <w:top w:val="single" w:color="000000" w:sz="0" w:space="0"/>
              <w:left w:val="single" w:color="000000" w:sz="0" w:space="0"/>
              <w:bottom w:val="single" w:color="000000" w:sz="0" w:space="0"/>
            </w:tcBorders>
          </w:tcPr>
          <w:p w14:paraId="743F7536">
            <w:pPr>
              <w:spacing w:after="0" w:line="240" w:lineRule="auto"/>
            </w:pPr>
            <w:r>
              <w:rPr>
                <w:b/>
              </w:rPr>
              <w:t>24.04%</w:t>
            </w:r>
          </w:p>
        </w:tc>
        <w:tc>
          <w:tcPr>
            <w:tcBorders>
              <w:top w:val="single" w:color="000000" w:sz="0" w:space="0"/>
              <w:left w:val="single" w:color="000000" w:sz="0" w:space="0"/>
              <w:bottom w:val="single" w:color="000000" w:sz="0" w:space="0"/>
            </w:tcBorders>
          </w:tcPr>
          <w:p w14:paraId="0ED3ACB4">
            <w:pPr>
              <w:spacing w:after="0" w:line="240" w:lineRule="auto"/>
            </w:pPr>
            <w:r>
              <w:rPr>
                <w:b/>
              </w:rPr>
              <w:t>¥14,000</w:t>
            </w:r>
          </w:p>
        </w:tc>
        <w:tc>
          <w:tcPr>
            <w:tcBorders>
              <w:top w:val="single" w:color="000000" w:sz="0" w:space="0"/>
              <w:left w:val="single" w:color="000000" w:sz="0" w:space="0"/>
              <w:bottom w:val="single" w:color="000000" w:sz="0" w:space="0"/>
            </w:tcBorders>
          </w:tcPr>
          <w:p w14:paraId="1AB3407B">
            <w:pPr>
              <w:spacing w:after="0" w:line="240" w:lineRule="auto"/>
            </w:pPr>
            <w:r>
              <w:rPr>
                <w:b/>
              </w:rPr>
              <w:t>秒级</w:t>
            </w:r>
          </w:p>
        </w:tc>
        <w:tc>
          <w:tcPr>
            <w:tcBorders>
              <w:top w:val="single" w:color="000000" w:sz="0" w:space="0"/>
              <w:left w:val="single" w:color="000000" w:sz="0" w:space="0"/>
              <w:bottom w:val="single" w:color="000000" w:sz="0" w:space="0"/>
            </w:tcBorders>
          </w:tcPr>
          <w:p w14:paraId="088891AD">
            <w:pPr>
              <w:spacing w:after="0" w:line="240" w:lineRule="auto"/>
            </w:pPr>
            <w:r>
              <w:rPr>
                <w:b/>
              </w:rPr>
              <w:t>不适用</w:t>
            </w:r>
          </w:p>
        </w:tc>
      </w:tr>
    </w:tbl>
    <w:p w14:paraId="4E27DD39">
      <w:pPr>
        <w:snapToGrid/>
        <w:spacing w:beforeAutospacing="0" w:after="0" w:afterAutospacing="0" w:line="400" w:lineRule="exact"/>
        <w:ind w:left="0" w:leftChars="0" w:right="0" w:rightChars="0" w:firstLine="480" w:firstLineChars="200"/>
        <w:jc w:val="both"/>
        <w:rPr>
          <w:rFonts w:ascii="Times New Roman" w:eastAsia="宋体"/>
          <w:sz w:val="24"/>
        </w:rPr>
      </w:pPr>
    </w:p>
    <w:p w14:paraId="4D85F3EF">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低成本传感器特征集包括浊度、pH、电导率、温度、经度、纬度共6个指标。传感器成本包含购置费用、年度维护费、试剂耗材和人工校准成本（按5年使用期计算）。极差类召回率指对重度污染事件的识别率，是预警系统的关键指标。</w:t>
      </w:r>
    </w:p>
    <w:p w14:paraId="1DA05C59">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低成本传感器实验旨在探索实时预警的可行性。在传统水质监测中，化学指标（如COD、氨氮、重金属）的测量需要复杂的实验室分析，响应时间长达2-4小时，且传感器成本高昂。相比之下，物理传感器（浊度、pH、电导率、温度）采用光学和电化学原理，可实现秒级响应，单套传感器成本仅为全指标方案的约十分之一。本实验的核心问题是，仅使用6个物理指标和地理位置，能否推断由化学指标定义的污染等级？</w:t>
      </w:r>
    </w:p>
    <w:p w14:paraId="4F3C1012">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实验结果表明，低成本传感器方案在随机分割下准确率为38.62%，空间分割下为37.62%，宏平均F1分别为0.2880和0.2820。虽然较全指标方案（99.58%）下降61个百分点，但仍比随机猜测基线（20%，因为有5个等级）高出18.62个百分点，表明物理指标与化学定义的污染等级之间存在微弱但可检测的关联。然而，极差类（重度污染）召回率仅为28.18%（随机分割）和24.04%（空间分割），意味着每10次重度污染事件中有7-8次会被漏报，这在水质预警场景中是不可接受的高风险。</w:t>
      </w:r>
    </w:p>
    <w:p w14:paraId="768EA2BE">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为探索性能提升空间，本研究进一步测试了5种特征筛选和降维方法，相关性筛选、互信息筛选、树模型重要性、PCA降维、特征组合+PCA。实验结果显示，最佳方法（互信息筛选）仅将准确率从38.62%提升至38.65%，改进幅度不足0.5%。特征相关性分析揭示了性能瓶颈的根本原因，所有物理指标与污染等级的Pearson相关系数均&lt;0.1（经度0.0655、纬度0.0572、浊度0.0384、水温0.0205、电导率0.0085、pH 0.0013），属于统计学上的"极弱相关"。互信息分析（衡量非线性依赖）同样显示极低的信息共享量（MI&lt;0.05），确认了物理指标与化学污染等级之间存在固有的"信息鸿沟"——污染等级由COD、TN、TP、氨氮、重金属等化学成分定义，而浊度、pH、电导率、温度等物理参数与这些化学物质的相关性本质上较弱。</w:t>
      </w:r>
    </w:p>
    <w:p w14:paraId="361EEB3B">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这一负面结果具有重要的科学价值。它明确了低成本物理传感器的应用边界，38.62%的准确率和28.18%的极差类召回率不满足水质预警的实际需求，虽然成本降低89%，但预测精度的巨大损失使其无法作为化学检测的替代方案。同时它揭示了污染等级评估的固有复杂性，物理指标可以快速反映水体的表观状态（浊度、酸碱度），但无法捕捉污染的化学本质（有机物、营养盐、重金属），这解释了为何环境监管仍然依赖实验室化学分析。这一研究还为未来研究指明了方向，提升低成本方案性能的关键不在于特征工程，而在于开发能够低成本快速检测关键化学指标（如COD、氨氮）的新型传感器技术。</w:t>
      </w:r>
    </w:p>
    <w:p w14:paraId="41663E3A">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尽管低成本物理传感器无法有效预测污染等级，但这不意味着它们毫无价值。在以下非预测场景中，物理传感器仍然发挥重要作用。物理传感器可用于水质趋势监测，虽然无法准确分类，但可追踪浊度、pH等参数的时间变化趋势，发现异常波动。同时能够为化学检测提供补充数据收集，帮助解释污染成因。在教育科普领域，低成本传感器成本低廉且安全，适合在公众教育中演示水质监测原理。此外还可用于传感器网络测试，在正式部署高成本传感器前，先用低成本方案测试网络拓扑和数据传输。然而，在污染等级分类、法规评估、污染溯源、应急预警等核心监测任务上，低成本物理传感器方案被证明不可行，必须依赖完整的化学检测。这一结论虽然否定了低成本替代方案，但为水质监测系统设计提供了实证基础，避免了无效投资。</w:t>
      </w:r>
    </w:p>
    <w:p w14:paraId="03314900">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全指标方案的性能上限与方法对比</w:t>
      </w:r>
    </w:p>
    <w:p w14:paraId="60881E6D">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在验证了模型在两个严格场景下的预测边界后（空间泛化73.77%、低成本传感器38.62%），本节回顾使用全部20个水质指标时的性能上限，以及不同算法之间的对比。如前所述，全指标方案的高准确率主要源于对GB 3838-2002规则表的拟合，其学术价值在于展示了自动化分级工具的可行性，而非预测未知污染等级的能力。</w:t>
      </w:r>
    </w:p>
    <w:p w14:paraId="58CD049A">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表15汇总了四个主流模型在全指标方案下的详细性能指标。</w:t>
      </w:r>
    </w:p>
    <w:p w14:paraId="4500C706">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表15 分类模型详细性能对比（全指标方案）</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503"/>
        <w:gridCol w:w="918"/>
        <w:gridCol w:w="880"/>
        <w:gridCol w:w="880"/>
        <w:gridCol w:w="880"/>
        <w:gridCol w:w="787"/>
        <w:gridCol w:w="781"/>
        <w:gridCol w:w="781"/>
        <w:gridCol w:w="781"/>
        <w:gridCol w:w="779"/>
      </w:tblGrid>
      <w:tr w14:paraId="613652E3">
        <w:trPr>
          <w:cantSplit/>
          <w:tblCellSpacing w:w="0" w:type="dxa"/>
          <w:jc w:val="center"/>
        </w:trPr>
        <w:tc>
          <w:tcPr>
            <w:tcBorders>
              <w:top w:val="single" w:color="000000" w:sz="0" w:space="0"/>
              <w:bottom w:val="single" w:color="000000" w:sz="0" w:space="0"/>
            </w:tcBorders>
          </w:tcPr>
          <w:p w14:paraId="54D8608B">
            <w:pPr>
              <w:spacing w:after="0" w:line="240" w:lineRule="auto"/>
            </w:pPr>
            <w:r>
              <w:rPr>
                <w:rFonts w:ascii="Georgia" w:hAnsi="Georgia" w:eastAsia="Georgia" w:cs="Georgia"/>
              </w:rPr>
              <w:t>模型</w:t>
            </w:r>
          </w:p>
        </w:tc>
        <w:tc>
          <w:tcPr>
            <w:tcBorders>
              <w:top w:val="single" w:color="000000" w:sz="0" w:space="0"/>
              <w:left w:val="single" w:color="000000" w:sz="0" w:space="0"/>
              <w:bottom w:val="single" w:color="000000" w:sz="0" w:space="0"/>
            </w:tcBorders>
          </w:tcPr>
          <w:p w14:paraId="51762C53">
            <w:pPr>
              <w:spacing w:after="0" w:line="240" w:lineRule="auto"/>
            </w:pPr>
            <w:r>
              <w:rPr>
                <w:rFonts w:ascii="Georgia" w:hAnsi="Georgia" w:eastAsia="Georgia" w:cs="Georgia"/>
              </w:rPr>
              <w:t>准确率</w:t>
            </w:r>
          </w:p>
        </w:tc>
        <w:tc>
          <w:tcPr>
            <w:tcBorders>
              <w:top w:val="single" w:color="000000" w:sz="0" w:space="0"/>
              <w:left w:val="single" w:color="000000" w:sz="0" w:space="0"/>
              <w:bottom w:val="single" w:color="000000" w:sz="0" w:space="0"/>
            </w:tcBorders>
          </w:tcPr>
          <w:p w14:paraId="1F9BB827">
            <w:pPr>
              <w:spacing w:after="0" w:line="240" w:lineRule="auto"/>
            </w:pPr>
            <w:r>
              <w:rPr>
                <w:rFonts w:ascii="Georgia" w:hAnsi="Georgia" w:eastAsia="Georgia" w:cs="Georgia"/>
              </w:rPr>
              <w:t>宏平均精确率</w:t>
            </w:r>
          </w:p>
        </w:tc>
        <w:tc>
          <w:tcPr>
            <w:tcBorders>
              <w:top w:val="single" w:color="000000" w:sz="0" w:space="0"/>
              <w:left w:val="single" w:color="000000" w:sz="0" w:space="0"/>
              <w:bottom w:val="single" w:color="000000" w:sz="0" w:space="0"/>
            </w:tcBorders>
          </w:tcPr>
          <w:p w14:paraId="302C24F2">
            <w:pPr>
              <w:spacing w:after="0" w:line="240" w:lineRule="auto"/>
            </w:pPr>
            <w:r>
              <w:rPr>
                <w:rFonts w:ascii="Georgia" w:hAnsi="Georgia" w:eastAsia="Georgia" w:cs="Georgia"/>
              </w:rPr>
              <w:t>宏平均召回率</w:t>
            </w:r>
          </w:p>
        </w:tc>
        <w:tc>
          <w:tcPr>
            <w:tcBorders>
              <w:top w:val="single" w:color="000000" w:sz="0" w:space="0"/>
              <w:left w:val="single" w:color="000000" w:sz="0" w:space="0"/>
              <w:bottom w:val="single" w:color="000000" w:sz="0" w:space="0"/>
            </w:tcBorders>
          </w:tcPr>
          <w:p w14:paraId="62071870">
            <w:pPr>
              <w:spacing w:after="0" w:line="240" w:lineRule="auto"/>
            </w:pPr>
            <w:r>
              <w:rPr>
                <w:rFonts w:ascii="Georgia" w:hAnsi="Georgia" w:eastAsia="Georgia" w:cs="Georgia"/>
              </w:rPr>
              <w:t>宏平均F1</w:t>
            </w:r>
          </w:p>
        </w:tc>
        <w:tc>
          <w:tcPr>
            <w:tcBorders>
              <w:top w:val="single" w:color="000000" w:sz="0" w:space="0"/>
              <w:left w:val="single" w:color="000000" w:sz="0" w:space="0"/>
              <w:bottom w:val="single" w:color="000000" w:sz="0" w:space="0"/>
            </w:tcBorders>
          </w:tcPr>
          <w:p w14:paraId="298A77BD">
            <w:pPr>
              <w:spacing w:after="0" w:line="240" w:lineRule="auto"/>
            </w:pPr>
            <w:r>
              <w:rPr>
                <w:rFonts w:ascii="Georgia" w:hAnsi="Georgia" w:eastAsia="Georgia" w:cs="Georgia"/>
              </w:rPr>
              <w:t>优F1</w:t>
            </w:r>
          </w:p>
        </w:tc>
        <w:tc>
          <w:tcPr>
            <w:tcBorders>
              <w:top w:val="single" w:color="000000" w:sz="0" w:space="0"/>
              <w:left w:val="single" w:color="000000" w:sz="0" w:space="0"/>
              <w:bottom w:val="single" w:color="000000" w:sz="0" w:space="0"/>
            </w:tcBorders>
          </w:tcPr>
          <w:p w14:paraId="4DB4DCBA">
            <w:pPr>
              <w:spacing w:after="0" w:line="240" w:lineRule="auto"/>
            </w:pPr>
            <w:r>
              <w:rPr>
                <w:rFonts w:ascii="Georgia" w:hAnsi="Georgia" w:eastAsia="Georgia" w:cs="Georgia"/>
              </w:rPr>
              <w:t>良F1</w:t>
            </w:r>
          </w:p>
        </w:tc>
        <w:tc>
          <w:tcPr>
            <w:tcBorders>
              <w:top w:val="single" w:color="000000" w:sz="0" w:space="0"/>
              <w:left w:val="single" w:color="000000" w:sz="0" w:space="0"/>
              <w:bottom w:val="single" w:color="000000" w:sz="0" w:space="0"/>
            </w:tcBorders>
          </w:tcPr>
          <w:p w14:paraId="1E34FEE7">
            <w:pPr>
              <w:spacing w:after="0" w:line="240" w:lineRule="auto"/>
            </w:pPr>
            <w:r>
              <w:rPr>
                <w:rFonts w:ascii="Georgia" w:hAnsi="Georgia" w:eastAsia="Georgia" w:cs="Georgia"/>
              </w:rPr>
              <w:t>中F1</w:t>
            </w:r>
          </w:p>
        </w:tc>
        <w:tc>
          <w:tcPr>
            <w:tcBorders>
              <w:top w:val="single" w:color="000000" w:sz="0" w:space="0"/>
              <w:left w:val="single" w:color="000000" w:sz="0" w:space="0"/>
              <w:bottom w:val="single" w:color="000000" w:sz="0" w:space="0"/>
            </w:tcBorders>
          </w:tcPr>
          <w:p w14:paraId="56BA385A">
            <w:pPr>
              <w:spacing w:after="0" w:line="240" w:lineRule="auto"/>
            </w:pPr>
            <w:r>
              <w:rPr>
                <w:rFonts w:ascii="Georgia" w:hAnsi="Georgia" w:eastAsia="Georgia" w:cs="Georgia"/>
              </w:rPr>
              <w:t>差F1</w:t>
            </w:r>
          </w:p>
        </w:tc>
        <w:tc>
          <w:tcPr>
            <w:tcBorders>
              <w:top w:val="single" w:color="000000" w:sz="0" w:space="0"/>
              <w:left w:val="single" w:color="000000" w:sz="0" w:space="0"/>
              <w:bottom w:val="single" w:color="000000" w:sz="0" w:space="0"/>
            </w:tcBorders>
          </w:tcPr>
          <w:p w14:paraId="7B1BE147">
            <w:pPr>
              <w:spacing w:after="0" w:line="240" w:lineRule="auto"/>
            </w:pPr>
            <w:r>
              <w:rPr>
                <w:rFonts w:ascii="Georgia" w:hAnsi="Georgia" w:eastAsia="Georgia" w:cs="Georgia"/>
              </w:rPr>
              <w:t>极差F1</w:t>
            </w:r>
          </w:p>
        </w:tc>
      </w:tr>
      <w:tr w14:paraId="2BC6BA46">
        <w:trPr>
          <w:cantSplit/>
          <w:tblCellSpacing w:w="0" w:type="dxa"/>
          <w:jc w:val="center"/>
        </w:trPr>
        <w:tc>
          <w:tcPr>
            <w:tcBorders>
              <w:top w:val="single" w:color="000000" w:sz="0" w:space="0"/>
              <w:bottom w:val="single" w:color="000000" w:sz="0" w:space="0"/>
            </w:tcBorders>
          </w:tcPr>
          <w:p w14:paraId="10EEB3EC">
            <w:pPr>
              <w:spacing w:after="0" w:line="240" w:lineRule="auto"/>
            </w:pPr>
            <w:r>
              <w:t>XGBoost</w:t>
            </w:r>
          </w:p>
        </w:tc>
        <w:tc>
          <w:tcPr>
            <w:tcBorders>
              <w:top w:val="single" w:color="000000" w:sz="0" w:space="0"/>
              <w:left w:val="single" w:color="000000" w:sz="0" w:space="0"/>
              <w:bottom w:val="single" w:color="000000" w:sz="0" w:space="0"/>
            </w:tcBorders>
          </w:tcPr>
          <w:p w14:paraId="082A34F9">
            <w:pPr>
              <w:spacing w:after="0" w:line="240" w:lineRule="auto"/>
            </w:pPr>
            <w:r>
              <w:t>99.58%</w:t>
            </w:r>
          </w:p>
        </w:tc>
        <w:tc>
          <w:tcPr>
            <w:tcBorders>
              <w:top w:val="single" w:color="000000" w:sz="0" w:space="0"/>
              <w:left w:val="single" w:color="000000" w:sz="0" w:space="0"/>
              <w:bottom w:val="single" w:color="000000" w:sz="0" w:space="0"/>
            </w:tcBorders>
          </w:tcPr>
          <w:p w14:paraId="418C2A24">
            <w:pPr>
              <w:spacing w:after="0" w:line="240" w:lineRule="auto"/>
            </w:pPr>
            <w:r>
              <w:t>0.9970</w:t>
            </w:r>
          </w:p>
        </w:tc>
        <w:tc>
          <w:tcPr>
            <w:tcBorders>
              <w:top w:val="single" w:color="000000" w:sz="0" w:space="0"/>
              <w:left w:val="single" w:color="000000" w:sz="0" w:space="0"/>
              <w:bottom w:val="single" w:color="000000" w:sz="0" w:space="0"/>
            </w:tcBorders>
          </w:tcPr>
          <w:p w14:paraId="31F46FC4">
            <w:pPr>
              <w:spacing w:after="0" w:line="240" w:lineRule="auto"/>
            </w:pPr>
            <w:r>
              <w:t>0.9970</w:t>
            </w:r>
          </w:p>
        </w:tc>
        <w:tc>
          <w:tcPr>
            <w:tcBorders>
              <w:top w:val="single" w:color="000000" w:sz="0" w:space="0"/>
              <w:left w:val="single" w:color="000000" w:sz="0" w:space="0"/>
              <w:bottom w:val="single" w:color="000000" w:sz="0" w:space="0"/>
            </w:tcBorders>
          </w:tcPr>
          <w:p w14:paraId="58DA21B2">
            <w:pPr>
              <w:spacing w:after="0" w:line="240" w:lineRule="auto"/>
            </w:pPr>
            <w:r>
              <w:t>0.9970</w:t>
            </w:r>
          </w:p>
        </w:tc>
        <w:tc>
          <w:tcPr>
            <w:tcBorders>
              <w:top w:val="single" w:color="000000" w:sz="0" w:space="0"/>
              <w:left w:val="single" w:color="000000" w:sz="0" w:space="0"/>
              <w:bottom w:val="single" w:color="000000" w:sz="0" w:space="0"/>
            </w:tcBorders>
          </w:tcPr>
          <w:p w14:paraId="2C37DCB3">
            <w:pPr>
              <w:spacing w:after="0" w:line="240" w:lineRule="auto"/>
            </w:pPr>
            <w:r>
              <w:t>0.998</w:t>
            </w:r>
          </w:p>
        </w:tc>
        <w:tc>
          <w:tcPr>
            <w:tcBorders>
              <w:top w:val="single" w:color="000000" w:sz="0" w:space="0"/>
              <w:left w:val="single" w:color="000000" w:sz="0" w:space="0"/>
              <w:bottom w:val="single" w:color="000000" w:sz="0" w:space="0"/>
            </w:tcBorders>
          </w:tcPr>
          <w:p w14:paraId="081696A7">
            <w:pPr>
              <w:spacing w:after="0" w:line="240" w:lineRule="auto"/>
            </w:pPr>
            <w:r>
              <w:t>0.997</w:t>
            </w:r>
          </w:p>
        </w:tc>
        <w:tc>
          <w:tcPr>
            <w:tcBorders>
              <w:top w:val="single" w:color="000000" w:sz="0" w:space="0"/>
              <w:left w:val="single" w:color="000000" w:sz="0" w:space="0"/>
              <w:bottom w:val="single" w:color="000000" w:sz="0" w:space="0"/>
            </w:tcBorders>
          </w:tcPr>
          <w:p w14:paraId="7B3CDAE4">
            <w:pPr>
              <w:spacing w:after="0" w:line="240" w:lineRule="auto"/>
            </w:pPr>
            <w:r>
              <w:t>0.995</w:t>
            </w:r>
          </w:p>
        </w:tc>
        <w:tc>
          <w:tcPr>
            <w:tcBorders>
              <w:top w:val="single" w:color="000000" w:sz="0" w:space="0"/>
              <w:left w:val="single" w:color="000000" w:sz="0" w:space="0"/>
              <w:bottom w:val="single" w:color="000000" w:sz="0" w:space="0"/>
            </w:tcBorders>
          </w:tcPr>
          <w:p w14:paraId="08C8BF50">
            <w:pPr>
              <w:spacing w:after="0" w:line="240" w:lineRule="auto"/>
            </w:pPr>
            <w:r>
              <w:t>0.994</w:t>
            </w:r>
          </w:p>
        </w:tc>
        <w:tc>
          <w:tcPr>
            <w:tcBorders>
              <w:top w:val="single" w:color="000000" w:sz="0" w:space="0"/>
              <w:left w:val="single" w:color="000000" w:sz="0" w:space="0"/>
              <w:bottom w:val="single" w:color="000000" w:sz="0" w:space="0"/>
            </w:tcBorders>
          </w:tcPr>
          <w:p w14:paraId="67AE7874">
            <w:pPr>
              <w:spacing w:after="0" w:line="240" w:lineRule="auto"/>
            </w:pPr>
            <w:r>
              <w:t>1.000</w:t>
            </w:r>
          </w:p>
        </w:tc>
      </w:tr>
      <w:tr w14:paraId="18122234">
        <w:trPr>
          <w:cantSplit/>
          <w:tblCellSpacing w:w="0" w:type="dxa"/>
          <w:jc w:val="center"/>
        </w:trPr>
        <w:tc>
          <w:tcPr>
            <w:tcBorders>
              <w:top w:val="single" w:color="000000" w:sz="0" w:space="0"/>
              <w:bottom w:val="single" w:color="000000" w:sz="0" w:space="0"/>
            </w:tcBorders>
          </w:tcPr>
          <w:p w14:paraId="6962641C">
            <w:pPr>
              <w:spacing w:after="0" w:line="240" w:lineRule="auto"/>
            </w:pPr>
            <w:r>
              <w:t>RandomForest</w:t>
            </w:r>
          </w:p>
        </w:tc>
        <w:tc>
          <w:tcPr>
            <w:tcBorders>
              <w:top w:val="single" w:color="000000" w:sz="0" w:space="0"/>
              <w:left w:val="single" w:color="000000" w:sz="0" w:space="0"/>
              <w:bottom w:val="single" w:color="000000" w:sz="0" w:space="0"/>
            </w:tcBorders>
          </w:tcPr>
          <w:p w14:paraId="3DC7F56B">
            <w:pPr>
              <w:spacing w:after="0" w:line="240" w:lineRule="auto"/>
            </w:pPr>
            <w:r>
              <w:t>99.55%</w:t>
            </w:r>
          </w:p>
        </w:tc>
        <w:tc>
          <w:tcPr>
            <w:tcBorders>
              <w:top w:val="single" w:color="000000" w:sz="0" w:space="0"/>
              <w:left w:val="single" w:color="000000" w:sz="0" w:space="0"/>
              <w:bottom w:val="single" w:color="000000" w:sz="0" w:space="0"/>
            </w:tcBorders>
          </w:tcPr>
          <w:p w14:paraId="66A33520">
            <w:pPr>
              <w:spacing w:after="0" w:line="240" w:lineRule="auto"/>
            </w:pPr>
            <w:r>
              <w:t>0.9965</w:t>
            </w:r>
          </w:p>
        </w:tc>
        <w:tc>
          <w:tcPr>
            <w:tcBorders>
              <w:top w:val="single" w:color="000000" w:sz="0" w:space="0"/>
              <w:left w:val="single" w:color="000000" w:sz="0" w:space="0"/>
              <w:bottom w:val="single" w:color="000000" w:sz="0" w:space="0"/>
            </w:tcBorders>
          </w:tcPr>
          <w:p w14:paraId="6688E735">
            <w:pPr>
              <w:spacing w:after="0" w:line="240" w:lineRule="auto"/>
            </w:pPr>
            <w:r>
              <w:t>0.9965</w:t>
            </w:r>
          </w:p>
        </w:tc>
        <w:tc>
          <w:tcPr>
            <w:tcBorders>
              <w:top w:val="single" w:color="000000" w:sz="0" w:space="0"/>
              <w:left w:val="single" w:color="000000" w:sz="0" w:space="0"/>
              <w:bottom w:val="single" w:color="000000" w:sz="0" w:space="0"/>
            </w:tcBorders>
          </w:tcPr>
          <w:p w14:paraId="1907C5B4">
            <w:pPr>
              <w:spacing w:after="0" w:line="240" w:lineRule="auto"/>
            </w:pPr>
            <w:r>
              <w:t>0.9965</w:t>
            </w:r>
          </w:p>
        </w:tc>
        <w:tc>
          <w:tcPr>
            <w:tcBorders>
              <w:top w:val="single" w:color="000000" w:sz="0" w:space="0"/>
              <w:left w:val="single" w:color="000000" w:sz="0" w:space="0"/>
              <w:bottom w:val="single" w:color="000000" w:sz="0" w:space="0"/>
            </w:tcBorders>
          </w:tcPr>
          <w:p w14:paraId="5282D2CB">
            <w:pPr>
              <w:spacing w:after="0" w:line="240" w:lineRule="auto"/>
            </w:pPr>
            <w:r>
              <w:t>0.997</w:t>
            </w:r>
          </w:p>
        </w:tc>
        <w:tc>
          <w:tcPr>
            <w:tcBorders>
              <w:top w:val="single" w:color="000000" w:sz="0" w:space="0"/>
              <w:left w:val="single" w:color="000000" w:sz="0" w:space="0"/>
              <w:bottom w:val="single" w:color="000000" w:sz="0" w:space="0"/>
            </w:tcBorders>
          </w:tcPr>
          <w:p w14:paraId="12B27C12">
            <w:pPr>
              <w:spacing w:after="0" w:line="240" w:lineRule="auto"/>
            </w:pPr>
            <w:r>
              <w:t>0.996</w:t>
            </w:r>
          </w:p>
        </w:tc>
        <w:tc>
          <w:tcPr>
            <w:tcBorders>
              <w:top w:val="single" w:color="000000" w:sz="0" w:space="0"/>
              <w:left w:val="single" w:color="000000" w:sz="0" w:space="0"/>
              <w:bottom w:val="single" w:color="000000" w:sz="0" w:space="0"/>
            </w:tcBorders>
          </w:tcPr>
          <w:p w14:paraId="63FD1C4B">
            <w:pPr>
              <w:spacing w:after="0" w:line="240" w:lineRule="auto"/>
            </w:pPr>
            <w:r>
              <w:t>0.994</w:t>
            </w:r>
          </w:p>
        </w:tc>
        <w:tc>
          <w:tcPr>
            <w:tcBorders>
              <w:top w:val="single" w:color="000000" w:sz="0" w:space="0"/>
              <w:left w:val="single" w:color="000000" w:sz="0" w:space="0"/>
              <w:bottom w:val="single" w:color="000000" w:sz="0" w:space="0"/>
            </w:tcBorders>
          </w:tcPr>
          <w:p w14:paraId="331CE247">
            <w:pPr>
              <w:spacing w:after="0" w:line="240" w:lineRule="auto"/>
            </w:pPr>
            <w:r>
              <w:t>0.993</w:t>
            </w:r>
          </w:p>
        </w:tc>
        <w:tc>
          <w:tcPr>
            <w:tcBorders>
              <w:top w:val="single" w:color="000000" w:sz="0" w:space="0"/>
              <w:left w:val="single" w:color="000000" w:sz="0" w:space="0"/>
              <w:bottom w:val="single" w:color="000000" w:sz="0" w:space="0"/>
            </w:tcBorders>
          </w:tcPr>
          <w:p w14:paraId="4627D6E7">
            <w:pPr>
              <w:spacing w:after="0" w:line="240" w:lineRule="auto"/>
            </w:pPr>
            <w:r>
              <w:t>1.000</w:t>
            </w:r>
          </w:p>
        </w:tc>
      </w:tr>
      <w:tr w14:paraId="5F074FBD">
        <w:trPr>
          <w:cantSplit/>
          <w:tblCellSpacing w:w="0" w:type="dxa"/>
          <w:jc w:val="center"/>
        </w:trPr>
        <w:tc>
          <w:tcPr>
            <w:tcBorders>
              <w:top w:val="single" w:color="000000" w:sz="0" w:space="0"/>
              <w:bottom w:val="single" w:color="000000" w:sz="0" w:space="0"/>
            </w:tcBorders>
          </w:tcPr>
          <w:p w14:paraId="60CF844B">
            <w:pPr>
              <w:spacing w:after="0" w:line="240" w:lineRule="auto"/>
            </w:pPr>
            <w:r>
              <w:t>LightGBM</w:t>
            </w:r>
          </w:p>
        </w:tc>
        <w:tc>
          <w:tcPr>
            <w:tcBorders>
              <w:top w:val="single" w:color="000000" w:sz="0" w:space="0"/>
              <w:left w:val="single" w:color="000000" w:sz="0" w:space="0"/>
              <w:bottom w:val="single" w:color="000000" w:sz="0" w:space="0"/>
            </w:tcBorders>
          </w:tcPr>
          <w:p w14:paraId="4AFC527F">
            <w:pPr>
              <w:spacing w:after="0" w:line="240" w:lineRule="auto"/>
            </w:pPr>
            <w:r>
              <w:t>78.0%</w:t>
            </w:r>
          </w:p>
        </w:tc>
        <w:tc>
          <w:tcPr>
            <w:tcBorders>
              <w:top w:val="single" w:color="000000" w:sz="0" w:space="0"/>
              <w:left w:val="single" w:color="000000" w:sz="0" w:space="0"/>
              <w:bottom w:val="single" w:color="000000" w:sz="0" w:space="0"/>
            </w:tcBorders>
          </w:tcPr>
          <w:p w14:paraId="74E952D7">
            <w:pPr>
              <w:spacing w:after="0" w:line="240" w:lineRule="auto"/>
            </w:pPr>
            <w:r>
              <w:t>0.76</w:t>
            </w:r>
          </w:p>
        </w:tc>
        <w:tc>
          <w:tcPr>
            <w:tcBorders>
              <w:top w:val="single" w:color="000000" w:sz="0" w:space="0"/>
              <w:left w:val="single" w:color="000000" w:sz="0" w:space="0"/>
              <w:bottom w:val="single" w:color="000000" w:sz="0" w:space="0"/>
            </w:tcBorders>
          </w:tcPr>
          <w:p w14:paraId="4CD1720A">
            <w:pPr>
              <w:spacing w:after="0" w:line="240" w:lineRule="auto"/>
            </w:pPr>
            <w:r>
              <w:t>0.75</w:t>
            </w:r>
          </w:p>
        </w:tc>
        <w:tc>
          <w:tcPr>
            <w:tcBorders>
              <w:top w:val="single" w:color="000000" w:sz="0" w:space="0"/>
              <w:left w:val="single" w:color="000000" w:sz="0" w:space="0"/>
              <w:bottom w:val="single" w:color="000000" w:sz="0" w:space="0"/>
            </w:tcBorders>
          </w:tcPr>
          <w:p w14:paraId="076B7730">
            <w:pPr>
              <w:spacing w:after="0" w:line="240" w:lineRule="auto"/>
            </w:pPr>
            <w:r>
              <w:t>0.75</w:t>
            </w:r>
          </w:p>
        </w:tc>
        <w:tc>
          <w:tcPr>
            <w:tcBorders>
              <w:top w:val="single" w:color="000000" w:sz="0" w:space="0"/>
              <w:left w:val="single" w:color="000000" w:sz="0" w:space="0"/>
              <w:bottom w:val="single" w:color="000000" w:sz="0" w:space="0"/>
            </w:tcBorders>
          </w:tcPr>
          <w:p w14:paraId="42587AF9">
            <w:pPr>
              <w:spacing w:after="0" w:line="240" w:lineRule="auto"/>
            </w:pPr>
            <w:r>
              <w:t>0.82</w:t>
            </w:r>
          </w:p>
        </w:tc>
        <w:tc>
          <w:tcPr>
            <w:tcBorders>
              <w:top w:val="single" w:color="000000" w:sz="0" w:space="0"/>
              <w:left w:val="single" w:color="000000" w:sz="0" w:space="0"/>
              <w:bottom w:val="single" w:color="000000" w:sz="0" w:space="0"/>
            </w:tcBorders>
          </w:tcPr>
          <w:p w14:paraId="65652BBF">
            <w:pPr>
              <w:spacing w:after="0" w:line="240" w:lineRule="auto"/>
            </w:pPr>
            <w:r>
              <w:t>0.84</w:t>
            </w:r>
          </w:p>
        </w:tc>
        <w:tc>
          <w:tcPr>
            <w:tcBorders>
              <w:top w:val="single" w:color="000000" w:sz="0" w:space="0"/>
              <w:left w:val="single" w:color="000000" w:sz="0" w:space="0"/>
              <w:bottom w:val="single" w:color="000000" w:sz="0" w:space="0"/>
            </w:tcBorders>
          </w:tcPr>
          <w:p w14:paraId="3982F16D">
            <w:pPr>
              <w:spacing w:after="0" w:line="240" w:lineRule="auto"/>
            </w:pPr>
            <w:r>
              <w:t>0.68</w:t>
            </w:r>
          </w:p>
        </w:tc>
        <w:tc>
          <w:tcPr>
            <w:tcBorders>
              <w:top w:val="single" w:color="000000" w:sz="0" w:space="0"/>
              <w:left w:val="single" w:color="000000" w:sz="0" w:space="0"/>
              <w:bottom w:val="single" w:color="000000" w:sz="0" w:space="0"/>
            </w:tcBorders>
          </w:tcPr>
          <w:p w14:paraId="3CC15E50">
            <w:pPr>
              <w:spacing w:after="0" w:line="240" w:lineRule="auto"/>
            </w:pPr>
            <w:r>
              <w:t>0.52</w:t>
            </w:r>
          </w:p>
        </w:tc>
        <w:tc>
          <w:tcPr>
            <w:tcBorders>
              <w:top w:val="single" w:color="000000" w:sz="0" w:space="0"/>
              <w:left w:val="single" w:color="000000" w:sz="0" w:space="0"/>
              <w:bottom w:val="single" w:color="000000" w:sz="0" w:space="0"/>
            </w:tcBorders>
          </w:tcPr>
          <w:p w14:paraId="2BFE91AD">
            <w:pPr>
              <w:spacing w:after="0" w:line="240" w:lineRule="auto"/>
            </w:pPr>
            <w:r>
              <w:t>0.89</w:t>
            </w:r>
          </w:p>
        </w:tc>
      </w:tr>
      <w:tr w14:paraId="28435C7D">
        <w:trPr>
          <w:cantSplit/>
          <w:tblCellSpacing w:w="0" w:type="dxa"/>
          <w:jc w:val="center"/>
        </w:trPr>
        <w:tc>
          <w:tcPr>
            <w:tcBorders>
              <w:top w:val="single" w:color="000000" w:sz="0" w:space="0"/>
              <w:bottom w:val="single" w:color="000000" w:sz="0" w:space="0"/>
            </w:tcBorders>
          </w:tcPr>
          <w:p w14:paraId="7865E4B7">
            <w:pPr>
              <w:spacing w:after="0" w:line="240" w:lineRule="auto"/>
            </w:pPr>
            <w:r>
              <w:t>CatBoost</w:t>
            </w:r>
          </w:p>
        </w:tc>
        <w:tc>
          <w:tcPr>
            <w:tcBorders>
              <w:top w:val="single" w:color="000000" w:sz="0" w:space="0"/>
              <w:left w:val="single" w:color="000000" w:sz="0" w:space="0"/>
              <w:bottom w:val="single" w:color="000000" w:sz="0" w:space="0"/>
            </w:tcBorders>
          </w:tcPr>
          <w:p w14:paraId="3E57F196">
            <w:pPr>
              <w:spacing w:after="0" w:line="240" w:lineRule="auto"/>
            </w:pPr>
            <w:r>
              <w:t>76.0%</w:t>
            </w:r>
          </w:p>
        </w:tc>
        <w:tc>
          <w:tcPr>
            <w:tcBorders>
              <w:top w:val="single" w:color="000000" w:sz="0" w:space="0"/>
              <w:left w:val="single" w:color="000000" w:sz="0" w:space="0"/>
              <w:bottom w:val="single" w:color="000000" w:sz="0" w:space="0"/>
            </w:tcBorders>
          </w:tcPr>
          <w:p w14:paraId="17F12199">
            <w:pPr>
              <w:spacing w:after="0" w:line="240" w:lineRule="auto"/>
            </w:pPr>
            <w:r>
              <w:t>0.74</w:t>
            </w:r>
          </w:p>
        </w:tc>
        <w:tc>
          <w:tcPr>
            <w:tcBorders>
              <w:top w:val="single" w:color="000000" w:sz="0" w:space="0"/>
              <w:left w:val="single" w:color="000000" w:sz="0" w:space="0"/>
              <w:bottom w:val="single" w:color="000000" w:sz="0" w:space="0"/>
            </w:tcBorders>
          </w:tcPr>
          <w:p w14:paraId="69D49D21">
            <w:pPr>
              <w:spacing w:after="0" w:line="240" w:lineRule="auto"/>
            </w:pPr>
            <w:r>
              <w:t>0.73</w:t>
            </w:r>
          </w:p>
        </w:tc>
        <w:tc>
          <w:tcPr>
            <w:tcBorders>
              <w:top w:val="single" w:color="000000" w:sz="0" w:space="0"/>
              <w:left w:val="single" w:color="000000" w:sz="0" w:space="0"/>
              <w:bottom w:val="single" w:color="000000" w:sz="0" w:space="0"/>
            </w:tcBorders>
          </w:tcPr>
          <w:p w14:paraId="46D4F43E">
            <w:pPr>
              <w:spacing w:after="0" w:line="240" w:lineRule="auto"/>
            </w:pPr>
            <w:r>
              <w:t>0.73</w:t>
            </w:r>
          </w:p>
        </w:tc>
        <w:tc>
          <w:tcPr>
            <w:tcBorders>
              <w:top w:val="single" w:color="000000" w:sz="0" w:space="0"/>
              <w:left w:val="single" w:color="000000" w:sz="0" w:space="0"/>
              <w:bottom w:val="single" w:color="000000" w:sz="0" w:space="0"/>
            </w:tcBorders>
          </w:tcPr>
          <w:p w14:paraId="511228C0">
            <w:pPr>
              <w:spacing w:after="0" w:line="240" w:lineRule="auto"/>
            </w:pPr>
            <w:r>
              <w:t>0.80</w:t>
            </w:r>
          </w:p>
        </w:tc>
        <w:tc>
          <w:tcPr>
            <w:tcBorders>
              <w:top w:val="single" w:color="000000" w:sz="0" w:space="0"/>
              <w:left w:val="single" w:color="000000" w:sz="0" w:space="0"/>
              <w:bottom w:val="single" w:color="000000" w:sz="0" w:space="0"/>
            </w:tcBorders>
          </w:tcPr>
          <w:p w14:paraId="587C6B78">
            <w:pPr>
              <w:spacing w:after="0" w:line="240" w:lineRule="auto"/>
            </w:pPr>
            <w:r>
              <w:t>0.82</w:t>
            </w:r>
          </w:p>
        </w:tc>
        <w:tc>
          <w:tcPr>
            <w:tcBorders>
              <w:top w:val="single" w:color="000000" w:sz="0" w:space="0"/>
              <w:left w:val="single" w:color="000000" w:sz="0" w:space="0"/>
              <w:bottom w:val="single" w:color="000000" w:sz="0" w:space="0"/>
            </w:tcBorders>
          </w:tcPr>
          <w:p w14:paraId="719479E8">
            <w:pPr>
              <w:spacing w:after="0" w:line="240" w:lineRule="auto"/>
            </w:pPr>
            <w:r>
              <w:t>0.65</w:t>
            </w:r>
          </w:p>
        </w:tc>
        <w:tc>
          <w:tcPr>
            <w:tcBorders>
              <w:top w:val="single" w:color="000000" w:sz="0" w:space="0"/>
              <w:left w:val="single" w:color="000000" w:sz="0" w:space="0"/>
              <w:bottom w:val="single" w:color="000000" w:sz="0" w:space="0"/>
            </w:tcBorders>
          </w:tcPr>
          <w:p w14:paraId="345B953F">
            <w:pPr>
              <w:spacing w:after="0" w:line="240" w:lineRule="auto"/>
            </w:pPr>
            <w:r>
              <w:t>0.48</w:t>
            </w:r>
          </w:p>
        </w:tc>
        <w:tc>
          <w:tcPr>
            <w:tcBorders>
              <w:top w:val="single" w:color="000000" w:sz="0" w:space="0"/>
              <w:left w:val="single" w:color="000000" w:sz="0" w:space="0"/>
              <w:bottom w:val="single" w:color="000000" w:sz="0" w:space="0"/>
            </w:tcBorders>
          </w:tcPr>
          <w:p w14:paraId="12AA9CD7">
            <w:pPr>
              <w:spacing w:after="0" w:line="240" w:lineRule="auto"/>
            </w:pPr>
            <w:r>
              <w:t>0.87</w:t>
            </w:r>
          </w:p>
        </w:tc>
      </w:tr>
    </w:tbl>
    <w:p w14:paraId="5FBB9225">
      <w:pPr>
        <w:snapToGrid/>
        <w:spacing w:beforeAutospacing="0" w:after="0" w:afterAutospacing="0" w:line="400" w:lineRule="exact"/>
        <w:ind w:left="0" w:leftChars="0" w:right="0" w:rightChars="0" w:firstLine="480" w:firstLineChars="200"/>
        <w:jc w:val="both"/>
        <w:rPr>
          <w:rFonts w:ascii="Times New Roman" w:eastAsia="宋体"/>
          <w:sz w:val="24"/>
        </w:rPr>
      </w:pPr>
    </w:p>
    <w:p w14:paraId="771B8E54">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从表15可以看出，XGBoost和RandomForest在拟合规则表任务上表现出色，准确率均接近100%。"极差"等级达到100%的F1分数，意味着模型在识别重度污染事件时没有任何遗漏或误报。LightGBM和CatBoost的性能显著较低（78%和76%），这一差距主要源于特征工程的差异，XGBoost和RandomForest模型使用的数据集包含了3个工程特征（总重金属、COD/BOD比、氮磷比），而LightGBM和CatBoost缺少这些特征。这一对比证明了特征工程在机器学习建模中的关键作用。</w:t>
      </w:r>
    </w:p>
    <w:p w14:paraId="2ABA55EF">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为验证模型是否存在过拟合，表15-A展示了训练集与测试集准确率的对比。</w:t>
      </w:r>
    </w:p>
    <w:p w14:paraId="696E2E9B">
      <w:pPr>
        <w:spacing w:after="220"/>
        <w:ind w:left="0" w:leftChars="0" w:right="0" w:rightChars="0" w:firstLine="0" w:firstLineChars="0"/>
        <w:jc w:val="center"/>
        <w:rPr>
          <w:rFonts w:ascii="宋体" w:eastAsia="宋体"/>
          <w:b w:val="0"/>
          <w:sz w:val="21"/>
        </w:rPr>
      </w:pPr>
      <w:r>
        <w:rPr>
          <w:rFonts w:ascii="宋体" w:eastAsia="宋体"/>
          <w:b w:val="0"/>
          <w:sz w:val="21"/>
        </w:rPr>
        <w:t>表15-A 分类模型过拟合检测</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777"/>
        <w:gridCol w:w="1640"/>
        <w:gridCol w:w="1640"/>
        <w:gridCol w:w="1420"/>
        <w:gridCol w:w="1425"/>
      </w:tblGrid>
      <w:tr w14:paraId="1C2A094D">
        <w:trPr>
          <w:cantSplit/>
          <w:tblCellSpacing w:w="0" w:type="dxa"/>
          <w:jc w:val="center"/>
        </w:trPr>
        <w:tc>
          <w:tcPr>
            <w:tcBorders>
              <w:top w:val="single" w:color="000000" w:sz="0" w:space="0"/>
              <w:bottom w:val="single" w:color="000000" w:sz="0" w:space="0"/>
            </w:tcBorders>
          </w:tcPr>
          <w:p w14:paraId="7428980C">
            <w:pPr>
              <w:spacing w:after="0" w:line="240" w:lineRule="auto"/>
            </w:pPr>
            <w:r>
              <w:rPr>
                <w:rFonts w:ascii="Georgia" w:hAnsi="Georgia" w:eastAsia="Georgia" w:cs="Georgia"/>
              </w:rPr>
              <w:t>模型</w:t>
            </w:r>
          </w:p>
        </w:tc>
        <w:tc>
          <w:tcPr>
            <w:tcBorders>
              <w:top w:val="single" w:color="000000" w:sz="0" w:space="0"/>
              <w:left w:val="single" w:color="000000" w:sz="0" w:space="0"/>
              <w:bottom w:val="single" w:color="000000" w:sz="0" w:space="0"/>
            </w:tcBorders>
          </w:tcPr>
          <w:p w14:paraId="7DD37E8A">
            <w:pPr>
              <w:spacing w:after="0" w:line="240" w:lineRule="auto"/>
            </w:pPr>
            <w:r>
              <w:rPr>
                <w:rFonts w:ascii="Georgia" w:hAnsi="Georgia" w:eastAsia="Georgia" w:cs="Georgia"/>
              </w:rPr>
              <w:t>训练集准确率</w:t>
            </w:r>
          </w:p>
        </w:tc>
        <w:tc>
          <w:tcPr>
            <w:tcBorders>
              <w:top w:val="single" w:color="000000" w:sz="0" w:space="0"/>
              <w:left w:val="single" w:color="000000" w:sz="0" w:space="0"/>
              <w:bottom w:val="single" w:color="000000" w:sz="0" w:space="0"/>
            </w:tcBorders>
          </w:tcPr>
          <w:p w14:paraId="197B0680">
            <w:pPr>
              <w:spacing w:after="0" w:line="240" w:lineRule="auto"/>
            </w:pPr>
            <w:r>
              <w:rPr>
                <w:rFonts w:ascii="Georgia" w:hAnsi="Georgia" w:eastAsia="Georgia" w:cs="Georgia"/>
              </w:rPr>
              <w:t>测试集准确率</w:t>
            </w:r>
          </w:p>
        </w:tc>
        <w:tc>
          <w:tcPr>
            <w:tcBorders>
              <w:top w:val="single" w:color="000000" w:sz="0" w:space="0"/>
              <w:left w:val="single" w:color="000000" w:sz="0" w:space="0"/>
              <w:bottom w:val="single" w:color="000000" w:sz="0" w:space="0"/>
            </w:tcBorders>
          </w:tcPr>
          <w:p w14:paraId="518FE87F">
            <w:pPr>
              <w:spacing w:after="0" w:line="240" w:lineRule="auto"/>
            </w:pPr>
            <w:r>
              <w:rPr>
                <w:rFonts w:ascii="Georgia" w:hAnsi="Georgia" w:eastAsia="Georgia" w:cs="Georgia"/>
              </w:rPr>
              <w:t>准确率差异</w:t>
            </w:r>
          </w:p>
        </w:tc>
        <w:tc>
          <w:tcPr>
            <w:tcBorders>
              <w:top w:val="single" w:color="000000" w:sz="0" w:space="0"/>
              <w:left w:val="single" w:color="000000" w:sz="0" w:space="0"/>
              <w:bottom w:val="single" w:color="000000" w:sz="0" w:space="0"/>
            </w:tcBorders>
          </w:tcPr>
          <w:p w14:paraId="317C0E10">
            <w:pPr>
              <w:spacing w:after="0" w:line="240" w:lineRule="auto"/>
            </w:pPr>
            <w:r>
              <w:rPr>
                <w:rFonts w:ascii="Georgia" w:hAnsi="Georgia" w:eastAsia="Georgia" w:cs="Georgia"/>
              </w:rPr>
              <w:t>过拟合评估</w:t>
            </w:r>
          </w:p>
        </w:tc>
      </w:tr>
      <w:tr w14:paraId="5EF0481A">
        <w:trPr>
          <w:cantSplit/>
          <w:tblCellSpacing w:w="0" w:type="dxa"/>
          <w:jc w:val="center"/>
        </w:trPr>
        <w:tc>
          <w:tcPr>
            <w:tcBorders>
              <w:top w:val="single" w:color="000000" w:sz="0" w:space="0"/>
              <w:bottom w:val="single" w:color="000000" w:sz="0" w:space="0"/>
            </w:tcBorders>
          </w:tcPr>
          <w:p w14:paraId="72EF7C64">
            <w:pPr>
              <w:spacing w:after="0" w:line="240" w:lineRule="auto"/>
            </w:pPr>
            <w:r>
              <w:t>XGBoost</w:t>
            </w:r>
          </w:p>
        </w:tc>
        <w:tc>
          <w:tcPr>
            <w:tcBorders>
              <w:top w:val="single" w:color="000000" w:sz="0" w:space="0"/>
              <w:left w:val="single" w:color="000000" w:sz="0" w:space="0"/>
              <w:bottom w:val="single" w:color="000000" w:sz="0" w:space="0"/>
            </w:tcBorders>
          </w:tcPr>
          <w:p w14:paraId="1F03C4F5">
            <w:pPr>
              <w:spacing w:after="0" w:line="240" w:lineRule="auto"/>
            </w:pPr>
            <w:r>
              <w:t>99.72%</w:t>
            </w:r>
          </w:p>
        </w:tc>
        <w:tc>
          <w:tcPr>
            <w:tcBorders>
              <w:top w:val="single" w:color="000000" w:sz="0" w:space="0"/>
              <w:left w:val="single" w:color="000000" w:sz="0" w:space="0"/>
              <w:bottom w:val="single" w:color="000000" w:sz="0" w:space="0"/>
            </w:tcBorders>
          </w:tcPr>
          <w:p w14:paraId="0E3997E3">
            <w:pPr>
              <w:spacing w:after="0" w:line="240" w:lineRule="auto"/>
            </w:pPr>
            <w:r>
              <w:t>99.58%</w:t>
            </w:r>
          </w:p>
        </w:tc>
        <w:tc>
          <w:tcPr>
            <w:tcBorders>
              <w:top w:val="single" w:color="000000" w:sz="0" w:space="0"/>
              <w:left w:val="single" w:color="000000" w:sz="0" w:space="0"/>
              <w:bottom w:val="single" w:color="000000" w:sz="0" w:space="0"/>
            </w:tcBorders>
          </w:tcPr>
          <w:p w14:paraId="48D485BE">
            <w:pPr>
              <w:spacing w:after="0" w:line="240" w:lineRule="auto"/>
            </w:pPr>
            <w:r>
              <w:t>0.14%</w:t>
            </w:r>
          </w:p>
        </w:tc>
        <w:tc>
          <w:tcPr>
            <w:tcBorders>
              <w:top w:val="single" w:color="000000" w:sz="0" w:space="0"/>
              <w:left w:val="single" w:color="000000" w:sz="0" w:space="0"/>
              <w:bottom w:val="single" w:color="000000" w:sz="0" w:space="0"/>
            </w:tcBorders>
          </w:tcPr>
          <w:p w14:paraId="4653AA71">
            <w:pPr>
              <w:spacing w:after="0" w:line="240" w:lineRule="auto"/>
            </w:pPr>
            <w:r>
              <w:rPr>
                <w:rFonts w:ascii="Georgia" w:hAnsi="Georgia" w:eastAsia="Georgia" w:cs="Georgia"/>
              </w:rPr>
              <w:t>无过拟合</w:t>
            </w:r>
          </w:p>
        </w:tc>
      </w:tr>
      <w:tr w14:paraId="4F3525A7">
        <w:trPr>
          <w:cantSplit/>
          <w:tblCellSpacing w:w="0" w:type="dxa"/>
          <w:jc w:val="center"/>
        </w:trPr>
        <w:tc>
          <w:tcPr>
            <w:tcBorders>
              <w:top w:val="single" w:color="000000" w:sz="0" w:space="0"/>
              <w:bottom w:val="single" w:color="000000" w:sz="0" w:space="0"/>
            </w:tcBorders>
          </w:tcPr>
          <w:p w14:paraId="5E3C6C34">
            <w:pPr>
              <w:spacing w:after="0" w:line="240" w:lineRule="auto"/>
            </w:pPr>
            <w:r>
              <w:t>RandomForest</w:t>
            </w:r>
          </w:p>
        </w:tc>
        <w:tc>
          <w:tcPr>
            <w:tcBorders>
              <w:top w:val="single" w:color="000000" w:sz="0" w:space="0"/>
              <w:left w:val="single" w:color="000000" w:sz="0" w:space="0"/>
              <w:bottom w:val="single" w:color="000000" w:sz="0" w:space="0"/>
            </w:tcBorders>
          </w:tcPr>
          <w:p w14:paraId="0953EC4A">
            <w:pPr>
              <w:spacing w:after="0" w:line="240" w:lineRule="auto"/>
            </w:pPr>
            <w:r>
              <w:t>99.68%</w:t>
            </w:r>
          </w:p>
        </w:tc>
        <w:tc>
          <w:tcPr>
            <w:tcBorders>
              <w:top w:val="single" w:color="000000" w:sz="0" w:space="0"/>
              <w:left w:val="single" w:color="000000" w:sz="0" w:space="0"/>
              <w:bottom w:val="single" w:color="000000" w:sz="0" w:space="0"/>
            </w:tcBorders>
          </w:tcPr>
          <w:p w14:paraId="3C06F102">
            <w:pPr>
              <w:spacing w:after="0" w:line="240" w:lineRule="auto"/>
            </w:pPr>
            <w:r>
              <w:t>99.55%</w:t>
            </w:r>
          </w:p>
        </w:tc>
        <w:tc>
          <w:tcPr>
            <w:tcBorders>
              <w:top w:val="single" w:color="000000" w:sz="0" w:space="0"/>
              <w:left w:val="single" w:color="000000" w:sz="0" w:space="0"/>
              <w:bottom w:val="single" w:color="000000" w:sz="0" w:space="0"/>
            </w:tcBorders>
          </w:tcPr>
          <w:p w14:paraId="33CCBAFB">
            <w:pPr>
              <w:spacing w:after="0" w:line="240" w:lineRule="auto"/>
            </w:pPr>
            <w:r>
              <w:t>0.13%</w:t>
            </w:r>
          </w:p>
        </w:tc>
        <w:tc>
          <w:tcPr>
            <w:tcBorders>
              <w:top w:val="single" w:color="000000" w:sz="0" w:space="0"/>
              <w:left w:val="single" w:color="000000" w:sz="0" w:space="0"/>
              <w:bottom w:val="single" w:color="000000" w:sz="0" w:space="0"/>
            </w:tcBorders>
          </w:tcPr>
          <w:p w14:paraId="4F351B49">
            <w:pPr>
              <w:spacing w:after="0" w:line="240" w:lineRule="auto"/>
            </w:pPr>
            <w:r>
              <w:rPr>
                <w:rFonts w:ascii="Georgia" w:hAnsi="Georgia" w:eastAsia="Georgia" w:cs="Georgia"/>
              </w:rPr>
              <w:t>无过拟合</w:t>
            </w:r>
          </w:p>
        </w:tc>
      </w:tr>
      <w:tr w14:paraId="6CD8CE34">
        <w:trPr>
          <w:cantSplit/>
          <w:tblCellSpacing w:w="0" w:type="dxa"/>
          <w:jc w:val="center"/>
        </w:trPr>
        <w:tc>
          <w:tcPr>
            <w:tcBorders>
              <w:top w:val="single" w:color="000000" w:sz="0" w:space="0"/>
              <w:bottom w:val="single" w:color="000000" w:sz="0" w:space="0"/>
            </w:tcBorders>
          </w:tcPr>
          <w:p w14:paraId="0BBE366F">
            <w:pPr>
              <w:spacing w:after="0" w:line="240" w:lineRule="auto"/>
            </w:pPr>
            <w:r>
              <w:t>LightGBM</w:t>
            </w:r>
          </w:p>
        </w:tc>
        <w:tc>
          <w:tcPr>
            <w:tcBorders>
              <w:top w:val="single" w:color="000000" w:sz="0" w:space="0"/>
              <w:left w:val="single" w:color="000000" w:sz="0" w:space="0"/>
              <w:bottom w:val="single" w:color="000000" w:sz="0" w:space="0"/>
            </w:tcBorders>
          </w:tcPr>
          <w:p w14:paraId="426840DB">
            <w:pPr>
              <w:spacing w:after="0" w:line="240" w:lineRule="auto"/>
            </w:pPr>
            <w:r>
              <w:t>79.2%</w:t>
            </w:r>
          </w:p>
        </w:tc>
        <w:tc>
          <w:tcPr>
            <w:tcBorders>
              <w:top w:val="single" w:color="000000" w:sz="0" w:space="0"/>
              <w:left w:val="single" w:color="000000" w:sz="0" w:space="0"/>
              <w:bottom w:val="single" w:color="000000" w:sz="0" w:space="0"/>
            </w:tcBorders>
          </w:tcPr>
          <w:p w14:paraId="7D0085D8">
            <w:pPr>
              <w:spacing w:after="0" w:line="240" w:lineRule="auto"/>
            </w:pPr>
            <w:r>
              <w:t>78.0%</w:t>
            </w:r>
          </w:p>
        </w:tc>
        <w:tc>
          <w:tcPr>
            <w:tcBorders>
              <w:top w:val="single" w:color="000000" w:sz="0" w:space="0"/>
              <w:left w:val="single" w:color="000000" w:sz="0" w:space="0"/>
              <w:bottom w:val="single" w:color="000000" w:sz="0" w:space="0"/>
            </w:tcBorders>
          </w:tcPr>
          <w:p w14:paraId="4DEF6F2D">
            <w:pPr>
              <w:spacing w:after="0" w:line="240" w:lineRule="auto"/>
            </w:pPr>
            <w:r>
              <w:t>1.2%</w:t>
            </w:r>
          </w:p>
        </w:tc>
        <w:tc>
          <w:tcPr>
            <w:tcBorders>
              <w:top w:val="single" w:color="000000" w:sz="0" w:space="0"/>
              <w:left w:val="single" w:color="000000" w:sz="0" w:space="0"/>
              <w:bottom w:val="single" w:color="000000" w:sz="0" w:space="0"/>
            </w:tcBorders>
          </w:tcPr>
          <w:p w14:paraId="5A05EB8D">
            <w:pPr>
              <w:spacing w:after="0" w:line="240" w:lineRule="auto"/>
            </w:pPr>
            <w:r>
              <w:rPr>
                <w:rFonts w:ascii="Georgia" w:hAnsi="Georgia" w:eastAsia="Georgia" w:cs="Georgia"/>
              </w:rPr>
              <w:t>轻微过拟合</w:t>
            </w:r>
          </w:p>
        </w:tc>
      </w:tr>
      <w:tr w14:paraId="710BB885">
        <w:trPr>
          <w:cantSplit/>
          <w:tblCellSpacing w:w="0" w:type="dxa"/>
          <w:jc w:val="center"/>
        </w:trPr>
        <w:tc>
          <w:tcPr>
            <w:tcBorders>
              <w:top w:val="single" w:color="000000" w:sz="0" w:space="0"/>
              <w:bottom w:val="single" w:color="000000" w:sz="0" w:space="0"/>
            </w:tcBorders>
          </w:tcPr>
          <w:p w14:paraId="04DC22AC">
            <w:pPr>
              <w:spacing w:after="0" w:line="240" w:lineRule="auto"/>
            </w:pPr>
            <w:r>
              <w:t>CatBoost</w:t>
            </w:r>
          </w:p>
        </w:tc>
        <w:tc>
          <w:tcPr>
            <w:tcBorders>
              <w:top w:val="single" w:color="000000" w:sz="0" w:space="0"/>
              <w:left w:val="single" w:color="000000" w:sz="0" w:space="0"/>
              <w:bottom w:val="single" w:color="000000" w:sz="0" w:space="0"/>
            </w:tcBorders>
          </w:tcPr>
          <w:p w14:paraId="25AE023B">
            <w:pPr>
              <w:spacing w:after="0" w:line="240" w:lineRule="auto"/>
            </w:pPr>
            <w:r>
              <w:t>77.5%</w:t>
            </w:r>
          </w:p>
        </w:tc>
        <w:tc>
          <w:tcPr>
            <w:tcBorders>
              <w:top w:val="single" w:color="000000" w:sz="0" w:space="0"/>
              <w:left w:val="single" w:color="000000" w:sz="0" w:space="0"/>
              <w:bottom w:val="single" w:color="000000" w:sz="0" w:space="0"/>
            </w:tcBorders>
          </w:tcPr>
          <w:p w14:paraId="7A163C59">
            <w:pPr>
              <w:spacing w:after="0" w:line="240" w:lineRule="auto"/>
            </w:pPr>
            <w:r>
              <w:t>76.0%</w:t>
            </w:r>
          </w:p>
        </w:tc>
        <w:tc>
          <w:tcPr>
            <w:tcBorders>
              <w:top w:val="single" w:color="000000" w:sz="0" w:space="0"/>
              <w:left w:val="single" w:color="000000" w:sz="0" w:space="0"/>
              <w:bottom w:val="single" w:color="000000" w:sz="0" w:space="0"/>
            </w:tcBorders>
          </w:tcPr>
          <w:p w14:paraId="728AD8A9">
            <w:pPr>
              <w:spacing w:after="0" w:line="240" w:lineRule="auto"/>
            </w:pPr>
            <w:r>
              <w:t>1.5%</w:t>
            </w:r>
          </w:p>
        </w:tc>
        <w:tc>
          <w:tcPr>
            <w:tcBorders>
              <w:top w:val="single" w:color="000000" w:sz="0" w:space="0"/>
              <w:left w:val="single" w:color="000000" w:sz="0" w:space="0"/>
              <w:bottom w:val="single" w:color="000000" w:sz="0" w:space="0"/>
            </w:tcBorders>
          </w:tcPr>
          <w:p w14:paraId="04AC53A5">
            <w:pPr>
              <w:spacing w:after="0" w:line="240" w:lineRule="auto"/>
            </w:pPr>
            <w:r>
              <w:rPr>
                <w:rFonts w:ascii="Georgia" w:hAnsi="Georgia" w:eastAsia="Georgia" w:cs="Georgia"/>
              </w:rPr>
              <w:t>轻微过拟合</w:t>
            </w:r>
          </w:p>
        </w:tc>
      </w:tr>
    </w:tbl>
    <w:p w14:paraId="556664A2">
      <w:pPr>
        <w:snapToGrid/>
        <w:spacing w:beforeAutospacing="0" w:after="0" w:afterAutospacing="0" w:line="400" w:lineRule="exact"/>
        <w:ind w:left="0" w:leftChars="0" w:right="0" w:rightChars="0" w:firstLine="480" w:firstLineChars="200"/>
        <w:jc w:val="both"/>
        <w:rPr>
          <w:rFonts w:ascii="Times New Roman" w:eastAsia="宋体"/>
          <w:sz w:val="24"/>
        </w:rPr>
      </w:pPr>
    </w:p>
    <w:p w14:paraId="339B5601">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注，准确率差异 = 训练集准确率 - 测试集准确率。差异&lt;1%为无过拟合，1%-5%为轻微过拟合。</w:t>
      </w:r>
    </w:p>
    <w:p w14:paraId="7F44D438">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XGBoost和RandomForest的训练集与测试集准确率差异均小于0.15%，表明模型具有良好的泛化能力，未出现过拟合现象。这得益于特征筛选策略（排除WQI避免信息泄漏）、正则化机制和集成学习策略。</w:t>
      </w:r>
    </w:p>
    <w:p w14:paraId="5D107EDE">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为进一步理解模型的分类错误模式，表16展示了XGBoost模型的混淆矩阵。</w:t>
      </w:r>
    </w:p>
    <w:p w14:paraId="28C7F5FD">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表16 XGBoost分类模型混淆矩阵（测试集，N=3,105）</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309"/>
        <w:gridCol w:w="1044"/>
        <w:gridCol w:w="1057"/>
        <w:gridCol w:w="1048"/>
        <w:gridCol w:w="865"/>
        <w:gridCol w:w="865"/>
        <w:gridCol w:w="847"/>
        <w:gridCol w:w="1068"/>
      </w:tblGrid>
      <w:tr w14:paraId="465E7ABF">
        <w:trPr>
          <w:cantSplit/>
          <w:tblCellSpacing w:w="0" w:type="dxa"/>
          <w:jc w:val="center"/>
        </w:trPr>
        <w:tc>
          <w:tcPr>
            <w:tcBorders>
              <w:top w:val="single" w:color="000000" w:sz="0" w:space="0"/>
              <w:bottom w:val="single" w:color="000000" w:sz="0" w:space="0"/>
            </w:tcBorders>
          </w:tcPr>
          <w:p w14:paraId="08576DEB">
            <w:pPr>
              <w:spacing w:after="0" w:line="240" w:lineRule="auto"/>
            </w:pPr>
            <w:r>
              <w:rPr>
                <w:rFonts w:ascii="Georgia" w:hAnsi="Georgia" w:eastAsia="Georgia" w:cs="Georgia"/>
              </w:rPr>
              <w:t>真实\预测</w:t>
            </w:r>
          </w:p>
        </w:tc>
        <w:tc>
          <w:tcPr>
            <w:tcBorders>
              <w:top w:val="single" w:color="000000" w:sz="0" w:space="0"/>
              <w:left w:val="single" w:color="000000" w:sz="0" w:space="0"/>
              <w:bottom w:val="single" w:color="000000" w:sz="0" w:space="0"/>
            </w:tcBorders>
          </w:tcPr>
          <w:p w14:paraId="738B67C7">
            <w:pPr>
              <w:spacing w:after="0" w:line="240" w:lineRule="auto"/>
            </w:pPr>
            <w:r>
              <w:rPr>
                <w:rFonts w:ascii="Georgia" w:hAnsi="Georgia" w:eastAsia="Georgia" w:cs="Georgia"/>
              </w:rPr>
              <w:t>优</w:t>
            </w:r>
          </w:p>
        </w:tc>
        <w:tc>
          <w:tcPr>
            <w:tcBorders>
              <w:top w:val="single" w:color="000000" w:sz="0" w:space="0"/>
              <w:left w:val="single" w:color="000000" w:sz="0" w:space="0"/>
              <w:bottom w:val="single" w:color="000000" w:sz="0" w:space="0"/>
            </w:tcBorders>
          </w:tcPr>
          <w:p w14:paraId="4A0FD257">
            <w:pPr>
              <w:spacing w:after="0" w:line="240" w:lineRule="auto"/>
            </w:pPr>
            <w:r>
              <w:rPr>
                <w:rFonts w:ascii="Georgia" w:hAnsi="Georgia" w:eastAsia="Georgia" w:cs="Georgia"/>
              </w:rPr>
              <w:t>良</w:t>
            </w:r>
          </w:p>
        </w:tc>
        <w:tc>
          <w:tcPr>
            <w:tcBorders>
              <w:top w:val="single" w:color="000000" w:sz="0" w:space="0"/>
              <w:left w:val="single" w:color="000000" w:sz="0" w:space="0"/>
              <w:bottom w:val="single" w:color="000000" w:sz="0" w:space="0"/>
            </w:tcBorders>
          </w:tcPr>
          <w:p w14:paraId="3FA07536">
            <w:pPr>
              <w:spacing w:after="0" w:line="240" w:lineRule="auto"/>
            </w:pPr>
            <w:r>
              <w:rPr>
                <w:rFonts w:ascii="Georgia" w:hAnsi="Georgia" w:eastAsia="Georgia" w:cs="Georgia"/>
              </w:rPr>
              <w:t>中</w:t>
            </w:r>
          </w:p>
        </w:tc>
        <w:tc>
          <w:tcPr>
            <w:tcBorders>
              <w:top w:val="single" w:color="000000" w:sz="0" w:space="0"/>
              <w:left w:val="single" w:color="000000" w:sz="0" w:space="0"/>
              <w:bottom w:val="single" w:color="000000" w:sz="0" w:space="0"/>
            </w:tcBorders>
          </w:tcPr>
          <w:p w14:paraId="12299DCA">
            <w:pPr>
              <w:spacing w:after="0" w:line="240" w:lineRule="auto"/>
            </w:pPr>
            <w:r>
              <w:rPr>
                <w:rFonts w:ascii="Georgia" w:hAnsi="Georgia" w:eastAsia="Georgia" w:cs="Georgia"/>
              </w:rPr>
              <w:t>差</w:t>
            </w:r>
          </w:p>
        </w:tc>
        <w:tc>
          <w:tcPr>
            <w:tcBorders>
              <w:top w:val="single" w:color="000000" w:sz="0" w:space="0"/>
              <w:left w:val="single" w:color="000000" w:sz="0" w:space="0"/>
              <w:bottom w:val="single" w:color="000000" w:sz="0" w:space="0"/>
            </w:tcBorders>
          </w:tcPr>
          <w:p w14:paraId="3D4CD0A7">
            <w:pPr>
              <w:spacing w:after="0" w:line="240" w:lineRule="auto"/>
            </w:pPr>
            <w:r>
              <w:rPr>
                <w:rFonts w:ascii="Georgia" w:hAnsi="Georgia" w:eastAsia="Georgia" w:cs="Georgia"/>
              </w:rPr>
              <w:t>极差</w:t>
            </w:r>
          </w:p>
        </w:tc>
        <w:tc>
          <w:tcPr>
            <w:tcBorders>
              <w:top w:val="single" w:color="000000" w:sz="0" w:space="0"/>
              <w:left w:val="single" w:color="000000" w:sz="0" w:space="0"/>
              <w:bottom w:val="single" w:color="000000" w:sz="0" w:space="0"/>
            </w:tcBorders>
          </w:tcPr>
          <w:p w14:paraId="6D9E8E2B">
            <w:pPr>
              <w:spacing w:after="0" w:line="240" w:lineRule="auto"/>
            </w:pPr>
            <w:r>
              <w:rPr>
                <w:rFonts w:ascii="Georgia" w:hAnsi="Georgia" w:eastAsia="Georgia" w:cs="Georgia"/>
              </w:rPr>
              <w:t>总计</w:t>
            </w:r>
          </w:p>
        </w:tc>
        <w:tc>
          <w:tcPr>
            <w:tcBorders>
              <w:top w:val="single" w:color="000000" w:sz="0" w:space="0"/>
              <w:left w:val="single" w:color="000000" w:sz="0" w:space="0"/>
              <w:bottom w:val="single" w:color="000000" w:sz="0" w:space="0"/>
            </w:tcBorders>
          </w:tcPr>
          <w:p w14:paraId="6564EE8F">
            <w:pPr>
              <w:spacing w:after="0" w:line="240" w:lineRule="auto"/>
            </w:pPr>
            <w:r>
              <w:rPr>
                <w:rFonts w:ascii="Georgia" w:hAnsi="Georgia" w:eastAsia="Georgia" w:cs="Georgia"/>
              </w:rPr>
              <w:t>召回率</w:t>
            </w:r>
          </w:p>
        </w:tc>
      </w:tr>
      <w:tr w14:paraId="7FCFD417">
        <w:trPr>
          <w:cantSplit/>
          <w:tblCellSpacing w:w="0" w:type="dxa"/>
          <w:jc w:val="center"/>
        </w:trPr>
        <w:tc>
          <w:tcPr>
            <w:tcBorders>
              <w:top w:val="single" w:color="000000" w:sz="0" w:space="0"/>
              <w:bottom w:val="single" w:color="000000" w:sz="0" w:space="0"/>
            </w:tcBorders>
          </w:tcPr>
          <w:p w14:paraId="376F2BC3">
            <w:pPr>
              <w:spacing w:after="0" w:line="240" w:lineRule="auto"/>
            </w:pPr>
            <w:r>
              <w:rPr>
                <w:rFonts w:ascii="Georgia" w:hAnsi="Georgia" w:eastAsia="Georgia" w:cs="Georgia"/>
              </w:rPr>
              <w:t>优</w:t>
            </w:r>
          </w:p>
        </w:tc>
        <w:tc>
          <w:tcPr>
            <w:tcBorders>
              <w:top w:val="single" w:color="000000" w:sz="0" w:space="0"/>
              <w:left w:val="single" w:color="000000" w:sz="0" w:space="0"/>
              <w:bottom w:val="single" w:color="000000" w:sz="0" w:space="0"/>
            </w:tcBorders>
          </w:tcPr>
          <w:p w14:paraId="73B5CFF2">
            <w:pPr>
              <w:spacing w:after="0" w:line="240" w:lineRule="auto"/>
            </w:pPr>
            <w:r>
              <w:t>602</w:t>
            </w:r>
          </w:p>
        </w:tc>
        <w:tc>
          <w:tcPr>
            <w:tcBorders>
              <w:top w:val="single" w:color="000000" w:sz="0" w:space="0"/>
              <w:left w:val="single" w:color="000000" w:sz="0" w:space="0"/>
              <w:bottom w:val="single" w:color="000000" w:sz="0" w:space="0"/>
            </w:tcBorders>
          </w:tcPr>
          <w:p w14:paraId="0AB047C6">
            <w:pPr>
              <w:spacing w:after="0" w:line="240" w:lineRule="auto"/>
            </w:pPr>
            <w:r>
              <w:t>1</w:t>
            </w:r>
          </w:p>
        </w:tc>
        <w:tc>
          <w:tcPr>
            <w:tcBorders>
              <w:top w:val="single" w:color="000000" w:sz="0" w:space="0"/>
              <w:left w:val="single" w:color="000000" w:sz="0" w:space="0"/>
              <w:bottom w:val="single" w:color="000000" w:sz="0" w:space="0"/>
            </w:tcBorders>
          </w:tcPr>
          <w:p w14:paraId="3488E974">
            <w:pPr>
              <w:spacing w:after="0" w:line="240" w:lineRule="auto"/>
            </w:pPr>
            <w:r>
              <w:t>0</w:t>
            </w:r>
          </w:p>
        </w:tc>
        <w:tc>
          <w:tcPr>
            <w:tcBorders>
              <w:top w:val="single" w:color="000000" w:sz="0" w:space="0"/>
              <w:left w:val="single" w:color="000000" w:sz="0" w:space="0"/>
              <w:bottom w:val="single" w:color="000000" w:sz="0" w:space="0"/>
            </w:tcBorders>
          </w:tcPr>
          <w:p w14:paraId="4723400D">
            <w:pPr>
              <w:spacing w:after="0" w:line="240" w:lineRule="auto"/>
            </w:pPr>
            <w:r>
              <w:t>0</w:t>
            </w:r>
          </w:p>
        </w:tc>
        <w:tc>
          <w:tcPr>
            <w:tcBorders>
              <w:top w:val="single" w:color="000000" w:sz="0" w:space="0"/>
              <w:left w:val="single" w:color="000000" w:sz="0" w:space="0"/>
              <w:bottom w:val="single" w:color="000000" w:sz="0" w:space="0"/>
            </w:tcBorders>
          </w:tcPr>
          <w:p w14:paraId="1D62D95B">
            <w:pPr>
              <w:spacing w:after="0" w:line="240" w:lineRule="auto"/>
            </w:pPr>
            <w:r>
              <w:t>0</w:t>
            </w:r>
          </w:p>
        </w:tc>
        <w:tc>
          <w:tcPr>
            <w:tcBorders>
              <w:top w:val="single" w:color="000000" w:sz="0" w:space="0"/>
              <w:left w:val="single" w:color="000000" w:sz="0" w:space="0"/>
              <w:bottom w:val="single" w:color="000000" w:sz="0" w:space="0"/>
            </w:tcBorders>
          </w:tcPr>
          <w:p w14:paraId="6FAFD3DD">
            <w:pPr>
              <w:spacing w:after="0" w:line="240" w:lineRule="auto"/>
            </w:pPr>
            <w:r>
              <w:t>603</w:t>
            </w:r>
          </w:p>
        </w:tc>
        <w:tc>
          <w:tcPr>
            <w:tcBorders>
              <w:top w:val="single" w:color="000000" w:sz="0" w:space="0"/>
              <w:left w:val="single" w:color="000000" w:sz="0" w:space="0"/>
              <w:bottom w:val="single" w:color="000000" w:sz="0" w:space="0"/>
            </w:tcBorders>
          </w:tcPr>
          <w:p w14:paraId="22BFB536">
            <w:pPr>
              <w:spacing w:after="0" w:line="240" w:lineRule="auto"/>
            </w:pPr>
            <w:r>
              <w:t>99.83%</w:t>
            </w:r>
          </w:p>
        </w:tc>
      </w:tr>
      <w:tr w14:paraId="602A8025">
        <w:trPr>
          <w:cantSplit/>
          <w:tblCellSpacing w:w="0" w:type="dxa"/>
          <w:jc w:val="center"/>
        </w:trPr>
        <w:tc>
          <w:tcPr>
            <w:tcBorders>
              <w:top w:val="single" w:color="000000" w:sz="0" w:space="0"/>
              <w:bottom w:val="single" w:color="000000" w:sz="0" w:space="0"/>
            </w:tcBorders>
          </w:tcPr>
          <w:p w14:paraId="3E692134">
            <w:pPr>
              <w:spacing w:after="0" w:line="240" w:lineRule="auto"/>
            </w:pPr>
            <w:r>
              <w:rPr>
                <w:rFonts w:ascii="Georgia" w:hAnsi="Georgia" w:eastAsia="Georgia" w:cs="Georgia"/>
              </w:rPr>
              <w:t>良</w:t>
            </w:r>
          </w:p>
        </w:tc>
        <w:tc>
          <w:tcPr>
            <w:tcBorders>
              <w:top w:val="single" w:color="000000" w:sz="0" w:space="0"/>
              <w:left w:val="single" w:color="000000" w:sz="0" w:space="0"/>
              <w:bottom w:val="single" w:color="000000" w:sz="0" w:space="0"/>
            </w:tcBorders>
          </w:tcPr>
          <w:p w14:paraId="19D34E1D">
            <w:pPr>
              <w:spacing w:after="0" w:line="240" w:lineRule="auto"/>
            </w:pPr>
            <w:r>
              <w:t>2</w:t>
            </w:r>
          </w:p>
        </w:tc>
        <w:tc>
          <w:tcPr>
            <w:tcBorders>
              <w:top w:val="single" w:color="000000" w:sz="0" w:space="0"/>
              <w:left w:val="single" w:color="000000" w:sz="0" w:space="0"/>
              <w:bottom w:val="single" w:color="000000" w:sz="0" w:space="0"/>
            </w:tcBorders>
          </w:tcPr>
          <w:p w14:paraId="1815A0E9">
            <w:pPr>
              <w:spacing w:after="0" w:line="240" w:lineRule="auto"/>
            </w:pPr>
            <w:r>
              <w:t>1,655</w:t>
            </w:r>
          </w:p>
        </w:tc>
        <w:tc>
          <w:tcPr>
            <w:tcBorders>
              <w:top w:val="single" w:color="000000" w:sz="0" w:space="0"/>
              <w:left w:val="single" w:color="000000" w:sz="0" w:space="0"/>
              <w:bottom w:val="single" w:color="000000" w:sz="0" w:space="0"/>
            </w:tcBorders>
          </w:tcPr>
          <w:p w14:paraId="3767898A">
            <w:pPr>
              <w:spacing w:after="0" w:line="240" w:lineRule="auto"/>
            </w:pPr>
            <w:r>
              <w:t>1</w:t>
            </w:r>
          </w:p>
        </w:tc>
        <w:tc>
          <w:tcPr>
            <w:tcBorders>
              <w:top w:val="single" w:color="000000" w:sz="0" w:space="0"/>
              <w:left w:val="single" w:color="000000" w:sz="0" w:space="0"/>
              <w:bottom w:val="single" w:color="000000" w:sz="0" w:space="0"/>
            </w:tcBorders>
          </w:tcPr>
          <w:p w14:paraId="22672388">
            <w:pPr>
              <w:spacing w:after="0" w:line="240" w:lineRule="auto"/>
            </w:pPr>
            <w:r>
              <w:t>0</w:t>
            </w:r>
          </w:p>
        </w:tc>
        <w:tc>
          <w:tcPr>
            <w:tcBorders>
              <w:top w:val="single" w:color="000000" w:sz="0" w:space="0"/>
              <w:left w:val="single" w:color="000000" w:sz="0" w:space="0"/>
              <w:bottom w:val="single" w:color="000000" w:sz="0" w:space="0"/>
            </w:tcBorders>
          </w:tcPr>
          <w:p w14:paraId="67459512">
            <w:pPr>
              <w:spacing w:after="0" w:line="240" w:lineRule="auto"/>
            </w:pPr>
            <w:r>
              <w:t>0</w:t>
            </w:r>
          </w:p>
        </w:tc>
        <w:tc>
          <w:tcPr>
            <w:tcBorders>
              <w:top w:val="single" w:color="000000" w:sz="0" w:space="0"/>
              <w:left w:val="single" w:color="000000" w:sz="0" w:space="0"/>
              <w:bottom w:val="single" w:color="000000" w:sz="0" w:space="0"/>
            </w:tcBorders>
          </w:tcPr>
          <w:p w14:paraId="0E8384EB">
            <w:pPr>
              <w:spacing w:after="0" w:line="240" w:lineRule="auto"/>
            </w:pPr>
            <w:r>
              <w:t>1,658</w:t>
            </w:r>
          </w:p>
        </w:tc>
        <w:tc>
          <w:tcPr>
            <w:tcBorders>
              <w:top w:val="single" w:color="000000" w:sz="0" w:space="0"/>
              <w:left w:val="single" w:color="000000" w:sz="0" w:space="0"/>
              <w:bottom w:val="single" w:color="000000" w:sz="0" w:space="0"/>
            </w:tcBorders>
          </w:tcPr>
          <w:p w14:paraId="3CC4BDF8">
            <w:pPr>
              <w:spacing w:after="0" w:line="240" w:lineRule="auto"/>
            </w:pPr>
            <w:r>
              <w:t>99.82%</w:t>
            </w:r>
          </w:p>
        </w:tc>
      </w:tr>
      <w:tr w14:paraId="03055F2A">
        <w:trPr>
          <w:cantSplit/>
          <w:tblCellSpacing w:w="0" w:type="dxa"/>
          <w:jc w:val="center"/>
        </w:trPr>
        <w:tc>
          <w:tcPr>
            <w:tcBorders>
              <w:top w:val="single" w:color="000000" w:sz="0" w:space="0"/>
              <w:bottom w:val="single" w:color="000000" w:sz="0" w:space="0"/>
            </w:tcBorders>
          </w:tcPr>
          <w:p w14:paraId="0F357C81">
            <w:pPr>
              <w:spacing w:after="0" w:line="240" w:lineRule="auto"/>
            </w:pPr>
            <w:r>
              <w:rPr>
                <w:rFonts w:ascii="Georgia" w:hAnsi="Georgia" w:eastAsia="Georgia" w:cs="Georgia"/>
              </w:rPr>
              <w:t>中</w:t>
            </w:r>
          </w:p>
        </w:tc>
        <w:tc>
          <w:tcPr>
            <w:tcBorders>
              <w:top w:val="single" w:color="000000" w:sz="0" w:space="0"/>
              <w:left w:val="single" w:color="000000" w:sz="0" w:space="0"/>
              <w:bottom w:val="single" w:color="000000" w:sz="0" w:space="0"/>
            </w:tcBorders>
          </w:tcPr>
          <w:p w14:paraId="0D8F70D1">
            <w:pPr>
              <w:spacing w:after="0" w:line="240" w:lineRule="auto"/>
            </w:pPr>
            <w:r>
              <w:t>0</w:t>
            </w:r>
          </w:p>
        </w:tc>
        <w:tc>
          <w:tcPr>
            <w:tcBorders>
              <w:top w:val="single" w:color="000000" w:sz="0" w:space="0"/>
              <w:left w:val="single" w:color="000000" w:sz="0" w:space="0"/>
              <w:bottom w:val="single" w:color="000000" w:sz="0" w:space="0"/>
            </w:tcBorders>
          </w:tcPr>
          <w:p w14:paraId="4C99B36F">
            <w:pPr>
              <w:spacing w:after="0" w:line="240" w:lineRule="auto"/>
            </w:pPr>
            <w:r>
              <w:t>5</w:t>
            </w:r>
          </w:p>
        </w:tc>
        <w:tc>
          <w:tcPr>
            <w:tcBorders>
              <w:top w:val="single" w:color="000000" w:sz="0" w:space="0"/>
              <w:left w:val="single" w:color="000000" w:sz="0" w:space="0"/>
              <w:bottom w:val="single" w:color="000000" w:sz="0" w:space="0"/>
            </w:tcBorders>
          </w:tcPr>
          <w:p w14:paraId="778C3E5D">
            <w:pPr>
              <w:spacing w:after="0" w:line="240" w:lineRule="auto"/>
            </w:pPr>
            <w:r>
              <w:t>624</w:t>
            </w:r>
          </w:p>
        </w:tc>
        <w:tc>
          <w:tcPr>
            <w:tcBorders>
              <w:top w:val="single" w:color="000000" w:sz="0" w:space="0"/>
              <w:left w:val="single" w:color="000000" w:sz="0" w:space="0"/>
              <w:bottom w:val="single" w:color="000000" w:sz="0" w:space="0"/>
            </w:tcBorders>
          </w:tcPr>
          <w:p w14:paraId="72E2F47A">
            <w:pPr>
              <w:spacing w:after="0" w:line="240" w:lineRule="auto"/>
            </w:pPr>
            <w:r>
              <w:t>0</w:t>
            </w:r>
          </w:p>
        </w:tc>
        <w:tc>
          <w:tcPr>
            <w:tcBorders>
              <w:top w:val="single" w:color="000000" w:sz="0" w:space="0"/>
              <w:left w:val="single" w:color="000000" w:sz="0" w:space="0"/>
              <w:bottom w:val="single" w:color="000000" w:sz="0" w:space="0"/>
            </w:tcBorders>
          </w:tcPr>
          <w:p w14:paraId="3D85EFAF">
            <w:pPr>
              <w:spacing w:after="0" w:line="240" w:lineRule="auto"/>
            </w:pPr>
            <w:r>
              <w:t>0</w:t>
            </w:r>
          </w:p>
        </w:tc>
        <w:tc>
          <w:tcPr>
            <w:tcBorders>
              <w:top w:val="single" w:color="000000" w:sz="0" w:space="0"/>
              <w:left w:val="single" w:color="000000" w:sz="0" w:space="0"/>
              <w:bottom w:val="single" w:color="000000" w:sz="0" w:space="0"/>
            </w:tcBorders>
          </w:tcPr>
          <w:p w14:paraId="390D396A">
            <w:pPr>
              <w:spacing w:after="0" w:line="240" w:lineRule="auto"/>
            </w:pPr>
            <w:r>
              <w:t>629</w:t>
            </w:r>
          </w:p>
        </w:tc>
        <w:tc>
          <w:tcPr>
            <w:tcBorders>
              <w:top w:val="single" w:color="000000" w:sz="0" w:space="0"/>
              <w:left w:val="single" w:color="000000" w:sz="0" w:space="0"/>
              <w:bottom w:val="single" w:color="000000" w:sz="0" w:space="0"/>
            </w:tcBorders>
          </w:tcPr>
          <w:p w14:paraId="3AEE2535">
            <w:pPr>
              <w:spacing w:after="0" w:line="240" w:lineRule="auto"/>
            </w:pPr>
            <w:r>
              <w:t>99.21%</w:t>
            </w:r>
          </w:p>
        </w:tc>
      </w:tr>
      <w:tr w14:paraId="1310571F">
        <w:trPr>
          <w:cantSplit/>
          <w:tblCellSpacing w:w="0" w:type="dxa"/>
          <w:jc w:val="center"/>
        </w:trPr>
        <w:tc>
          <w:tcPr>
            <w:tcBorders>
              <w:top w:val="single" w:color="000000" w:sz="0" w:space="0"/>
              <w:bottom w:val="single" w:color="000000" w:sz="0" w:space="0"/>
            </w:tcBorders>
          </w:tcPr>
          <w:p w14:paraId="0DB95544">
            <w:pPr>
              <w:spacing w:after="0" w:line="240" w:lineRule="auto"/>
            </w:pPr>
            <w:r>
              <w:rPr>
                <w:rFonts w:ascii="Georgia" w:hAnsi="Georgia" w:eastAsia="Georgia" w:cs="Georgia"/>
              </w:rPr>
              <w:t>差</w:t>
            </w:r>
          </w:p>
        </w:tc>
        <w:tc>
          <w:tcPr>
            <w:tcBorders>
              <w:top w:val="single" w:color="000000" w:sz="0" w:space="0"/>
              <w:left w:val="single" w:color="000000" w:sz="0" w:space="0"/>
              <w:bottom w:val="single" w:color="000000" w:sz="0" w:space="0"/>
            </w:tcBorders>
          </w:tcPr>
          <w:p w14:paraId="1270111F">
            <w:pPr>
              <w:spacing w:after="0" w:line="240" w:lineRule="auto"/>
            </w:pPr>
            <w:r>
              <w:t>0</w:t>
            </w:r>
          </w:p>
        </w:tc>
        <w:tc>
          <w:tcPr>
            <w:tcBorders>
              <w:top w:val="single" w:color="000000" w:sz="0" w:space="0"/>
              <w:left w:val="single" w:color="000000" w:sz="0" w:space="0"/>
              <w:bottom w:val="single" w:color="000000" w:sz="0" w:space="0"/>
            </w:tcBorders>
          </w:tcPr>
          <w:p w14:paraId="1BDBF1EF">
            <w:pPr>
              <w:spacing w:after="0" w:line="240" w:lineRule="auto"/>
            </w:pPr>
            <w:r>
              <w:t>0</w:t>
            </w:r>
          </w:p>
        </w:tc>
        <w:tc>
          <w:tcPr>
            <w:tcBorders>
              <w:top w:val="single" w:color="000000" w:sz="0" w:space="0"/>
              <w:left w:val="single" w:color="000000" w:sz="0" w:space="0"/>
              <w:bottom w:val="single" w:color="000000" w:sz="0" w:space="0"/>
            </w:tcBorders>
          </w:tcPr>
          <w:p w14:paraId="751795F3">
            <w:pPr>
              <w:spacing w:after="0" w:line="240" w:lineRule="auto"/>
            </w:pPr>
            <w:r>
              <w:t>2</w:t>
            </w:r>
          </w:p>
        </w:tc>
        <w:tc>
          <w:tcPr>
            <w:tcBorders>
              <w:top w:val="single" w:color="000000" w:sz="0" w:space="0"/>
              <w:left w:val="single" w:color="000000" w:sz="0" w:space="0"/>
              <w:bottom w:val="single" w:color="000000" w:sz="0" w:space="0"/>
            </w:tcBorders>
          </w:tcPr>
          <w:p w14:paraId="1558825F">
            <w:pPr>
              <w:spacing w:after="0" w:line="240" w:lineRule="auto"/>
            </w:pPr>
            <w:r>
              <w:t>105</w:t>
            </w:r>
          </w:p>
        </w:tc>
        <w:tc>
          <w:tcPr>
            <w:tcBorders>
              <w:top w:val="single" w:color="000000" w:sz="0" w:space="0"/>
              <w:left w:val="single" w:color="000000" w:sz="0" w:space="0"/>
              <w:bottom w:val="single" w:color="000000" w:sz="0" w:space="0"/>
            </w:tcBorders>
          </w:tcPr>
          <w:p w14:paraId="1A674FFA">
            <w:pPr>
              <w:spacing w:after="0" w:line="240" w:lineRule="auto"/>
            </w:pPr>
            <w:r>
              <w:t>0</w:t>
            </w:r>
          </w:p>
        </w:tc>
        <w:tc>
          <w:tcPr>
            <w:tcBorders>
              <w:top w:val="single" w:color="000000" w:sz="0" w:space="0"/>
              <w:left w:val="single" w:color="000000" w:sz="0" w:space="0"/>
              <w:bottom w:val="single" w:color="000000" w:sz="0" w:space="0"/>
            </w:tcBorders>
          </w:tcPr>
          <w:p w14:paraId="6FB54244">
            <w:pPr>
              <w:spacing w:after="0" w:line="240" w:lineRule="auto"/>
            </w:pPr>
            <w:r>
              <w:t>107</w:t>
            </w:r>
          </w:p>
        </w:tc>
        <w:tc>
          <w:tcPr>
            <w:tcBorders>
              <w:top w:val="single" w:color="000000" w:sz="0" w:space="0"/>
              <w:left w:val="single" w:color="000000" w:sz="0" w:space="0"/>
              <w:bottom w:val="single" w:color="000000" w:sz="0" w:space="0"/>
            </w:tcBorders>
          </w:tcPr>
          <w:p w14:paraId="0BF6BFE9">
            <w:pPr>
              <w:spacing w:after="0" w:line="240" w:lineRule="auto"/>
            </w:pPr>
            <w:r>
              <w:t>98.13%</w:t>
            </w:r>
          </w:p>
        </w:tc>
      </w:tr>
      <w:tr w14:paraId="2B5F802E">
        <w:trPr>
          <w:cantSplit/>
          <w:tblCellSpacing w:w="0" w:type="dxa"/>
          <w:jc w:val="center"/>
        </w:trPr>
        <w:tc>
          <w:tcPr>
            <w:tcBorders>
              <w:top w:val="single" w:color="000000" w:sz="0" w:space="0"/>
              <w:bottom w:val="single" w:color="000000" w:sz="0" w:space="0"/>
            </w:tcBorders>
          </w:tcPr>
          <w:p w14:paraId="7CBCA2B5">
            <w:pPr>
              <w:spacing w:after="0" w:line="240" w:lineRule="auto"/>
            </w:pPr>
            <w:r>
              <w:rPr>
                <w:rFonts w:ascii="Georgia" w:hAnsi="Georgia" w:eastAsia="Georgia" w:cs="Georgia"/>
              </w:rPr>
              <w:t>极差</w:t>
            </w:r>
          </w:p>
        </w:tc>
        <w:tc>
          <w:tcPr>
            <w:tcBorders>
              <w:top w:val="single" w:color="000000" w:sz="0" w:space="0"/>
              <w:left w:val="single" w:color="000000" w:sz="0" w:space="0"/>
              <w:bottom w:val="single" w:color="000000" w:sz="0" w:space="0"/>
            </w:tcBorders>
          </w:tcPr>
          <w:p w14:paraId="6146F130">
            <w:pPr>
              <w:spacing w:after="0" w:line="240" w:lineRule="auto"/>
            </w:pPr>
            <w:r>
              <w:t>0</w:t>
            </w:r>
          </w:p>
        </w:tc>
        <w:tc>
          <w:tcPr>
            <w:tcBorders>
              <w:top w:val="single" w:color="000000" w:sz="0" w:space="0"/>
              <w:left w:val="single" w:color="000000" w:sz="0" w:space="0"/>
              <w:bottom w:val="single" w:color="000000" w:sz="0" w:space="0"/>
            </w:tcBorders>
          </w:tcPr>
          <w:p w14:paraId="361FAD98">
            <w:pPr>
              <w:spacing w:after="0" w:line="240" w:lineRule="auto"/>
            </w:pPr>
            <w:r>
              <w:t>0</w:t>
            </w:r>
          </w:p>
        </w:tc>
        <w:tc>
          <w:tcPr>
            <w:tcBorders>
              <w:top w:val="single" w:color="000000" w:sz="0" w:space="0"/>
              <w:left w:val="single" w:color="000000" w:sz="0" w:space="0"/>
              <w:bottom w:val="single" w:color="000000" w:sz="0" w:space="0"/>
            </w:tcBorders>
          </w:tcPr>
          <w:p w14:paraId="35A7E200">
            <w:pPr>
              <w:spacing w:after="0" w:line="240" w:lineRule="auto"/>
            </w:pPr>
            <w:r>
              <w:t>0</w:t>
            </w:r>
          </w:p>
        </w:tc>
        <w:tc>
          <w:tcPr>
            <w:tcBorders>
              <w:top w:val="single" w:color="000000" w:sz="0" w:space="0"/>
              <w:left w:val="single" w:color="000000" w:sz="0" w:space="0"/>
              <w:bottom w:val="single" w:color="000000" w:sz="0" w:space="0"/>
            </w:tcBorders>
          </w:tcPr>
          <w:p w14:paraId="0AB3777A">
            <w:pPr>
              <w:spacing w:after="0" w:line="240" w:lineRule="auto"/>
            </w:pPr>
            <w:r>
              <w:t>0</w:t>
            </w:r>
          </w:p>
        </w:tc>
        <w:tc>
          <w:tcPr>
            <w:tcBorders>
              <w:top w:val="single" w:color="000000" w:sz="0" w:space="0"/>
              <w:left w:val="single" w:color="000000" w:sz="0" w:space="0"/>
              <w:bottom w:val="single" w:color="000000" w:sz="0" w:space="0"/>
            </w:tcBorders>
          </w:tcPr>
          <w:p w14:paraId="2AED175B">
            <w:pPr>
              <w:spacing w:after="0" w:line="240" w:lineRule="auto"/>
            </w:pPr>
            <w:r>
              <w:t>108</w:t>
            </w:r>
          </w:p>
        </w:tc>
        <w:tc>
          <w:tcPr>
            <w:tcBorders>
              <w:top w:val="single" w:color="000000" w:sz="0" w:space="0"/>
              <w:left w:val="single" w:color="000000" w:sz="0" w:space="0"/>
              <w:bottom w:val="single" w:color="000000" w:sz="0" w:space="0"/>
            </w:tcBorders>
          </w:tcPr>
          <w:p w14:paraId="763614CF">
            <w:pPr>
              <w:spacing w:after="0" w:line="240" w:lineRule="auto"/>
            </w:pPr>
            <w:r>
              <w:t>108</w:t>
            </w:r>
          </w:p>
        </w:tc>
        <w:tc>
          <w:tcPr>
            <w:tcBorders>
              <w:top w:val="single" w:color="000000" w:sz="0" w:space="0"/>
              <w:left w:val="single" w:color="000000" w:sz="0" w:space="0"/>
              <w:bottom w:val="single" w:color="000000" w:sz="0" w:space="0"/>
            </w:tcBorders>
          </w:tcPr>
          <w:p w14:paraId="006500A2">
            <w:pPr>
              <w:spacing w:after="0" w:line="240" w:lineRule="auto"/>
            </w:pPr>
            <w:r>
              <w:t>100%</w:t>
            </w:r>
          </w:p>
        </w:tc>
      </w:tr>
      <w:tr w14:paraId="15222A86">
        <w:trPr>
          <w:cantSplit/>
          <w:tblCellSpacing w:w="0" w:type="dxa"/>
          <w:jc w:val="center"/>
        </w:trPr>
        <w:tc>
          <w:tcPr>
            <w:tcBorders>
              <w:top w:val="single" w:color="000000" w:sz="0" w:space="0"/>
              <w:bottom w:val="single" w:color="000000" w:sz="0" w:space="0"/>
            </w:tcBorders>
          </w:tcPr>
          <w:p w14:paraId="0E7BA97B">
            <w:pPr>
              <w:spacing w:after="0" w:line="240" w:lineRule="auto"/>
            </w:pPr>
            <w:r>
              <w:rPr>
                <w:b/>
              </w:rPr>
              <w:t>总计</w:t>
            </w:r>
          </w:p>
        </w:tc>
        <w:tc>
          <w:tcPr>
            <w:tcBorders>
              <w:top w:val="single" w:color="000000" w:sz="0" w:space="0"/>
              <w:left w:val="single" w:color="000000" w:sz="0" w:space="0"/>
              <w:bottom w:val="single" w:color="000000" w:sz="0" w:space="0"/>
            </w:tcBorders>
          </w:tcPr>
          <w:p w14:paraId="12CA765D">
            <w:pPr>
              <w:spacing w:after="0" w:line="240" w:lineRule="auto"/>
            </w:pPr>
            <w:r>
              <w:t>604</w:t>
            </w:r>
          </w:p>
        </w:tc>
        <w:tc>
          <w:tcPr>
            <w:tcBorders>
              <w:top w:val="single" w:color="000000" w:sz="0" w:space="0"/>
              <w:left w:val="single" w:color="000000" w:sz="0" w:space="0"/>
              <w:bottom w:val="single" w:color="000000" w:sz="0" w:space="0"/>
            </w:tcBorders>
          </w:tcPr>
          <w:p w14:paraId="3D8545F1">
            <w:pPr>
              <w:spacing w:after="0" w:line="240" w:lineRule="auto"/>
            </w:pPr>
            <w:r>
              <w:t>1,661</w:t>
            </w:r>
          </w:p>
        </w:tc>
        <w:tc>
          <w:tcPr>
            <w:tcBorders>
              <w:top w:val="single" w:color="000000" w:sz="0" w:space="0"/>
              <w:left w:val="single" w:color="000000" w:sz="0" w:space="0"/>
              <w:bottom w:val="single" w:color="000000" w:sz="0" w:space="0"/>
            </w:tcBorders>
          </w:tcPr>
          <w:p w14:paraId="6BA3A858">
            <w:pPr>
              <w:spacing w:after="0" w:line="240" w:lineRule="auto"/>
            </w:pPr>
            <w:r>
              <w:t>627</w:t>
            </w:r>
          </w:p>
        </w:tc>
        <w:tc>
          <w:tcPr>
            <w:tcBorders>
              <w:top w:val="single" w:color="000000" w:sz="0" w:space="0"/>
              <w:left w:val="single" w:color="000000" w:sz="0" w:space="0"/>
              <w:bottom w:val="single" w:color="000000" w:sz="0" w:space="0"/>
            </w:tcBorders>
          </w:tcPr>
          <w:p w14:paraId="46BFA7CD">
            <w:pPr>
              <w:spacing w:after="0" w:line="240" w:lineRule="auto"/>
            </w:pPr>
            <w:r>
              <w:t>105</w:t>
            </w:r>
          </w:p>
        </w:tc>
        <w:tc>
          <w:tcPr>
            <w:tcBorders>
              <w:top w:val="single" w:color="000000" w:sz="0" w:space="0"/>
              <w:left w:val="single" w:color="000000" w:sz="0" w:space="0"/>
              <w:bottom w:val="single" w:color="000000" w:sz="0" w:space="0"/>
            </w:tcBorders>
          </w:tcPr>
          <w:p w14:paraId="3934AB2C">
            <w:pPr>
              <w:spacing w:after="0" w:line="240" w:lineRule="auto"/>
            </w:pPr>
            <w:r>
              <w:t>108</w:t>
            </w:r>
          </w:p>
        </w:tc>
        <w:tc>
          <w:tcPr>
            <w:tcBorders>
              <w:top w:val="single" w:color="000000" w:sz="0" w:space="0"/>
              <w:left w:val="single" w:color="000000" w:sz="0" w:space="0"/>
              <w:bottom w:val="single" w:color="000000" w:sz="0" w:space="0"/>
            </w:tcBorders>
          </w:tcPr>
          <w:p w14:paraId="58BB2B48">
            <w:pPr>
              <w:spacing w:after="0" w:line="240" w:lineRule="auto"/>
            </w:pPr>
            <w:r>
              <w:t>3,105</w:t>
            </w:r>
          </w:p>
        </w:tc>
        <w:tc>
          <w:tcPr>
            <w:tcBorders>
              <w:top w:val="single" w:color="000000" w:sz="0" w:space="0"/>
              <w:left w:val="single" w:color="000000" w:sz="0" w:space="0"/>
              <w:bottom w:val="single" w:color="000000" w:sz="0" w:space="0"/>
            </w:tcBorders>
          </w:tcPr>
          <w:p w14:paraId="41AA0903">
            <w:pPr>
              <w:spacing w:after="0" w:line="240" w:lineRule="auto"/>
            </w:pPr>
            <w:r>
              <w:rPr>
                <w:rFonts w:ascii="Georgia" w:hAnsi="Georgia" w:eastAsia="Georgia" w:cs="Georgia"/>
              </w:rPr>
              <w:t>—</w:t>
            </w:r>
          </w:p>
        </w:tc>
      </w:tr>
      <w:tr w14:paraId="0613FD03">
        <w:trPr>
          <w:cantSplit/>
          <w:tblCellSpacing w:w="0" w:type="dxa"/>
          <w:jc w:val="center"/>
        </w:trPr>
        <w:tc>
          <w:tcPr>
            <w:tcBorders>
              <w:top w:val="single" w:color="000000" w:sz="0" w:space="0"/>
              <w:bottom w:val="single" w:color="000000" w:sz="0" w:space="0"/>
            </w:tcBorders>
          </w:tcPr>
          <w:p w14:paraId="0BD549E7">
            <w:pPr>
              <w:spacing w:after="0" w:line="240" w:lineRule="auto"/>
            </w:pPr>
            <w:r>
              <w:rPr>
                <w:b/>
              </w:rPr>
              <w:t>精确率</w:t>
            </w:r>
          </w:p>
        </w:tc>
        <w:tc>
          <w:tcPr>
            <w:tcBorders>
              <w:top w:val="single" w:color="000000" w:sz="0" w:space="0"/>
              <w:left w:val="single" w:color="000000" w:sz="0" w:space="0"/>
              <w:bottom w:val="single" w:color="000000" w:sz="0" w:space="0"/>
            </w:tcBorders>
          </w:tcPr>
          <w:p w14:paraId="757C9E4D">
            <w:pPr>
              <w:spacing w:after="0" w:line="240" w:lineRule="auto"/>
            </w:pPr>
            <w:r>
              <w:t>99.67%</w:t>
            </w:r>
          </w:p>
        </w:tc>
        <w:tc>
          <w:tcPr>
            <w:tcBorders>
              <w:top w:val="single" w:color="000000" w:sz="0" w:space="0"/>
              <w:left w:val="single" w:color="000000" w:sz="0" w:space="0"/>
              <w:bottom w:val="single" w:color="000000" w:sz="0" w:space="0"/>
            </w:tcBorders>
          </w:tcPr>
          <w:p w14:paraId="66AAA014">
            <w:pPr>
              <w:spacing w:after="0" w:line="240" w:lineRule="auto"/>
            </w:pPr>
            <w:r>
              <w:t>99.64%</w:t>
            </w:r>
          </w:p>
        </w:tc>
        <w:tc>
          <w:tcPr>
            <w:tcBorders>
              <w:top w:val="single" w:color="000000" w:sz="0" w:space="0"/>
              <w:left w:val="single" w:color="000000" w:sz="0" w:space="0"/>
              <w:bottom w:val="single" w:color="000000" w:sz="0" w:space="0"/>
            </w:tcBorders>
          </w:tcPr>
          <w:p w14:paraId="4AB35CB5">
            <w:pPr>
              <w:spacing w:after="0" w:line="240" w:lineRule="auto"/>
            </w:pPr>
            <w:r>
              <w:t>99.52%</w:t>
            </w:r>
          </w:p>
        </w:tc>
        <w:tc>
          <w:tcPr>
            <w:tcBorders>
              <w:top w:val="single" w:color="000000" w:sz="0" w:space="0"/>
              <w:left w:val="single" w:color="000000" w:sz="0" w:space="0"/>
              <w:bottom w:val="single" w:color="000000" w:sz="0" w:space="0"/>
            </w:tcBorders>
          </w:tcPr>
          <w:p w14:paraId="5D9441B1">
            <w:pPr>
              <w:spacing w:after="0" w:line="240" w:lineRule="auto"/>
            </w:pPr>
            <w:r>
              <w:t>100%</w:t>
            </w:r>
          </w:p>
        </w:tc>
        <w:tc>
          <w:tcPr>
            <w:tcBorders>
              <w:top w:val="single" w:color="000000" w:sz="0" w:space="0"/>
              <w:left w:val="single" w:color="000000" w:sz="0" w:space="0"/>
              <w:bottom w:val="single" w:color="000000" w:sz="0" w:space="0"/>
            </w:tcBorders>
          </w:tcPr>
          <w:p w14:paraId="6CF0E660">
            <w:pPr>
              <w:spacing w:after="0" w:line="240" w:lineRule="auto"/>
            </w:pPr>
            <w:r>
              <w:t>100%</w:t>
            </w:r>
          </w:p>
        </w:tc>
        <w:tc>
          <w:tcPr>
            <w:tcBorders>
              <w:top w:val="single" w:color="000000" w:sz="0" w:space="0"/>
              <w:left w:val="single" w:color="000000" w:sz="0" w:space="0"/>
              <w:bottom w:val="single" w:color="000000" w:sz="0" w:space="0"/>
            </w:tcBorders>
          </w:tcPr>
          <w:p w14:paraId="1D4EEC95">
            <w:pPr>
              <w:spacing w:after="0" w:line="240" w:lineRule="auto"/>
            </w:pPr>
            <w:r>
              <w:rPr>
                <w:rFonts w:ascii="Georgia" w:hAnsi="Georgia" w:eastAsia="Georgia" w:cs="Georgia"/>
              </w:rPr>
              <w:t>—</w:t>
            </w:r>
          </w:p>
        </w:tc>
        <w:tc>
          <w:tcPr>
            <w:tcBorders>
              <w:top w:val="single" w:color="000000" w:sz="0" w:space="0"/>
              <w:left w:val="single" w:color="000000" w:sz="0" w:space="0"/>
              <w:bottom w:val="single" w:color="000000" w:sz="0" w:space="0"/>
            </w:tcBorders>
          </w:tcPr>
          <w:p w14:paraId="53DBCA8D">
            <w:pPr>
              <w:spacing w:after="0" w:line="240" w:lineRule="auto"/>
            </w:pPr>
            <w:r>
              <w:rPr>
                <w:b/>
              </w:rPr>
              <w:t>99.58%</w:t>
            </w:r>
          </w:p>
        </w:tc>
      </w:tr>
    </w:tbl>
    <w:p w14:paraId="636FDD55">
      <w:pPr>
        <w:snapToGrid/>
        <w:spacing w:beforeAutospacing="0" w:after="0" w:afterAutospacing="0" w:line="400" w:lineRule="exact"/>
        <w:ind w:left="0" w:leftChars="0" w:right="0" w:rightChars="0" w:firstLine="480" w:firstLineChars="200"/>
        <w:jc w:val="both"/>
        <w:rPr>
          <w:rFonts w:ascii="Times New Roman" w:eastAsia="宋体"/>
          <w:sz w:val="24"/>
        </w:rPr>
      </w:pPr>
    </w:p>
    <w:p w14:paraId="220588C6">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注，对角线加粗表示正确分类，准确率=(602+1,655+624+105+108)/3,105=99.58%。</w:t>
      </w:r>
    </w:p>
    <w:p w14:paraId="46493323">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混淆矩阵揭示了几个重要特征。绝大多数样本被正确分类（对角线元素占主导），误分类几乎全部发生在相邻类别之间，1个"优"被误判为"良"，2个"良"被误判为"优"，1个"良"被误判为"中"，5个"中"被误判为"良"，2个"差"被误判为"中"。这种"相邻类别混淆"符合水质等级的连续性特点——"优"与"良"在水质指标上接近临界值时，确实存在一定的模糊性。重要的是，没有任何"跨级"误判（如"优"被误判为"差"），证明模型准确捕捉了污染程度的整体排序关系。"差"和"极差"两个高污染等级达到100%的精确率，表明模型预测为高污染时几乎不会出错，这为污染预警提供了可靠保证。</w:t>
      </w:r>
    </w:p>
    <w:p w14:paraId="21369295">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图15展示了混淆矩阵的热力图可视化。</w:t>
      </w:r>
    </w:p>
    <w:p w14:paraId="484AAFC0">
      <w:pPr>
        <w:snapToGrid/>
        <w:spacing w:beforeAutospacing="0" w:after="0" w:afterAutospacing="0" w:line="400" w:lineRule="exact"/>
        <w:ind w:left="0" w:leftChars="0" w:right="0" w:rightChars="0" w:firstLine="480" w:firstLineChars="200"/>
        <w:jc w:val="both"/>
        <w:rPr>
          <w:rFonts w:ascii="Times New Roman" w:eastAsia="宋体"/>
          <w:sz w:val="24"/>
        </w:rPr>
      </w:pPr>
    </w:p>
    <w:p w14:paraId="7D0600FE">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15以热力图形式展示了XGBoost分类模型在3,105个测试样本上的混淆矩阵。颜色深度表示样本数量，深色（红色）对角线表示正确分类的样本集中区域。从图中可以清晰看到，正确分类的样本数量（对角线）远超误分类样本。最显著的特征是"良"等级的强对角线元素（1,655个样本），因为"良"等级在数据集中占据主导地位（53.4%）。误分类样本主要出现在对角线的上下相邻位置，如"中→良"（5个样本）和"良→优"（2个样本），再次验证了相邻类别混淆的模式。"极差"等级的完美对角线（108/108=100%召回率）在图中表现为没有任何偏离，证实了模型对重度污染事件的完美识别能力。</w:t>
      </w:r>
    </w:p>
    <w:p w14:paraId="21C415AE">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LightGBM和CatBoost的性能显著低于XGBoost和RandomForest（准确率78%和76%），这一巨大差距起初令人困惑，因为这三者都是基于梯度提升决策树（GBDT）的方法，理论上性能应该接近。经过仔细分析，发现差距主要源于特征工程的差异。XGBoost和RandomForest模型使用的数据集包含了3.1.2节中构建的三个工程特征（总重金属Total_Heavy_Metals_ug_L、COD/BOD比COD_BOD_Ratio、氮磷比NP_Ratio），而LightGBM和CatBoost模型使用的数据集缺少这些特征，输入维度仅为17（原始指标）而非20（原始指标+工程特征）。这一对比有力证明了特征工程在机器学习建模中的关键作用，即使是同一类别的先进算法，输入特征的质量和丰富度仍然是决定性能的首要因素。为了公平比较算法本身的优劣，应该确保所有模型使用相同的特征集，当前的性能差距更多反映的是输入信息的差异而非算法能力的差异。</w:t>
      </w:r>
    </w:p>
    <w:p w14:paraId="6B139981">
      <w:pPr>
        <w:snapToGrid/>
        <w:spacing w:before="240" w:beforeAutospacing="0" w:after="120" w:afterAutospacing="0" w:line="240" w:lineRule="auto"/>
        <w:ind w:left="0" w:leftChars="0" w:right="0" w:rightChars="0" w:firstLine="0" w:firstLineChars="0"/>
        <w:jc w:val="both"/>
        <w:outlineLvl w:val="2"/>
        <w:rPr>
          <w:rFonts w:ascii="黑体" w:eastAsia="黑体"/>
          <w:b w:val="0"/>
          <w:sz w:val="26"/>
        </w:rPr>
      </w:pPr>
      <w:bookmarkStart w:id="81" w:name="bm_5_2_2_水质指标回归任务"/>
      <w:bookmarkStart w:id="82" w:name="_Toc317548362"/>
      <w:r>
        <w:rPr>
          <w:rFonts w:ascii="黑体" w:hAnsi="Georgia" w:eastAsia="黑体" w:cs="Georgia"/>
          <w:b w:val="0"/>
          <w:sz w:val="26"/>
        </w:rPr>
        <w:t>5.2.2 水质指标回归任务</w:t>
      </w:r>
      <w:bookmarkEnd w:id="81"/>
      <w:bookmarkEnd w:id="82"/>
    </w:p>
    <w:p w14:paraId="4E20B72A">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为了评估横截面方法在水质指标回归中的真实预测能力，本研究实施了严格的特征独立性约束，确保模型仅使用与目标变量无直接化学关联的特征。表17汇总了7个目标指标在该约束下的回归性能。</w:t>
      </w:r>
    </w:p>
    <w:p w14:paraId="2C61D3D8">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方法说明</w:t>
      </w:r>
      <w:r>
        <w:rPr>
          <w:rFonts w:ascii="Times New Roman" w:hAnsi="Georgia" w:eastAsia="宋体" w:cs="Georgia"/>
          <w:sz w:val="24"/>
        </w:rPr>
        <w:t>，在真实预测场景中（如传感器故障后的指标估算、未来水质预警），模型只能使用已测量的其他指标，而无法获取目标变量的关联指标。例如，预测COD时，BOD尚未测得（BOD需5天培养期，而COD仅需数小时），预测总氮时，其子成分（氨氮、硝酸盐）也无法同时获得。因此，本实验为每个目标指标构建了特征独立模型，预测COD时不使用BOD（两者相关系数r=0.82），预测总氮时不使用任何氮子成分，以此类推。这种约束反映了实际应用的特征可得性，但也限制了模型的预测能力。</w:t>
      </w:r>
    </w:p>
    <w:p w14:paraId="33CFA6E4">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表17 XGBoost回归模型性能详细对比（特征独立版本，7个目标指标）</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39"/>
        <w:gridCol w:w="1032"/>
        <w:gridCol w:w="946"/>
        <w:gridCol w:w="1121"/>
        <w:gridCol w:w="1158"/>
        <w:gridCol w:w="1787"/>
        <w:gridCol w:w="1004"/>
        <w:gridCol w:w="883"/>
      </w:tblGrid>
      <w:tr w14:paraId="526A4DE0">
        <w:trPr>
          <w:cantSplit/>
          <w:tblCellSpacing w:w="0" w:type="dxa"/>
          <w:jc w:val="center"/>
        </w:trPr>
        <w:tc>
          <w:tcPr>
            <w:tcBorders>
              <w:top w:val="single" w:color="000000" w:sz="0" w:space="0"/>
              <w:bottom w:val="single" w:color="000000" w:sz="0" w:space="0"/>
            </w:tcBorders>
          </w:tcPr>
          <w:p w14:paraId="413F05BD">
            <w:pPr>
              <w:spacing w:after="0" w:line="240" w:lineRule="auto"/>
            </w:pPr>
            <w:r>
              <w:rPr>
                <w:rFonts w:ascii="Georgia" w:hAnsi="Georgia" w:eastAsia="Georgia" w:cs="Georgia"/>
              </w:rPr>
              <w:t>目标指标</w:t>
            </w:r>
          </w:p>
        </w:tc>
        <w:tc>
          <w:tcPr>
            <w:tcBorders>
              <w:top w:val="single" w:color="000000" w:sz="0" w:space="0"/>
              <w:left w:val="single" w:color="000000" w:sz="0" w:space="0"/>
              <w:bottom w:val="single" w:color="000000" w:sz="0" w:space="0"/>
            </w:tcBorders>
          </w:tcPr>
          <w:p w14:paraId="27F32248">
            <w:pPr>
              <w:spacing w:after="0" w:line="240" w:lineRule="auto"/>
            </w:pPr>
            <w:r>
              <w:rPr>
                <w:rFonts w:ascii="Georgia" w:hAnsi="Georgia" w:eastAsia="Georgia" w:cs="Georgia"/>
              </w:rPr>
              <w:t>中文名称</w:t>
            </w:r>
          </w:p>
        </w:tc>
        <w:tc>
          <w:tcPr>
            <w:tcBorders>
              <w:top w:val="single" w:color="000000" w:sz="0" w:space="0"/>
              <w:left w:val="single" w:color="000000" w:sz="0" w:space="0"/>
              <w:bottom w:val="single" w:color="000000" w:sz="0" w:space="0"/>
            </w:tcBorders>
          </w:tcPr>
          <w:p w14:paraId="032471BA">
            <w:pPr>
              <w:spacing w:after="0" w:line="240" w:lineRule="auto"/>
            </w:pPr>
            <w:r>
              <w:rPr>
                <w:rFonts w:ascii="Georgia" w:hAnsi="Georgia" w:eastAsia="Georgia" w:cs="Georgia"/>
              </w:rPr>
              <w:t>R²</w:t>
            </w:r>
          </w:p>
        </w:tc>
        <w:tc>
          <w:tcPr>
            <w:tcBorders>
              <w:top w:val="single" w:color="000000" w:sz="0" w:space="0"/>
              <w:left w:val="single" w:color="000000" w:sz="0" w:space="0"/>
              <w:bottom w:val="single" w:color="000000" w:sz="0" w:space="0"/>
            </w:tcBorders>
          </w:tcPr>
          <w:p w14:paraId="48FE356B">
            <w:pPr>
              <w:spacing w:after="0" w:line="240" w:lineRule="auto"/>
            </w:pPr>
            <w:r>
              <w:t>MAE</w:t>
            </w:r>
          </w:p>
        </w:tc>
        <w:tc>
          <w:tcPr>
            <w:tcBorders>
              <w:top w:val="single" w:color="000000" w:sz="0" w:space="0"/>
              <w:left w:val="single" w:color="000000" w:sz="0" w:space="0"/>
              <w:bottom w:val="single" w:color="000000" w:sz="0" w:space="0"/>
            </w:tcBorders>
          </w:tcPr>
          <w:p w14:paraId="149CE8F7">
            <w:pPr>
              <w:spacing w:after="0" w:line="240" w:lineRule="auto"/>
            </w:pPr>
            <w:r>
              <w:t>RMSE</w:t>
            </w:r>
          </w:p>
        </w:tc>
        <w:tc>
          <w:tcPr>
            <w:tcBorders>
              <w:top w:val="single" w:color="000000" w:sz="0" w:space="0"/>
              <w:left w:val="single" w:color="000000" w:sz="0" w:space="0"/>
              <w:bottom w:val="single" w:color="000000" w:sz="0" w:space="0"/>
            </w:tcBorders>
          </w:tcPr>
          <w:p w14:paraId="60B4DEE2">
            <w:pPr>
              <w:spacing w:after="0" w:line="240" w:lineRule="auto"/>
            </w:pPr>
            <w:r>
              <w:rPr>
                <w:rFonts w:ascii="Georgia" w:hAnsi="Georgia" w:eastAsia="Georgia" w:cs="Georgia"/>
              </w:rPr>
              <w:t>真实值均值±标准差</w:t>
            </w:r>
          </w:p>
        </w:tc>
        <w:tc>
          <w:tcPr>
            <w:tcBorders>
              <w:top w:val="single" w:color="000000" w:sz="0" w:space="0"/>
              <w:left w:val="single" w:color="000000" w:sz="0" w:space="0"/>
              <w:bottom w:val="single" w:color="000000" w:sz="0" w:space="0"/>
            </w:tcBorders>
          </w:tcPr>
          <w:p w14:paraId="0A6B6CC7">
            <w:pPr>
              <w:spacing w:after="0" w:line="240" w:lineRule="auto"/>
            </w:pPr>
            <w:r>
              <w:rPr>
                <w:rFonts w:ascii="Georgia" w:hAnsi="Georgia" w:eastAsia="Georgia" w:cs="Georgia"/>
              </w:rPr>
              <w:t>输入特征数</w:t>
            </w:r>
          </w:p>
        </w:tc>
        <w:tc>
          <w:tcPr>
            <w:tcBorders>
              <w:top w:val="single" w:color="000000" w:sz="0" w:space="0"/>
              <w:left w:val="single" w:color="000000" w:sz="0" w:space="0"/>
              <w:bottom w:val="single" w:color="000000" w:sz="0" w:space="0"/>
            </w:tcBorders>
          </w:tcPr>
          <w:p w14:paraId="76B2E2F1">
            <w:pPr>
              <w:spacing w:after="0" w:line="240" w:lineRule="auto"/>
            </w:pPr>
            <w:r>
              <w:rPr>
                <w:rFonts w:ascii="Georgia" w:hAnsi="Georgia" w:eastAsia="Georgia" w:cs="Georgia"/>
              </w:rPr>
              <w:t>性能等级</w:t>
            </w:r>
          </w:p>
        </w:tc>
      </w:tr>
      <w:tr w14:paraId="41CC012E">
        <w:trPr>
          <w:cantSplit/>
          <w:tblCellSpacing w:w="0" w:type="dxa"/>
          <w:jc w:val="center"/>
        </w:trPr>
        <w:tc>
          <w:tcPr>
            <w:tcBorders>
              <w:top w:val="single" w:color="000000" w:sz="0" w:space="0"/>
              <w:bottom w:val="single" w:color="000000" w:sz="0" w:space="0"/>
            </w:tcBorders>
          </w:tcPr>
          <w:p w14:paraId="41D6DF7B">
            <w:pPr>
              <w:spacing w:after="0" w:line="240" w:lineRule="auto"/>
            </w:pPr>
            <w:r>
              <w:t>COD</w:t>
            </w:r>
          </w:p>
        </w:tc>
        <w:tc>
          <w:tcPr>
            <w:tcBorders>
              <w:top w:val="single" w:color="000000" w:sz="0" w:space="0"/>
              <w:left w:val="single" w:color="000000" w:sz="0" w:space="0"/>
              <w:bottom w:val="single" w:color="000000" w:sz="0" w:space="0"/>
            </w:tcBorders>
          </w:tcPr>
          <w:p w14:paraId="3E11D020">
            <w:pPr>
              <w:spacing w:after="0" w:line="240" w:lineRule="auto"/>
            </w:pPr>
            <w:r>
              <w:rPr>
                <w:rFonts w:ascii="Georgia" w:hAnsi="Georgia" w:eastAsia="Georgia" w:cs="Georgia"/>
              </w:rPr>
              <w:t>化学需氧量</w:t>
            </w:r>
          </w:p>
        </w:tc>
        <w:tc>
          <w:tcPr>
            <w:tcBorders>
              <w:top w:val="single" w:color="000000" w:sz="0" w:space="0"/>
              <w:left w:val="single" w:color="000000" w:sz="0" w:space="0"/>
              <w:bottom w:val="single" w:color="000000" w:sz="0" w:space="0"/>
            </w:tcBorders>
          </w:tcPr>
          <w:p w14:paraId="1FF54C31">
            <w:pPr>
              <w:spacing w:after="0" w:line="240" w:lineRule="auto"/>
            </w:pPr>
            <w:r>
              <w:t>0.497</w:t>
            </w:r>
          </w:p>
        </w:tc>
        <w:tc>
          <w:tcPr>
            <w:tcBorders>
              <w:top w:val="single" w:color="000000" w:sz="0" w:space="0"/>
              <w:left w:val="single" w:color="000000" w:sz="0" w:space="0"/>
              <w:bottom w:val="single" w:color="000000" w:sz="0" w:space="0"/>
            </w:tcBorders>
          </w:tcPr>
          <w:p w14:paraId="58DFAA65">
            <w:pPr>
              <w:spacing w:after="0" w:line="240" w:lineRule="auto"/>
            </w:pPr>
            <w:r>
              <w:t>2.19 mg/L</w:t>
            </w:r>
          </w:p>
        </w:tc>
        <w:tc>
          <w:tcPr>
            <w:tcBorders>
              <w:top w:val="single" w:color="000000" w:sz="0" w:space="0"/>
              <w:left w:val="single" w:color="000000" w:sz="0" w:space="0"/>
              <w:bottom w:val="single" w:color="000000" w:sz="0" w:space="0"/>
            </w:tcBorders>
          </w:tcPr>
          <w:p w14:paraId="59C3AABE">
            <w:pPr>
              <w:spacing w:after="0" w:line="240" w:lineRule="auto"/>
            </w:pPr>
            <w:r>
              <w:t>3.55 mg/L</w:t>
            </w:r>
          </w:p>
        </w:tc>
        <w:tc>
          <w:tcPr>
            <w:tcBorders>
              <w:top w:val="single" w:color="000000" w:sz="0" w:space="0"/>
              <w:left w:val="single" w:color="000000" w:sz="0" w:space="0"/>
              <w:bottom w:val="single" w:color="000000" w:sz="0" w:space="0"/>
            </w:tcBorders>
          </w:tcPr>
          <w:p w14:paraId="69ACFAC8">
            <w:pPr>
              <w:spacing w:after="0" w:line="240" w:lineRule="auto"/>
            </w:pPr>
            <w:r>
              <w:rPr>
                <w:rFonts w:ascii="Georgia" w:hAnsi="Georgia" w:eastAsia="Georgia" w:cs="Georgia"/>
              </w:rPr>
              <w:t>20.0±5.0 mg/L</w:t>
            </w:r>
          </w:p>
        </w:tc>
        <w:tc>
          <w:tcPr>
            <w:tcBorders>
              <w:top w:val="single" w:color="000000" w:sz="0" w:space="0"/>
              <w:left w:val="single" w:color="000000" w:sz="0" w:space="0"/>
              <w:bottom w:val="single" w:color="000000" w:sz="0" w:space="0"/>
            </w:tcBorders>
          </w:tcPr>
          <w:p w14:paraId="64641961">
            <w:pPr>
              <w:spacing w:after="0" w:line="240" w:lineRule="auto"/>
            </w:pPr>
            <w:r>
              <w:t>23</w:t>
            </w:r>
          </w:p>
        </w:tc>
        <w:tc>
          <w:tcPr>
            <w:tcBorders>
              <w:top w:val="single" w:color="000000" w:sz="0" w:space="0"/>
              <w:left w:val="single" w:color="000000" w:sz="0" w:space="0"/>
              <w:bottom w:val="single" w:color="000000" w:sz="0" w:space="0"/>
            </w:tcBorders>
          </w:tcPr>
          <w:p w14:paraId="312558B8">
            <w:pPr>
              <w:spacing w:after="0" w:line="240" w:lineRule="auto"/>
            </w:pPr>
            <w:r>
              <w:rPr>
                <w:rFonts w:ascii="Georgia" w:hAnsi="Georgia" w:eastAsia="Georgia" w:cs="Georgia"/>
              </w:rPr>
              <w:t>中等</w:t>
            </w:r>
          </w:p>
        </w:tc>
      </w:tr>
      <w:tr w14:paraId="7065395C">
        <w:trPr>
          <w:cantSplit/>
          <w:tblCellSpacing w:w="0" w:type="dxa"/>
          <w:jc w:val="center"/>
        </w:trPr>
        <w:tc>
          <w:tcPr>
            <w:tcBorders>
              <w:top w:val="single" w:color="000000" w:sz="0" w:space="0"/>
              <w:bottom w:val="single" w:color="000000" w:sz="0" w:space="0"/>
            </w:tcBorders>
          </w:tcPr>
          <w:p w14:paraId="002944C9">
            <w:pPr>
              <w:spacing w:after="0" w:line="240" w:lineRule="auto"/>
            </w:pPr>
            <w:r>
              <w:t>BOD</w:t>
            </w:r>
          </w:p>
        </w:tc>
        <w:tc>
          <w:tcPr>
            <w:tcBorders>
              <w:top w:val="single" w:color="000000" w:sz="0" w:space="0"/>
              <w:left w:val="single" w:color="000000" w:sz="0" w:space="0"/>
              <w:bottom w:val="single" w:color="000000" w:sz="0" w:space="0"/>
            </w:tcBorders>
          </w:tcPr>
          <w:p w14:paraId="2E86B091">
            <w:pPr>
              <w:spacing w:after="0" w:line="240" w:lineRule="auto"/>
            </w:pPr>
            <w:r>
              <w:rPr>
                <w:rFonts w:ascii="Georgia" w:hAnsi="Georgia" w:eastAsia="Georgia" w:cs="Georgia"/>
              </w:rPr>
              <w:t>生化需氧量</w:t>
            </w:r>
          </w:p>
        </w:tc>
        <w:tc>
          <w:tcPr>
            <w:tcBorders>
              <w:top w:val="single" w:color="000000" w:sz="0" w:space="0"/>
              <w:left w:val="single" w:color="000000" w:sz="0" w:space="0"/>
              <w:bottom w:val="single" w:color="000000" w:sz="0" w:space="0"/>
            </w:tcBorders>
          </w:tcPr>
          <w:p w14:paraId="19C48F6D">
            <w:pPr>
              <w:spacing w:after="0" w:line="240" w:lineRule="auto"/>
            </w:pPr>
            <w:r>
              <w:t>0.009</w:t>
            </w:r>
          </w:p>
        </w:tc>
        <w:tc>
          <w:tcPr>
            <w:tcBorders>
              <w:top w:val="single" w:color="000000" w:sz="0" w:space="0"/>
              <w:left w:val="single" w:color="000000" w:sz="0" w:space="0"/>
              <w:bottom w:val="single" w:color="000000" w:sz="0" w:space="0"/>
            </w:tcBorders>
          </w:tcPr>
          <w:p w14:paraId="76886970">
            <w:pPr>
              <w:spacing w:after="0" w:line="240" w:lineRule="auto"/>
            </w:pPr>
            <w:r>
              <w:t>0.89 mg/L</w:t>
            </w:r>
          </w:p>
        </w:tc>
        <w:tc>
          <w:tcPr>
            <w:tcBorders>
              <w:top w:val="single" w:color="000000" w:sz="0" w:space="0"/>
              <w:left w:val="single" w:color="000000" w:sz="0" w:space="0"/>
              <w:bottom w:val="single" w:color="000000" w:sz="0" w:space="0"/>
            </w:tcBorders>
          </w:tcPr>
          <w:p w14:paraId="250C651C">
            <w:pPr>
              <w:spacing w:after="0" w:line="240" w:lineRule="auto"/>
            </w:pPr>
            <w:r>
              <w:t>1.10 mg/L</w:t>
            </w:r>
          </w:p>
        </w:tc>
        <w:tc>
          <w:tcPr>
            <w:tcBorders>
              <w:top w:val="single" w:color="000000" w:sz="0" w:space="0"/>
              <w:left w:val="single" w:color="000000" w:sz="0" w:space="0"/>
              <w:bottom w:val="single" w:color="000000" w:sz="0" w:space="0"/>
            </w:tcBorders>
          </w:tcPr>
          <w:p w14:paraId="19EA4859">
            <w:pPr>
              <w:spacing w:after="0" w:line="240" w:lineRule="auto"/>
            </w:pPr>
            <w:r>
              <w:rPr>
                <w:rFonts w:ascii="Georgia" w:hAnsi="Georgia" w:eastAsia="Georgia" w:cs="Georgia"/>
              </w:rPr>
              <w:t>4.0±1.1 mg/L</w:t>
            </w:r>
          </w:p>
        </w:tc>
        <w:tc>
          <w:tcPr>
            <w:tcBorders>
              <w:top w:val="single" w:color="000000" w:sz="0" w:space="0"/>
              <w:left w:val="single" w:color="000000" w:sz="0" w:space="0"/>
              <w:bottom w:val="single" w:color="000000" w:sz="0" w:space="0"/>
            </w:tcBorders>
          </w:tcPr>
          <w:p w14:paraId="14A5EBCD">
            <w:pPr>
              <w:spacing w:after="0" w:line="240" w:lineRule="auto"/>
            </w:pPr>
            <w:r>
              <w:t>23</w:t>
            </w:r>
          </w:p>
        </w:tc>
        <w:tc>
          <w:tcPr>
            <w:tcBorders>
              <w:top w:val="single" w:color="000000" w:sz="0" w:space="0"/>
              <w:left w:val="single" w:color="000000" w:sz="0" w:space="0"/>
              <w:bottom w:val="single" w:color="000000" w:sz="0" w:space="0"/>
            </w:tcBorders>
          </w:tcPr>
          <w:p w14:paraId="75A6F737">
            <w:pPr>
              <w:spacing w:after="0" w:line="240" w:lineRule="auto"/>
            </w:pPr>
            <w:r>
              <w:rPr>
                <w:rFonts w:ascii="Georgia" w:hAnsi="Georgia" w:eastAsia="Georgia" w:cs="Georgia"/>
              </w:rPr>
              <w:t>弱</w:t>
            </w:r>
          </w:p>
        </w:tc>
      </w:tr>
      <w:tr w14:paraId="5D537C24">
        <w:trPr>
          <w:cantSplit/>
          <w:tblCellSpacing w:w="0" w:type="dxa"/>
          <w:jc w:val="center"/>
        </w:trPr>
        <w:tc>
          <w:tcPr>
            <w:tcBorders>
              <w:top w:val="single" w:color="000000" w:sz="0" w:space="0"/>
              <w:bottom w:val="single" w:color="000000" w:sz="0" w:space="0"/>
            </w:tcBorders>
          </w:tcPr>
          <w:p w14:paraId="20359173">
            <w:pPr>
              <w:spacing w:after="0" w:line="240" w:lineRule="auto"/>
            </w:pPr>
            <w:r>
              <w:t>TN</w:t>
            </w:r>
          </w:p>
        </w:tc>
        <w:tc>
          <w:tcPr>
            <w:tcBorders>
              <w:top w:val="single" w:color="000000" w:sz="0" w:space="0"/>
              <w:left w:val="single" w:color="000000" w:sz="0" w:space="0"/>
              <w:bottom w:val="single" w:color="000000" w:sz="0" w:space="0"/>
            </w:tcBorders>
          </w:tcPr>
          <w:p w14:paraId="12934ED6">
            <w:pPr>
              <w:spacing w:after="0" w:line="240" w:lineRule="auto"/>
            </w:pPr>
            <w:r>
              <w:rPr>
                <w:rFonts w:ascii="Georgia" w:hAnsi="Georgia" w:eastAsia="Georgia" w:cs="Georgia"/>
              </w:rPr>
              <w:t>总氮</w:t>
            </w:r>
          </w:p>
        </w:tc>
        <w:tc>
          <w:tcPr>
            <w:tcBorders>
              <w:top w:val="single" w:color="000000" w:sz="0" w:space="0"/>
              <w:left w:val="single" w:color="000000" w:sz="0" w:space="0"/>
              <w:bottom w:val="single" w:color="000000" w:sz="0" w:space="0"/>
            </w:tcBorders>
          </w:tcPr>
          <w:p w14:paraId="0A71C2A0">
            <w:pPr>
              <w:spacing w:after="0" w:line="240" w:lineRule="auto"/>
            </w:pPr>
            <w:r>
              <w:t>0.103</w:t>
            </w:r>
          </w:p>
        </w:tc>
        <w:tc>
          <w:tcPr>
            <w:tcBorders>
              <w:top w:val="single" w:color="000000" w:sz="0" w:space="0"/>
              <w:left w:val="single" w:color="000000" w:sz="0" w:space="0"/>
              <w:bottom w:val="single" w:color="000000" w:sz="0" w:space="0"/>
            </w:tcBorders>
          </w:tcPr>
          <w:p w14:paraId="6C1B787F">
            <w:pPr>
              <w:spacing w:after="0" w:line="240" w:lineRule="auto"/>
            </w:pPr>
            <w:r>
              <w:t>0.37 mg/L</w:t>
            </w:r>
          </w:p>
        </w:tc>
        <w:tc>
          <w:tcPr>
            <w:tcBorders>
              <w:top w:val="single" w:color="000000" w:sz="0" w:space="0"/>
              <w:left w:val="single" w:color="000000" w:sz="0" w:space="0"/>
              <w:bottom w:val="single" w:color="000000" w:sz="0" w:space="0"/>
            </w:tcBorders>
          </w:tcPr>
          <w:p w14:paraId="1908477C">
            <w:pPr>
              <w:spacing w:after="0" w:line="240" w:lineRule="auto"/>
            </w:pPr>
            <w:r>
              <w:t>0.47 mg/L</w:t>
            </w:r>
          </w:p>
        </w:tc>
        <w:tc>
          <w:tcPr>
            <w:tcBorders>
              <w:top w:val="single" w:color="000000" w:sz="0" w:space="0"/>
              <w:left w:val="single" w:color="000000" w:sz="0" w:space="0"/>
              <w:bottom w:val="single" w:color="000000" w:sz="0" w:space="0"/>
            </w:tcBorders>
          </w:tcPr>
          <w:p w14:paraId="391918A8">
            <w:pPr>
              <w:spacing w:after="0" w:line="240" w:lineRule="auto"/>
            </w:pPr>
            <w:r>
              <w:rPr>
                <w:rFonts w:ascii="Georgia" w:hAnsi="Georgia" w:eastAsia="Georgia" w:cs="Georgia"/>
              </w:rPr>
              <w:t>3.0±0.5 mg/L</w:t>
            </w:r>
          </w:p>
        </w:tc>
        <w:tc>
          <w:tcPr>
            <w:tcBorders>
              <w:top w:val="single" w:color="000000" w:sz="0" w:space="0"/>
              <w:left w:val="single" w:color="000000" w:sz="0" w:space="0"/>
              <w:bottom w:val="single" w:color="000000" w:sz="0" w:space="0"/>
            </w:tcBorders>
          </w:tcPr>
          <w:p w14:paraId="411411FF">
            <w:pPr>
              <w:spacing w:after="0" w:line="240" w:lineRule="auto"/>
            </w:pPr>
            <w:r>
              <w:t>21</w:t>
            </w:r>
          </w:p>
        </w:tc>
        <w:tc>
          <w:tcPr>
            <w:tcBorders>
              <w:top w:val="single" w:color="000000" w:sz="0" w:space="0"/>
              <w:left w:val="single" w:color="000000" w:sz="0" w:space="0"/>
              <w:bottom w:val="single" w:color="000000" w:sz="0" w:space="0"/>
            </w:tcBorders>
          </w:tcPr>
          <w:p w14:paraId="6CCEB813">
            <w:pPr>
              <w:spacing w:after="0" w:line="240" w:lineRule="auto"/>
            </w:pPr>
            <w:r>
              <w:rPr>
                <w:rFonts w:ascii="Georgia" w:hAnsi="Georgia" w:eastAsia="Georgia" w:cs="Georgia"/>
              </w:rPr>
              <w:t>弱</w:t>
            </w:r>
          </w:p>
        </w:tc>
      </w:tr>
      <w:tr w14:paraId="6902277A">
        <w:trPr>
          <w:cantSplit/>
          <w:tblCellSpacing w:w="0" w:type="dxa"/>
          <w:jc w:val="center"/>
        </w:trPr>
        <w:tc>
          <w:tcPr>
            <w:tcBorders>
              <w:top w:val="single" w:color="000000" w:sz="0" w:space="0"/>
              <w:bottom w:val="single" w:color="000000" w:sz="0" w:space="0"/>
            </w:tcBorders>
          </w:tcPr>
          <w:p w14:paraId="3A0AAF68">
            <w:pPr>
              <w:spacing w:after="0" w:line="240" w:lineRule="auto"/>
            </w:pPr>
            <w:r>
              <w:t>TP</w:t>
            </w:r>
          </w:p>
        </w:tc>
        <w:tc>
          <w:tcPr>
            <w:tcBorders>
              <w:top w:val="single" w:color="000000" w:sz="0" w:space="0"/>
              <w:left w:val="single" w:color="000000" w:sz="0" w:space="0"/>
              <w:bottom w:val="single" w:color="000000" w:sz="0" w:space="0"/>
            </w:tcBorders>
          </w:tcPr>
          <w:p w14:paraId="53CB5681">
            <w:pPr>
              <w:spacing w:after="0" w:line="240" w:lineRule="auto"/>
            </w:pPr>
            <w:r>
              <w:rPr>
                <w:rFonts w:ascii="Georgia" w:hAnsi="Georgia" w:eastAsia="Georgia" w:cs="Georgia"/>
              </w:rPr>
              <w:t>总磷</w:t>
            </w:r>
          </w:p>
        </w:tc>
        <w:tc>
          <w:tcPr>
            <w:tcBorders>
              <w:top w:val="single" w:color="000000" w:sz="0" w:space="0"/>
              <w:left w:val="single" w:color="000000" w:sz="0" w:space="0"/>
              <w:bottom w:val="single" w:color="000000" w:sz="0" w:space="0"/>
            </w:tcBorders>
          </w:tcPr>
          <w:p w14:paraId="6CB37D36">
            <w:pPr>
              <w:spacing w:after="0" w:line="240" w:lineRule="auto"/>
            </w:pPr>
            <w:r>
              <w:t>-0.069</w:t>
            </w:r>
          </w:p>
        </w:tc>
        <w:tc>
          <w:tcPr>
            <w:tcBorders>
              <w:top w:val="single" w:color="000000" w:sz="0" w:space="0"/>
              <w:left w:val="single" w:color="000000" w:sz="0" w:space="0"/>
              <w:bottom w:val="single" w:color="000000" w:sz="0" w:space="0"/>
            </w:tcBorders>
          </w:tcPr>
          <w:p w14:paraId="2FCE4160">
            <w:pPr>
              <w:spacing w:after="0" w:line="240" w:lineRule="auto"/>
            </w:pPr>
            <w:r>
              <w:t>0.04 mg/L</w:t>
            </w:r>
          </w:p>
        </w:tc>
        <w:tc>
          <w:tcPr>
            <w:tcBorders>
              <w:top w:val="single" w:color="000000" w:sz="0" w:space="0"/>
              <w:left w:val="single" w:color="000000" w:sz="0" w:space="0"/>
              <w:bottom w:val="single" w:color="000000" w:sz="0" w:space="0"/>
            </w:tcBorders>
          </w:tcPr>
          <w:p w14:paraId="41CB37F8">
            <w:pPr>
              <w:spacing w:after="0" w:line="240" w:lineRule="auto"/>
            </w:pPr>
            <w:r>
              <w:t>0.05 mg/L</w:t>
            </w:r>
          </w:p>
        </w:tc>
        <w:tc>
          <w:tcPr>
            <w:tcBorders>
              <w:top w:val="single" w:color="000000" w:sz="0" w:space="0"/>
              <w:left w:val="single" w:color="000000" w:sz="0" w:space="0"/>
              <w:bottom w:val="single" w:color="000000" w:sz="0" w:space="0"/>
            </w:tcBorders>
          </w:tcPr>
          <w:p w14:paraId="0773C2FC">
            <w:pPr>
              <w:spacing w:after="0" w:line="240" w:lineRule="auto"/>
            </w:pPr>
            <w:r>
              <w:rPr>
                <w:rFonts w:ascii="Georgia" w:hAnsi="Georgia" w:eastAsia="Georgia" w:cs="Georgia"/>
              </w:rPr>
              <w:t>0.10±0.05 mg/L</w:t>
            </w:r>
          </w:p>
        </w:tc>
        <w:tc>
          <w:tcPr>
            <w:tcBorders>
              <w:top w:val="single" w:color="000000" w:sz="0" w:space="0"/>
              <w:left w:val="single" w:color="000000" w:sz="0" w:space="0"/>
              <w:bottom w:val="single" w:color="000000" w:sz="0" w:space="0"/>
            </w:tcBorders>
          </w:tcPr>
          <w:p w14:paraId="05BEA65B">
            <w:pPr>
              <w:spacing w:after="0" w:line="240" w:lineRule="auto"/>
            </w:pPr>
            <w:r>
              <w:t>24</w:t>
            </w:r>
          </w:p>
        </w:tc>
        <w:tc>
          <w:tcPr>
            <w:tcBorders>
              <w:top w:val="single" w:color="000000" w:sz="0" w:space="0"/>
              <w:left w:val="single" w:color="000000" w:sz="0" w:space="0"/>
              <w:bottom w:val="single" w:color="000000" w:sz="0" w:space="0"/>
            </w:tcBorders>
          </w:tcPr>
          <w:p w14:paraId="722FBC0B">
            <w:pPr>
              <w:spacing w:after="0" w:line="240" w:lineRule="auto"/>
            </w:pPr>
            <w:r>
              <w:rPr>
                <w:rFonts w:ascii="Georgia" w:hAnsi="Georgia" w:eastAsia="Georgia" w:cs="Georgia"/>
              </w:rPr>
              <w:t>无效</w:t>
            </w:r>
          </w:p>
        </w:tc>
      </w:tr>
      <w:tr w14:paraId="65306D8E">
        <w:trPr>
          <w:cantSplit/>
          <w:tblCellSpacing w:w="0" w:type="dxa"/>
          <w:jc w:val="center"/>
        </w:trPr>
        <w:tc>
          <w:tcPr>
            <w:tcBorders>
              <w:top w:val="single" w:color="000000" w:sz="0" w:space="0"/>
              <w:bottom w:val="single" w:color="000000" w:sz="0" w:space="0"/>
            </w:tcBorders>
          </w:tcPr>
          <w:p w14:paraId="252B9E40">
            <w:pPr>
              <w:spacing w:after="0" w:line="240" w:lineRule="auto"/>
            </w:pPr>
            <w:r>
              <w:t>DO</w:t>
            </w:r>
          </w:p>
        </w:tc>
        <w:tc>
          <w:tcPr>
            <w:tcBorders>
              <w:top w:val="single" w:color="000000" w:sz="0" w:space="0"/>
              <w:left w:val="single" w:color="000000" w:sz="0" w:space="0"/>
              <w:bottom w:val="single" w:color="000000" w:sz="0" w:space="0"/>
            </w:tcBorders>
          </w:tcPr>
          <w:p w14:paraId="31DC554E">
            <w:pPr>
              <w:spacing w:after="0" w:line="240" w:lineRule="auto"/>
            </w:pPr>
            <w:r>
              <w:rPr>
                <w:rFonts w:ascii="Georgia" w:hAnsi="Georgia" w:eastAsia="Georgia" w:cs="Georgia"/>
              </w:rPr>
              <w:t>溶解氧</w:t>
            </w:r>
          </w:p>
        </w:tc>
        <w:tc>
          <w:tcPr>
            <w:tcBorders>
              <w:top w:val="single" w:color="000000" w:sz="0" w:space="0"/>
              <w:left w:val="single" w:color="000000" w:sz="0" w:space="0"/>
              <w:bottom w:val="single" w:color="000000" w:sz="0" w:space="0"/>
            </w:tcBorders>
          </w:tcPr>
          <w:p w14:paraId="565D4984">
            <w:pPr>
              <w:spacing w:after="0" w:line="240" w:lineRule="auto"/>
            </w:pPr>
            <w:r>
              <w:t>0.027</w:t>
            </w:r>
          </w:p>
        </w:tc>
        <w:tc>
          <w:tcPr>
            <w:tcBorders>
              <w:top w:val="single" w:color="000000" w:sz="0" w:space="0"/>
              <w:left w:val="single" w:color="000000" w:sz="0" w:space="0"/>
              <w:bottom w:val="single" w:color="000000" w:sz="0" w:space="0"/>
            </w:tcBorders>
          </w:tcPr>
          <w:p w14:paraId="152428BE">
            <w:pPr>
              <w:spacing w:after="0" w:line="240" w:lineRule="auto"/>
            </w:pPr>
            <w:r>
              <w:t>1.54 mg/L</w:t>
            </w:r>
          </w:p>
        </w:tc>
        <w:tc>
          <w:tcPr>
            <w:tcBorders>
              <w:top w:val="single" w:color="000000" w:sz="0" w:space="0"/>
              <w:left w:val="single" w:color="000000" w:sz="0" w:space="0"/>
              <w:bottom w:val="single" w:color="000000" w:sz="0" w:space="0"/>
            </w:tcBorders>
          </w:tcPr>
          <w:p w14:paraId="0B170454">
            <w:pPr>
              <w:spacing w:after="0" w:line="240" w:lineRule="auto"/>
            </w:pPr>
            <w:r>
              <w:t>1.94 mg/L</w:t>
            </w:r>
          </w:p>
        </w:tc>
        <w:tc>
          <w:tcPr>
            <w:tcBorders>
              <w:top w:val="single" w:color="000000" w:sz="0" w:space="0"/>
              <w:left w:val="single" w:color="000000" w:sz="0" w:space="0"/>
              <w:bottom w:val="single" w:color="000000" w:sz="0" w:space="0"/>
            </w:tcBorders>
          </w:tcPr>
          <w:p w14:paraId="2B2EB826">
            <w:pPr>
              <w:spacing w:after="0" w:line="240" w:lineRule="auto"/>
            </w:pPr>
            <w:r>
              <w:rPr>
                <w:rFonts w:ascii="Georgia" w:hAnsi="Georgia" w:eastAsia="Georgia" w:cs="Georgia"/>
              </w:rPr>
              <w:t>8.0±2.0 mg/L</w:t>
            </w:r>
          </w:p>
        </w:tc>
        <w:tc>
          <w:tcPr>
            <w:tcBorders>
              <w:top w:val="single" w:color="000000" w:sz="0" w:space="0"/>
              <w:left w:val="single" w:color="000000" w:sz="0" w:space="0"/>
              <w:bottom w:val="single" w:color="000000" w:sz="0" w:space="0"/>
            </w:tcBorders>
          </w:tcPr>
          <w:p w14:paraId="7EAC2F83">
            <w:pPr>
              <w:spacing w:after="0" w:line="240" w:lineRule="auto"/>
            </w:pPr>
            <w:r>
              <w:t>24</w:t>
            </w:r>
          </w:p>
        </w:tc>
        <w:tc>
          <w:tcPr>
            <w:tcBorders>
              <w:top w:val="single" w:color="000000" w:sz="0" w:space="0"/>
              <w:left w:val="single" w:color="000000" w:sz="0" w:space="0"/>
              <w:bottom w:val="single" w:color="000000" w:sz="0" w:space="0"/>
            </w:tcBorders>
          </w:tcPr>
          <w:p w14:paraId="4F08DC3E">
            <w:pPr>
              <w:spacing w:after="0" w:line="240" w:lineRule="auto"/>
            </w:pPr>
            <w:r>
              <w:rPr>
                <w:rFonts w:ascii="Georgia" w:hAnsi="Georgia" w:eastAsia="Georgia" w:cs="Georgia"/>
              </w:rPr>
              <w:t>弱</w:t>
            </w:r>
          </w:p>
        </w:tc>
      </w:tr>
      <w:tr w14:paraId="5FFE9E4D">
        <w:trPr>
          <w:cantSplit/>
          <w:tblCellSpacing w:w="0" w:type="dxa"/>
          <w:jc w:val="center"/>
        </w:trPr>
        <w:tc>
          <w:tcPr>
            <w:tcBorders>
              <w:top w:val="single" w:color="000000" w:sz="0" w:space="0"/>
              <w:bottom w:val="single" w:color="000000" w:sz="0" w:space="0"/>
            </w:tcBorders>
          </w:tcPr>
          <w:p w14:paraId="5D173D8F">
            <w:pPr>
              <w:spacing w:after="0" w:line="240" w:lineRule="auto"/>
            </w:pPr>
            <w:r>
              <w:rPr>
                <w:rFonts w:ascii="Georgia" w:hAnsi="Georgia" w:eastAsia="Georgia" w:cs="Georgia"/>
              </w:rPr>
              <w:t>NH₃-N</w:t>
            </w:r>
          </w:p>
        </w:tc>
        <w:tc>
          <w:tcPr>
            <w:tcBorders>
              <w:top w:val="single" w:color="000000" w:sz="0" w:space="0"/>
              <w:left w:val="single" w:color="000000" w:sz="0" w:space="0"/>
              <w:bottom w:val="single" w:color="000000" w:sz="0" w:space="0"/>
            </w:tcBorders>
          </w:tcPr>
          <w:p w14:paraId="47221C7B">
            <w:pPr>
              <w:spacing w:after="0" w:line="240" w:lineRule="auto"/>
            </w:pPr>
            <w:r>
              <w:rPr>
                <w:rFonts w:ascii="Georgia" w:hAnsi="Georgia" w:eastAsia="Georgia" w:cs="Georgia"/>
              </w:rPr>
              <w:t>氨氮</w:t>
            </w:r>
          </w:p>
        </w:tc>
        <w:tc>
          <w:tcPr>
            <w:tcBorders>
              <w:top w:val="single" w:color="000000" w:sz="0" w:space="0"/>
              <w:left w:val="single" w:color="000000" w:sz="0" w:space="0"/>
              <w:bottom w:val="single" w:color="000000" w:sz="0" w:space="0"/>
            </w:tcBorders>
          </w:tcPr>
          <w:p w14:paraId="1E51B967">
            <w:pPr>
              <w:spacing w:after="0" w:line="240" w:lineRule="auto"/>
            </w:pPr>
            <w:r>
              <w:t>-0.064</w:t>
            </w:r>
          </w:p>
        </w:tc>
        <w:tc>
          <w:tcPr>
            <w:tcBorders>
              <w:top w:val="single" w:color="000000" w:sz="0" w:space="0"/>
              <w:left w:val="single" w:color="000000" w:sz="0" w:space="0"/>
              <w:bottom w:val="single" w:color="000000" w:sz="0" w:space="0"/>
            </w:tcBorders>
          </w:tcPr>
          <w:p w14:paraId="594C16A0">
            <w:pPr>
              <w:spacing w:after="0" w:line="240" w:lineRule="auto"/>
            </w:pPr>
            <w:r>
              <w:t>0.17 mg/L</w:t>
            </w:r>
          </w:p>
        </w:tc>
        <w:tc>
          <w:tcPr>
            <w:tcBorders>
              <w:top w:val="single" w:color="000000" w:sz="0" w:space="0"/>
              <w:left w:val="single" w:color="000000" w:sz="0" w:space="0"/>
              <w:bottom w:val="single" w:color="000000" w:sz="0" w:space="0"/>
            </w:tcBorders>
          </w:tcPr>
          <w:p w14:paraId="459609A6">
            <w:pPr>
              <w:spacing w:after="0" w:line="240" w:lineRule="auto"/>
            </w:pPr>
            <w:r>
              <w:t>0.21 mg/L</w:t>
            </w:r>
          </w:p>
        </w:tc>
        <w:tc>
          <w:tcPr>
            <w:tcBorders>
              <w:top w:val="single" w:color="000000" w:sz="0" w:space="0"/>
              <w:left w:val="single" w:color="000000" w:sz="0" w:space="0"/>
              <w:bottom w:val="single" w:color="000000" w:sz="0" w:space="0"/>
            </w:tcBorders>
          </w:tcPr>
          <w:p w14:paraId="5068924D">
            <w:pPr>
              <w:spacing w:after="0" w:line="240" w:lineRule="auto"/>
            </w:pPr>
            <w:r>
              <w:rPr>
                <w:rFonts w:ascii="Georgia" w:hAnsi="Georgia" w:eastAsia="Georgia" w:cs="Georgia"/>
              </w:rPr>
              <w:t>0.50±0.2 mg/L</w:t>
            </w:r>
          </w:p>
        </w:tc>
        <w:tc>
          <w:tcPr>
            <w:tcBorders>
              <w:top w:val="single" w:color="000000" w:sz="0" w:space="0"/>
              <w:left w:val="single" w:color="000000" w:sz="0" w:space="0"/>
              <w:bottom w:val="single" w:color="000000" w:sz="0" w:space="0"/>
            </w:tcBorders>
          </w:tcPr>
          <w:p w14:paraId="551ED904">
            <w:pPr>
              <w:spacing w:after="0" w:line="240" w:lineRule="auto"/>
            </w:pPr>
            <w:r>
              <w:t>21</w:t>
            </w:r>
          </w:p>
        </w:tc>
        <w:tc>
          <w:tcPr>
            <w:tcBorders>
              <w:top w:val="single" w:color="000000" w:sz="0" w:space="0"/>
              <w:left w:val="single" w:color="000000" w:sz="0" w:space="0"/>
              <w:bottom w:val="single" w:color="000000" w:sz="0" w:space="0"/>
            </w:tcBorders>
          </w:tcPr>
          <w:p w14:paraId="491B3E06">
            <w:pPr>
              <w:spacing w:after="0" w:line="240" w:lineRule="auto"/>
            </w:pPr>
            <w:r>
              <w:rPr>
                <w:rFonts w:ascii="Georgia" w:hAnsi="Georgia" w:eastAsia="Georgia" w:cs="Georgia"/>
              </w:rPr>
              <w:t>无效</w:t>
            </w:r>
          </w:p>
        </w:tc>
      </w:tr>
      <w:tr w14:paraId="129CDB20">
        <w:trPr>
          <w:cantSplit/>
          <w:tblCellSpacing w:w="0" w:type="dxa"/>
          <w:jc w:val="center"/>
        </w:trPr>
        <w:tc>
          <w:tcPr>
            <w:tcBorders>
              <w:top w:val="single" w:color="000000" w:sz="0" w:space="0"/>
              <w:bottom w:val="single" w:color="000000" w:sz="0" w:space="0"/>
            </w:tcBorders>
          </w:tcPr>
          <w:p w14:paraId="3CA9001C">
            <w:pPr>
              <w:spacing w:after="0" w:line="240" w:lineRule="auto"/>
            </w:pPr>
            <w:r>
              <w:t>pH</w:t>
            </w:r>
          </w:p>
        </w:tc>
        <w:tc>
          <w:tcPr>
            <w:tcBorders>
              <w:top w:val="single" w:color="000000" w:sz="0" w:space="0"/>
              <w:left w:val="single" w:color="000000" w:sz="0" w:space="0"/>
              <w:bottom w:val="single" w:color="000000" w:sz="0" w:space="0"/>
            </w:tcBorders>
          </w:tcPr>
          <w:p w14:paraId="1D3AF338">
            <w:pPr>
              <w:spacing w:after="0" w:line="240" w:lineRule="auto"/>
            </w:pPr>
            <w:r>
              <w:rPr>
                <w:rFonts w:ascii="Georgia" w:hAnsi="Georgia" w:eastAsia="Georgia" w:cs="Georgia"/>
              </w:rPr>
              <w:t>pH值</w:t>
            </w:r>
          </w:p>
        </w:tc>
        <w:tc>
          <w:tcPr>
            <w:tcBorders>
              <w:top w:val="single" w:color="000000" w:sz="0" w:space="0"/>
              <w:left w:val="single" w:color="000000" w:sz="0" w:space="0"/>
              <w:bottom w:val="single" w:color="000000" w:sz="0" w:space="0"/>
            </w:tcBorders>
          </w:tcPr>
          <w:p w14:paraId="6D24AD59">
            <w:pPr>
              <w:spacing w:after="0" w:line="240" w:lineRule="auto"/>
            </w:pPr>
            <w:r>
              <w:t>-0.073</w:t>
            </w:r>
          </w:p>
        </w:tc>
        <w:tc>
          <w:tcPr>
            <w:tcBorders>
              <w:top w:val="single" w:color="000000" w:sz="0" w:space="0"/>
              <w:left w:val="single" w:color="000000" w:sz="0" w:space="0"/>
              <w:bottom w:val="single" w:color="000000" w:sz="0" w:space="0"/>
            </w:tcBorders>
          </w:tcPr>
          <w:p w14:paraId="1261505B">
            <w:pPr>
              <w:spacing w:after="0" w:line="240" w:lineRule="auto"/>
            </w:pPr>
            <w:r>
              <w:t>0.41</w:t>
            </w:r>
          </w:p>
        </w:tc>
        <w:tc>
          <w:tcPr>
            <w:tcBorders>
              <w:top w:val="single" w:color="000000" w:sz="0" w:space="0"/>
              <w:left w:val="single" w:color="000000" w:sz="0" w:space="0"/>
              <w:bottom w:val="single" w:color="000000" w:sz="0" w:space="0"/>
            </w:tcBorders>
          </w:tcPr>
          <w:p w14:paraId="0CF712DD">
            <w:pPr>
              <w:spacing w:after="0" w:line="240" w:lineRule="auto"/>
            </w:pPr>
            <w:r>
              <w:t>0.51</w:t>
            </w:r>
          </w:p>
        </w:tc>
        <w:tc>
          <w:tcPr>
            <w:tcBorders>
              <w:top w:val="single" w:color="000000" w:sz="0" w:space="0"/>
              <w:left w:val="single" w:color="000000" w:sz="0" w:space="0"/>
              <w:bottom w:val="single" w:color="000000" w:sz="0" w:space="0"/>
            </w:tcBorders>
          </w:tcPr>
          <w:p w14:paraId="1AE514BE">
            <w:pPr>
              <w:spacing w:after="0" w:line="240" w:lineRule="auto"/>
            </w:pPr>
            <w:r>
              <w:rPr>
                <w:rFonts w:ascii="Georgia" w:hAnsi="Georgia" w:eastAsia="Georgia" w:cs="Georgia"/>
              </w:rPr>
              <w:t>7.0±0.5</w:t>
            </w:r>
          </w:p>
        </w:tc>
        <w:tc>
          <w:tcPr>
            <w:tcBorders>
              <w:top w:val="single" w:color="000000" w:sz="0" w:space="0"/>
              <w:left w:val="single" w:color="000000" w:sz="0" w:space="0"/>
              <w:bottom w:val="single" w:color="000000" w:sz="0" w:space="0"/>
            </w:tcBorders>
          </w:tcPr>
          <w:p w14:paraId="37522458">
            <w:pPr>
              <w:spacing w:after="0" w:line="240" w:lineRule="auto"/>
            </w:pPr>
            <w:r>
              <w:t>24</w:t>
            </w:r>
          </w:p>
        </w:tc>
        <w:tc>
          <w:tcPr>
            <w:tcBorders>
              <w:top w:val="single" w:color="000000" w:sz="0" w:space="0"/>
              <w:left w:val="single" w:color="000000" w:sz="0" w:space="0"/>
              <w:bottom w:val="single" w:color="000000" w:sz="0" w:space="0"/>
            </w:tcBorders>
          </w:tcPr>
          <w:p w14:paraId="462447B9">
            <w:pPr>
              <w:spacing w:after="0" w:line="240" w:lineRule="auto"/>
            </w:pPr>
            <w:r>
              <w:rPr>
                <w:rFonts w:ascii="Georgia" w:hAnsi="Georgia" w:eastAsia="Georgia" w:cs="Georgia"/>
              </w:rPr>
              <w:t>无效</w:t>
            </w:r>
          </w:p>
        </w:tc>
      </w:tr>
    </w:tbl>
    <w:p w14:paraId="09E7FFF8">
      <w:pPr>
        <w:snapToGrid/>
        <w:spacing w:beforeAutospacing="0" w:after="0" w:afterAutospacing="0" w:line="400" w:lineRule="exact"/>
        <w:ind w:left="0" w:leftChars="0" w:right="0" w:rightChars="0" w:firstLine="480" w:firstLineChars="200"/>
        <w:jc w:val="both"/>
        <w:rPr>
          <w:rFonts w:ascii="Times New Roman" w:eastAsia="宋体"/>
          <w:sz w:val="24"/>
        </w:rPr>
      </w:pPr>
    </w:p>
    <w:p w14:paraId="732823D2">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注，输入特征包括基础水质指标（12-13个）、时间特征（7个）、空间特征（1个）和无泄露高级特征（3个）。性能等级，R²≥0.5为良好，0.2≤R²&lt;0.5为中等，0≤R²&lt;0.2为弱，R²&lt;0为无效。</w:t>
      </w:r>
    </w:p>
    <w:p w14:paraId="2AC1726E">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从表17可以看出，在特征独立约束下，没有任何指标达到R²≥0.5的"良好"标准。仅COD达到R²=0.497的"中等"水平，能够解释约50%的方差。BOD、TN、DO三个指标的R²在0.01-0.10之间，属于"弱预测"能力。TP、NH₃-N、pH三个指标的R²为负值，表明预测误差甚至大于简单的均值预测基线，属于"无效"预测。</w:t>
      </w:r>
    </w:p>
    <w:p w14:paraId="2EF090A6">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图16展示了COD回归预测的散点图，可视化了特征独立约束下R²=0.497的拟合效果。</w:t>
      </w:r>
    </w:p>
    <w:p w14:paraId="608C5A4B">
      <w:pPr>
        <w:snapToGrid/>
        <w:spacing w:beforeAutospacing="0" w:after="0" w:afterAutospacing="0" w:line="400" w:lineRule="exact"/>
        <w:ind w:left="0" w:leftChars="0" w:right="0" w:rightChars="0" w:firstLine="480" w:firstLineChars="200"/>
        <w:jc w:val="both"/>
        <w:rPr>
          <w:rFonts w:ascii="Times New Roman" w:eastAsia="宋体"/>
          <w:sz w:val="24"/>
        </w:rPr>
      </w:pPr>
    </w:p>
    <w:p w14:paraId="2D97DE70">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16展示了特征独立约束下XGBoost对COD（化学需氧量）的预测性能。横轴为真实COD值（mg/L），纵轴为模型预测值（mg/L），每个点代表测试集中的一个样本（共3,105个）。红色虚线为完美预测线（y=x），蓝色实线为实际拟合线。R²=0.497表明模型解释了约50%的方差，预测误差RMSE=3.55 mg/L（相对于标准差5.0 mg/L）。从图中可以观察到，预测值与真实值存在一定的正相关趋势，但散点分布较为离散，特别是在COD&gt;30 mg/L的高污染区域，预测误差明显增大。这一结果表明，在不使用BOD等高度相关指标（r=0.82）的情况下，仅依赖浊度、电导率、氮磷指标等弱相关特征（r=0.3-0.6），横截面方法的预测能力显著下降。拟合线的斜率为0.68（而非理想的1.0），截距为6.4 mg/L，说明模型存在系统性的低估趋势（高COD值被低估）。</w:t>
      </w:r>
    </w:p>
    <w:p w14:paraId="70B98FC8">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BOD、TN、TP三个指标在特征独立约束下的预测性能更差（R²&lt;0.11）。BOD的R²=0.009，TN的R²=0.103，TP的R²=-0.069。</w:t>
      </w:r>
    </w:p>
    <w:p w14:paraId="02779948">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DO、NH₃-N和pH三个指标的R²为负值，表明预测误差甚至大于简单的均值预测基线，属于"无效"预测。DO的R²=0.027，NH₃-N的R²=-0.064，pH的R²=-0.073。</w:t>
      </w:r>
    </w:p>
    <w:p w14:paraId="6137BD47">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83" w:name="bm_5_3_时间序列方法性能分析"/>
      <w:bookmarkStart w:id="84" w:name="_Toc538457339"/>
      <w:r>
        <w:rPr>
          <w:rFonts w:ascii="黑体" w:hAnsi="Georgia" w:eastAsia="黑体" w:cs="Georgia"/>
          <w:b w:val="0"/>
          <w:sz w:val="28"/>
        </w:rPr>
        <w:t>5.3 时间序列方法性能分析</w:t>
      </w:r>
      <w:bookmarkEnd w:id="83"/>
      <w:bookmarkEnd w:id="84"/>
    </w:p>
    <w:p w14:paraId="11293C5D">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表18汇总了五个代表性时间序列方法的详细性能，并与简单的均值预测基线（Naive Baseline）进行对比。</w:t>
      </w:r>
    </w:p>
    <w:p w14:paraId="4F1A143B">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表18 时间序列方法性能详细对比（北京市COD预测）</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374"/>
        <w:gridCol w:w="1896"/>
        <w:gridCol w:w="807"/>
        <w:gridCol w:w="798"/>
        <w:gridCol w:w="1091"/>
        <w:gridCol w:w="1098"/>
        <w:gridCol w:w="596"/>
        <w:gridCol w:w="1310"/>
      </w:tblGrid>
      <w:tr w14:paraId="08CF6102">
        <w:trPr>
          <w:cantSplit/>
          <w:tblCellSpacing w:w="0" w:type="dxa"/>
          <w:jc w:val="center"/>
        </w:trPr>
        <w:tc>
          <w:tcPr>
            <w:tcBorders>
              <w:top w:val="single" w:color="000000" w:sz="0" w:space="0"/>
              <w:bottom w:val="single" w:color="000000" w:sz="0" w:space="0"/>
            </w:tcBorders>
          </w:tcPr>
          <w:p w14:paraId="4E30026A">
            <w:pPr>
              <w:spacing w:after="0" w:line="240" w:lineRule="auto"/>
            </w:pPr>
            <w:r>
              <w:rPr>
                <w:rFonts w:ascii="Georgia" w:hAnsi="Georgia" w:eastAsia="Georgia" w:cs="Georgia"/>
              </w:rPr>
              <w:t>方法</w:t>
            </w:r>
          </w:p>
        </w:tc>
        <w:tc>
          <w:tcPr>
            <w:tcBorders>
              <w:top w:val="single" w:color="000000" w:sz="0" w:space="0"/>
              <w:left w:val="single" w:color="000000" w:sz="0" w:space="0"/>
              <w:bottom w:val="single" w:color="000000" w:sz="0" w:space="0"/>
            </w:tcBorders>
          </w:tcPr>
          <w:p w14:paraId="3F9E8553">
            <w:pPr>
              <w:spacing w:after="0" w:line="240" w:lineRule="auto"/>
            </w:pPr>
            <w:r>
              <w:rPr>
                <w:rFonts w:ascii="Georgia" w:hAnsi="Georgia" w:eastAsia="Georgia" w:cs="Georgia"/>
              </w:rPr>
              <w:t>模型架构/阶数</w:t>
            </w:r>
          </w:p>
        </w:tc>
        <w:tc>
          <w:tcPr>
            <w:tcBorders>
              <w:top w:val="single" w:color="000000" w:sz="0" w:space="0"/>
              <w:left w:val="single" w:color="000000" w:sz="0" w:space="0"/>
              <w:bottom w:val="single" w:color="000000" w:sz="0" w:space="0"/>
            </w:tcBorders>
          </w:tcPr>
          <w:p w14:paraId="064A41A4">
            <w:pPr>
              <w:spacing w:after="0" w:line="240" w:lineRule="auto"/>
            </w:pPr>
            <w:r>
              <w:rPr>
                <w:rFonts w:ascii="Georgia" w:hAnsi="Georgia" w:eastAsia="Georgia" w:cs="Georgia"/>
              </w:rPr>
              <w:t>训练集R²</w:t>
            </w:r>
          </w:p>
        </w:tc>
        <w:tc>
          <w:tcPr>
            <w:tcBorders>
              <w:top w:val="single" w:color="000000" w:sz="0" w:space="0"/>
              <w:left w:val="single" w:color="000000" w:sz="0" w:space="0"/>
              <w:bottom w:val="single" w:color="000000" w:sz="0" w:space="0"/>
            </w:tcBorders>
          </w:tcPr>
          <w:p w14:paraId="7757545C">
            <w:pPr>
              <w:spacing w:after="0" w:line="240" w:lineRule="auto"/>
            </w:pPr>
            <w:r>
              <w:rPr>
                <w:rFonts w:ascii="Georgia" w:hAnsi="Georgia" w:eastAsia="Georgia" w:cs="Georgia"/>
              </w:rPr>
              <w:t>测试集R²</w:t>
            </w:r>
          </w:p>
        </w:tc>
        <w:tc>
          <w:tcPr>
            <w:tcBorders>
              <w:top w:val="single" w:color="000000" w:sz="0" w:space="0"/>
              <w:left w:val="single" w:color="000000" w:sz="0" w:space="0"/>
              <w:bottom w:val="single" w:color="000000" w:sz="0" w:space="0"/>
            </w:tcBorders>
          </w:tcPr>
          <w:p w14:paraId="5C083CD7">
            <w:pPr>
              <w:spacing w:after="0" w:line="240" w:lineRule="auto"/>
            </w:pPr>
            <w:r>
              <w:rPr>
                <w:rFonts w:ascii="Georgia" w:hAnsi="Georgia" w:eastAsia="Georgia" w:cs="Georgia"/>
              </w:rPr>
              <w:t>测试集MAE (mg/L)</w:t>
            </w:r>
          </w:p>
        </w:tc>
        <w:tc>
          <w:tcPr>
            <w:tcBorders>
              <w:top w:val="single" w:color="000000" w:sz="0" w:space="0"/>
              <w:left w:val="single" w:color="000000" w:sz="0" w:space="0"/>
              <w:bottom w:val="single" w:color="000000" w:sz="0" w:space="0"/>
            </w:tcBorders>
          </w:tcPr>
          <w:p w14:paraId="5852E95C">
            <w:pPr>
              <w:spacing w:after="0" w:line="240" w:lineRule="auto"/>
            </w:pPr>
            <w:r>
              <w:rPr>
                <w:rFonts w:ascii="Georgia" w:hAnsi="Georgia" w:eastAsia="Georgia" w:cs="Georgia"/>
              </w:rPr>
              <w:t>测试集RMSE (mg/L)</w:t>
            </w:r>
          </w:p>
        </w:tc>
        <w:tc>
          <w:tcPr>
            <w:tcBorders>
              <w:top w:val="single" w:color="000000" w:sz="0" w:space="0"/>
              <w:left w:val="single" w:color="000000" w:sz="0" w:space="0"/>
              <w:bottom w:val="single" w:color="000000" w:sz="0" w:space="0"/>
            </w:tcBorders>
          </w:tcPr>
          <w:p w14:paraId="5C4B4856">
            <w:pPr>
              <w:spacing w:after="0" w:line="240" w:lineRule="auto"/>
            </w:pPr>
            <w:r>
              <w:rPr>
                <w:rFonts w:ascii="Georgia" w:hAnsi="Georgia" w:eastAsia="Georgia" w:cs="Georgia"/>
              </w:rPr>
              <w:t>性能表现</w:t>
            </w:r>
          </w:p>
        </w:tc>
        <w:tc>
          <w:tcPr>
            <w:tcBorders>
              <w:top w:val="single" w:color="000000" w:sz="0" w:space="0"/>
              <w:left w:val="single" w:color="000000" w:sz="0" w:space="0"/>
              <w:bottom w:val="single" w:color="000000" w:sz="0" w:space="0"/>
            </w:tcBorders>
          </w:tcPr>
          <w:p w14:paraId="07483B52">
            <w:pPr>
              <w:spacing w:after="0" w:line="240" w:lineRule="auto"/>
            </w:pPr>
            <w:r>
              <w:rPr>
                <w:rFonts w:ascii="Georgia" w:hAnsi="Georgia" w:eastAsia="Georgia" w:cs="Georgia"/>
              </w:rPr>
              <w:t>核心问题</w:t>
            </w:r>
          </w:p>
        </w:tc>
      </w:tr>
      <w:tr w14:paraId="41627285">
        <w:trPr>
          <w:cantSplit/>
          <w:tblCellSpacing w:w="0" w:type="dxa"/>
          <w:jc w:val="center"/>
        </w:trPr>
        <w:tc>
          <w:tcPr>
            <w:tcBorders>
              <w:top w:val="single" w:color="000000" w:sz="0" w:space="0"/>
              <w:bottom w:val="single" w:color="000000" w:sz="0" w:space="0"/>
            </w:tcBorders>
          </w:tcPr>
          <w:p w14:paraId="311EADC7">
            <w:pPr>
              <w:spacing w:after="0" w:line="240" w:lineRule="auto"/>
            </w:pPr>
            <w:r>
              <w:rPr>
                <w:rFonts w:ascii="Georgia" w:hAnsi="Georgia" w:eastAsia="Georgia" w:cs="Georgia"/>
              </w:rPr>
              <w:t>Naive基线</w:t>
            </w:r>
          </w:p>
        </w:tc>
        <w:tc>
          <w:tcPr>
            <w:tcBorders>
              <w:top w:val="single" w:color="000000" w:sz="0" w:space="0"/>
              <w:left w:val="single" w:color="000000" w:sz="0" w:space="0"/>
              <w:bottom w:val="single" w:color="000000" w:sz="0" w:space="0"/>
            </w:tcBorders>
          </w:tcPr>
          <w:p w14:paraId="186C119F">
            <w:pPr>
              <w:spacing w:after="0" w:line="240" w:lineRule="auto"/>
            </w:pPr>
            <w:r>
              <w:rPr>
                <w:rFonts w:ascii="Georgia" w:hAnsi="Georgia" w:eastAsia="Georgia" w:cs="Georgia"/>
              </w:rPr>
              <w:t>持续上一个值</w:t>
            </w:r>
          </w:p>
        </w:tc>
        <w:tc>
          <w:tcPr>
            <w:tcBorders>
              <w:top w:val="single" w:color="000000" w:sz="0" w:space="0"/>
              <w:left w:val="single" w:color="000000" w:sz="0" w:space="0"/>
              <w:bottom w:val="single" w:color="000000" w:sz="0" w:space="0"/>
            </w:tcBorders>
          </w:tcPr>
          <w:p w14:paraId="608EFBE7">
            <w:pPr>
              <w:spacing w:after="0" w:line="240" w:lineRule="auto"/>
            </w:pPr>
            <w:r>
              <w:t>0.0</w:t>
            </w:r>
          </w:p>
        </w:tc>
        <w:tc>
          <w:tcPr>
            <w:tcBorders>
              <w:top w:val="single" w:color="000000" w:sz="0" w:space="0"/>
              <w:left w:val="single" w:color="000000" w:sz="0" w:space="0"/>
              <w:bottom w:val="single" w:color="000000" w:sz="0" w:space="0"/>
            </w:tcBorders>
          </w:tcPr>
          <w:p w14:paraId="22E120A1">
            <w:pPr>
              <w:spacing w:after="0" w:line="240" w:lineRule="auto"/>
            </w:pPr>
            <w:r>
              <w:t>0.0</w:t>
            </w:r>
          </w:p>
        </w:tc>
        <w:tc>
          <w:tcPr>
            <w:tcBorders>
              <w:top w:val="single" w:color="000000" w:sz="0" w:space="0"/>
              <w:left w:val="single" w:color="000000" w:sz="0" w:space="0"/>
              <w:bottom w:val="single" w:color="000000" w:sz="0" w:space="0"/>
            </w:tcBorders>
          </w:tcPr>
          <w:p w14:paraId="1B01BC0E">
            <w:pPr>
              <w:spacing w:after="0" w:line="240" w:lineRule="auto"/>
            </w:pPr>
            <w:r>
              <w:t>7.2</w:t>
            </w:r>
          </w:p>
        </w:tc>
        <w:tc>
          <w:tcPr>
            <w:tcBorders>
              <w:top w:val="single" w:color="000000" w:sz="0" w:space="0"/>
              <w:left w:val="single" w:color="000000" w:sz="0" w:space="0"/>
              <w:bottom w:val="single" w:color="000000" w:sz="0" w:space="0"/>
            </w:tcBorders>
          </w:tcPr>
          <w:p w14:paraId="181AD88E">
            <w:pPr>
              <w:spacing w:after="0" w:line="240" w:lineRule="auto"/>
            </w:pPr>
            <w:r>
              <w:t>9.8</w:t>
            </w:r>
          </w:p>
        </w:tc>
        <w:tc>
          <w:tcPr>
            <w:tcBorders>
              <w:top w:val="single" w:color="000000" w:sz="0" w:space="0"/>
              <w:left w:val="single" w:color="000000" w:sz="0" w:space="0"/>
              <w:bottom w:val="single" w:color="000000" w:sz="0" w:space="0"/>
            </w:tcBorders>
          </w:tcPr>
          <w:p w14:paraId="1ADEE8A1">
            <w:pPr>
              <w:spacing w:after="0" w:line="240" w:lineRule="auto"/>
            </w:pPr>
            <w:r>
              <w:rPr>
                <w:rFonts w:ascii="Georgia" w:hAnsi="Georgia" w:eastAsia="Georgia" w:cs="Georgia"/>
              </w:rPr>
              <w:t>—</w:t>
            </w:r>
          </w:p>
        </w:tc>
        <w:tc>
          <w:tcPr>
            <w:tcBorders>
              <w:top w:val="single" w:color="000000" w:sz="0" w:space="0"/>
              <w:left w:val="single" w:color="000000" w:sz="0" w:space="0"/>
              <w:bottom w:val="single" w:color="000000" w:sz="0" w:space="0"/>
            </w:tcBorders>
          </w:tcPr>
          <w:p w14:paraId="2AC1F32B">
            <w:pPr>
              <w:spacing w:after="0" w:line="240" w:lineRule="auto"/>
            </w:pPr>
            <w:r>
              <w:rPr>
                <w:rFonts w:ascii="Georgia" w:hAnsi="Georgia" w:eastAsia="Georgia" w:cs="Georgia"/>
              </w:rPr>
              <w:t>基线参考</w:t>
            </w:r>
          </w:p>
        </w:tc>
      </w:tr>
      <w:tr w14:paraId="47ABD6EE">
        <w:trPr>
          <w:cantSplit/>
          <w:tblCellSpacing w:w="0" w:type="dxa"/>
          <w:jc w:val="center"/>
        </w:trPr>
        <w:tc>
          <w:tcPr>
            <w:tcBorders>
              <w:top w:val="single" w:color="000000" w:sz="0" w:space="0"/>
              <w:bottom w:val="single" w:color="000000" w:sz="0" w:space="0"/>
            </w:tcBorders>
          </w:tcPr>
          <w:p w14:paraId="056EA2DB">
            <w:pPr>
              <w:spacing w:after="0" w:line="240" w:lineRule="auto"/>
            </w:pPr>
            <w:r>
              <w:t>ARIMA</w:t>
            </w:r>
          </w:p>
        </w:tc>
        <w:tc>
          <w:tcPr>
            <w:tcBorders>
              <w:top w:val="single" w:color="000000" w:sz="0" w:space="0"/>
              <w:left w:val="single" w:color="000000" w:sz="0" w:space="0"/>
              <w:bottom w:val="single" w:color="000000" w:sz="0" w:space="0"/>
            </w:tcBorders>
          </w:tcPr>
          <w:p w14:paraId="302D2F78">
            <w:pPr>
              <w:spacing w:after="0" w:line="240" w:lineRule="auto"/>
            </w:pPr>
            <w:r>
              <w:t>(1,1,1)</w:t>
            </w:r>
          </w:p>
        </w:tc>
        <w:tc>
          <w:tcPr>
            <w:tcBorders>
              <w:top w:val="single" w:color="000000" w:sz="0" w:space="0"/>
              <w:left w:val="single" w:color="000000" w:sz="0" w:space="0"/>
              <w:bottom w:val="single" w:color="000000" w:sz="0" w:space="0"/>
            </w:tcBorders>
          </w:tcPr>
          <w:p w14:paraId="3205B588">
            <w:pPr>
              <w:spacing w:after="0" w:line="240" w:lineRule="auto"/>
            </w:pPr>
            <w:r>
              <w:t>-0.02</w:t>
            </w:r>
          </w:p>
        </w:tc>
        <w:tc>
          <w:tcPr>
            <w:tcBorders>
              <w:top w:val="single" w:color="000000" w:sz="0" w:space="0"/>
              <w:left w:val="single" w:color="000000" w:sz="0" w:space="0"/>
              <w:bottom w:val="single" w:color="000000" w:sz="0" w:space="0"/>
            </w:tcBorders>
          </w:tcPr>
          <w:p w14:paraId="381DC6C2">
            <w:pPr>
              <w:spacing w:after="0" w:line="240" w:lineRule="auto"/>
            </w:pPr>
            <w:r>
              <w:t>-0.15</w:t>
            </w:r>
          </w:p>
        </w:tc>
        <w:tc>
          <w:tcPr>
            <w:tcBorders>
              <w:top w:val="single" w:color="000000" w:sz="0" w:space="0"/>
              <w:left w:val="single" w:color="000000" w:sz="0" w:space="0"/>
              <w:bottom w:val="single" w:color="000000" w:sz="0" w:space="0"/>
            </w:tcBorders>
          </w:tcPr>
          <w:p w14:paraId="4A431626">
            <w:pPr>
              <w:spacing w:after="0" w:line="240" w:lineRule="auto"/>
            </w:pPr>
            <w:r>
              <w:t>8.5</w:t>
            </w:r>
          </w:p>
        </w:tc>
        <w:tc>
          <w:tcPr>
            <w:tcBorders>
              <w:top w:val="single" w:color="000000" w:sz="0" w:space="0"/>
              <w:left w:val="single" w:color="000000" w:sz="0" w:space="0"/>
              <w:bottom w:val="single" w:color="000000" w:sz="0" w:space="0"/>
            </w:tcBorders>
          </w:tcPr>
          <w:p w14:paraId="518343EC">
            <w:pPr>
              <w:spacing w:after="0" w:line="240" w:lineRule="auto"/>
            </w:pPr>
            <w:r>
              <w:t>11.2</w:t>
            </w:r>
          </w:p>
        </w:tc>
        <w:tc>
          <w:tcPr>
            <w:tcBorders>
              <w:top w:val="single" w:color="000000" w:sz="0" w:space="0"/>
              <w:left w:val="single" w:color="000000" w:sz="0" w:space="0"/>
              <w:bottom w:val="single" w:color="000000" w:sz="0" w:space="0"/>
            </w:tcBorders>
          </w:tcPr>
          <w:p w14:paraId="173F3739">
            <w:pPr>
              <w:spacing w:after="0" w:line="240" w:lineRule="auto"/>
            </w:pPr>
            <w:r>
              <w:rPr>
                <w:rFonts w:ascii="Georgia" w:hAnsi="Georgia" w:eastAsia="Georgia" w:cs="Georgia"/>
              </w:rPr>
              <w:t>轻度劣于基线</w:t>
            </w:r>
          </w:p>
        </w:tc>
        <w:tc>
          <w:tcPr>
            <w:tcBorders>
              <w:top w:val="single" w:color="000000" w:sz="0" w:space="0"/>
              <w:left w:val="single" w:color="000000" w:sz="0" w:space="0"/>
              <w:bottom w:val="single" w:color="000000" w:sz="0" w:space="0"/>
            </w:tcBorders>
          </w:tcPr>
          <w:p w14:paraId="4AF09069">
            <w:pPr>
              <w:spacing w:after="0" w:line="240" w:lineRule="auto"/>
            </w:pPr>
            <w:r>
              <w:rPr>
                <w:rFonts w:ascii="Georgia" w:hAnsi="Georgia" w:eastAsia="Georgia" w:cs="Georgia"/>
              </w:rPr>
              <w:t>ACF≈0，系数退化为零</w:t>
            </w:r>
          </w:p>
        </w:tc>
      </w:tr>
      <w:tr w14:paraId="2AB19235">
        <w:trPr>
          <w:cantSplit/>
          <w:tblCellSpacing w:w="0" w:type="dxa"/>
          <w:jc w:val="center"/>
        </w:trPr>
        <w:tc>
          <w:tcPr>
            <w:tcBorders>
              <w:top w:val="single" w:color="000000" w:sz="0" w:space="0"/>
              <w:bottom w:val="single" w:color="000000" w:sz="0" w:space="0"/>
            </w:tcBorders>
          </w:tcPr>
          <w:p w14:paraId="1906870A">
            <w:pPr>
              <w:spacing w:after="0" w:line="240" w:lineRule="auto"/>
            </w:pPr>
            <w:r>
              <w:t>SARIMA</w:t>
            </w:r>
          </w:p>
        </w:tc>
        <w:tc>
          <w:tcPr>
            <w:tcBorders>
              <w:top w:val="single" w:color="000000" w:sz="0" w:space="0"/>
              <w:left w:val="single" w:color="000000" w:sz="0" w:space="0"/>
              <w:bottom w:val="single" w:color="000000" w:sz="0" w:space="0"/>
            </w:tcBorders>
          </w:tcPr>
          <w:p w14:paraId="1EBB902B">
            <w:pPr>
              <w:spacing w:after="0" w:line="240" w:lineRule="auto"/>
            </w:pPr>
            <w:r>
              <w:rPr>
                <w:rFonts w:ascii="Georgia" w:hAnsi="Georgia" w:eastAsia="Georgia" w:cs="Georgia"/>
              </w:rPr>
              <w:t>(1,1,1)×(1,1,1,12)</w:t>
            </w:r>
          </w:p>
        </w:tc>
        <w:tc>
          <w:tcPr>
            <w:tcBorders>
              <w:top w:val="single" w:color="000000" w:sz="0" w:space="0"/>
              <w:left w:val="single" w:color="000000" w:sz="0" w:space="0"/>
              <w:bottom w:val="single" w:color="000000" w:sz="0" w:space="0"/>
            </w:tcBorders>
          </w:tcPr>
          <w:p w14:paraId="297FFBB4">
            <w:pPr>
              <w:spacing w:after="0" w:line="240" w:lineRule="auto"/>
            </w:pPr>
            <w:r>
              <w:t>-0.03</w:t>
            </w:r>
          </w:p>
        </w:tc>
        <w:tc>
          <w:tcPr>
            <w:tcBorders>
              <w:top w:val="single" w:color="000000" w:sz="0" w:space="0"/>
              <w:left w:val="single" w:color="000000" w:sz="0" w:space="0"/>
              <w:bottom w:val="single" w:color="000000" w:sz="0" w:space="0"/>
            </w:tcBorders>
          </w:tcPr>
          <w:p w14:paraId="35FD4D8E">
            <w:pPr>
              <w:spacing w:after="0" w:line="240" w:lineRule="auto"/>
            </w:pPr>
            <w:r>
              <w:t>-0.18</w:t>
            </w:r>
          </w:p>
        </w:tc>
        <w:tc>
          <w:tcPr>
            <w:tcBorders>
              <w:top w:val="single" w:color="000000" w:sz="0" w:space="0"/>
              <w:left w:val="single" w:color="000000" w:sz="0" w:space="0"/>
              <w:bottom w:val="single" w:color="000000" w:sz="0" w:space="0"/>
            </w:tcBorders>
          </w:tcPr>
          <w:p w14:paraId="5F2C6F3C">
            <w:pPr>
              <w:spacing w:after="0" w:line="240" w:lineRule="auto"/>
            </w:pPr>
            <w:r>
              <w:t>8.8</w:t>
            </w:r>
          </w:p>
        </w:tc>
        <w:tc>
          <w:tcPr>
            <w:tcBorders>
              <w:top w:val="single" w:color="000000" w:sz="0" w:space="0"/>
              <w:left w:val="single" w:color="000000" w:sz="0" w:space="0"/>
              <w:bottom w:val="single" w:color="000000" w:sz="0" w:space="0"/>
            </w:tcBorders>
          </w:tcPr>
          <w:p w14:paraId="0E73CCBE">
            <w:pPr>
              <w:spacing w:after="0" w:line="240" w:lineRule="auto"/>
            </w:pPr>
            <w:r>
              <w:t>11.5</w:t>
            </w:r>
          </w:p>
        </w:tc>
        <w:tc>
          <w:tcPr>
            <w:tcBorders>
              <w:top w:val="single" w:color="000000" w:sz="0" w:space="0"/>
              <w:left w:val="single" w:color="000000" w:sz="0" w:space="0"/>
              <w:bottom w:val="single" w:color="000000" w:sz="0" w:space="0"/>
            </w:tcBorders>
          </w:tcPr>
          <w:p w14:paraId="75F2A5B8">
            <w:pPr>
              <w:spacing w:after="0" w:line="240" w:lineRule="auto"/>
            </w:pPr>
            <w:r>
              <w:rPr>
                <w:rFonts w:ascii="Georgia" w:hAnsi="Georgia" w:eastAsia="Georgia" w:cs="Georgia"/>
              </w:rPr>
              <w:t>轻度劣于基线</w:t>
            </w:r>
          </w:p>
        </w:tc>
        <w:tc>
          <w:tcPr>
            <w:tcBorders>
              <w:top w:val="single" w:color="000000" w:sz="0" w:space="0"/>
              <w:left w:val="single" w:color="000000" w:sz="0" w:space="0"/>
              <w:bottom w:val="single" w:color="000000" w:sz="0" w:space="0"/>
            </w:tcBorders>
          </w:tcPr>
          <w:p w14:paraId="41321515">
            <w:pPr>
              <w:spacing w:after="0" w:line="240" w:lineRule="auto"/>
            </w:pPr>
            <w:r>
              <w:rPr>
                <w:rFonts w:ascii="Georgia" w:hAnsi="Georgia" w:eastAsia="Georgia" w:cs="Georgia"/>
              </w:rPr>
              <w:t>季节性假设不成立</w:t>
            </w:r>
          </w:p>
        </w:tc>
      </w:tr>
      <w:tr w14:paraId="48D62E01">
        <w:trPr>
          <w:cantSplit/>
          <w:tblCellSpacing w:w="0" w:type="dxa"/>
          <w:jc w:val="center"/>
        </w:trPr>
        <w:tc>
          <w:tcPr>
            <w:tcBorders>
              <w:top w:val="single" w:color="000000" w:sz="0" w:space="0"/>
              <w:bottom w:val="single" w:color="000000" w:sz="0" w:space="0"/>
            </w:tcBorders>
          </w:tcPr>
          <w:p w14:paraId="2182A83E">
            <w:pPr>
              <w:spacing w:after="0" w:line="240" w:lineRule="auto"/>
            </w:pPr>
            <w:r>
              <w:t>Prophet</w:t>
            </w:r>
          </w:p>
        </w:tc>
        <w:tc>
          <w:tcPr>
            <w:tcBorders>
              <w:top w:val="single" w:color="000000" w:sz="0" w:space="0"/>
              <w:left w:val="single" w:color="000000" w:sz="0" w:space="0"/>
              <w:bottom w:val="single" w:color="000000" w:sz="0" w:space="0"/>
            </w:tcBorders>
          </w:tcPr>
          <w:p w14:paraId="036C1631">
            <w:pPr>
              <w:spacing w:after="0" w:line="240" w:lineRule="auto"/>
            </w:pPr>
            <w:r>
              <w:rPr>
                <w:rFonts w:ascii="Georgia" w:hAnsi="Georgia" w:eastAsia="Georgia" w:cs="Georgia"/>
              </w:rPr>
              <w:t>加性模型</w:t>
            </w:r>
          </w:p>
        </w:tc>
        <w:tc>
          <w:tcPr>
            <w:tcBorders>
              <w:top w:val="single" w:color="000000" w:sz="0" w:space="0"/>
              <w:left w:val="single" w:color="000000" w:sz="0" w:space="0"/>
              <w:bottom w:val="single" w:color="000000" w:sz="0" w:space="0"/>
            </w:tcBorders>
          </w:tcPr>
          <w:p w14:paraId="202E202C">
            <w:pPr>
              <w:spacing w:after="0" w:line="240" w:lineRule="auto"/>
            </w:pPr>
            <w:r>
              <w:t>-0.05</w:t>
            </w:r>
          </w:p>
        </w:tc>
        <w:tc>
          <w:tcPr>
            <w:tcBorders>
              <w:top w:val="single" w:color="000000" w:sz="0" w:space="0"/>
              <w:left w:val="single" w:color="000000" w:sz="0" w:space="0"/>
              <w:bottom w:val="single" w:color="000000" w:sz="0" w:space="0"/>
            </w:tcBorders>
          </w:tcPr>
          <w:p w14:paraId="4CEC10CF">
            <w:pPr>
              <w:spacing w:after="0" w:line="240" w:lineRule="auto"/>
            </w:pPr>
            <w:r>
              <w:t>-0.12</w:t>
            </w:r>
          </w:p>
        </w:tc>
        <w:tc>
          <w:tcPr>
            <w:tcBorders>
              <w:top w:val="single" w:color="000000" w:sz="0" w:space="0"/>
              <w:left w:val="single" w:color="000000" w:sz="0" w:space="0"/>
              <w:bottom w:val="single" w:color="000000" w:sz="0" w:space="0"/>
            </w:tcBorders>
          </w:tcPr>
          <w:p w14:paraId="5C9E578F">
            <w:pPr>
              <w:spacing w:after="0" w:line="240" w:lineRule="auto"/>
            </w:pPr>
            <w:r>
              <w:t>8.2</w:t>
            </w:r>
          </w:p>
        </w:tc>
        <w:tc>
          <w:tcPr>
            <w:tcBorders>
              <w:top w:val="single" w:color="000000" w:sz="0" w:space="0"/>
              <w:left w:val="single" w:color="000000" w:sz="0" w:space="0"/>
              <w:bottom w:val="single" w:color="000000" w:sz="0" w:space="0"/>
            </w:tcBorders>
          </w:tcPr>
          <w:p w14:paraId="73548615">
            <w:pPr>
              <w:spacing w:after="0" w:line="240" w:lineRule="auto"/>
            </w:pPr>
            <w:r>
              <w:t>10.9</w:t>
            </w:r>
          </w:p>
        </w:tc>
        <w:tc>
          <w:tcPr>
            <w:tcBorders>
              <w:top w:val="single" w:color="000000" w:sz="0" w:space="0"/>
              <w:left w:val="single" w:color="000000" w:sz="0" w:space="0"/>
              <w:bottom w:val="single" w:color="000000" w:sz="0" w:space="0"/>
            </w:tcBorders>
          </w:tcPr>
          <w:p w14:paraId="2F296B49">
            <w:pPr>
              <w:spacing w:after="0" w:line="240" w:lineRule="auto"/>
            </w:pPr>
            <w:r>
              <w:rPr>
                <w:rFonts w:ascii="Georgia" w:hAnsi="Georgia" w:eastAsia="Georgia" w:cs="Georgia"/>
              </w:rPr>
              <w:t>轻度劣于基线</w:t>
            </w:r>
          </w:p>
        </w:tc>
        <w:tc>
          <w:tcPr>
            <w:tcBorders>
              <w:top w:val="single" w:color="000000" w:sz="0" w:space="0"/>
              <w:left w:val="single" w:color="000000" w:sz="0" w:space="0"/>
              <w:bottom w:val="single" w:color="000000" w:sz="0" w:space="0"/>
            </w:tcBorders>
          </w:tcPr>
          <w:p w14:paraId="7AECE671">
            <w:pPr>
              <w:spacing w:after="0" w:line="240" w:lineRule="auto"/>
            </w:pPr>
            <w:r>
              <w:rPr>
                <w:rFonts w:ascii="Georgia" w:hAnsi="Georgia" w:eastAsia="Georgia" w:cs="Georgia"/>
              </w:rPr>
              <w:t>趋势/季节性无法拟合</w:t>
            </w:r>
          </w:p>
        </w:tc>
      </w:tr>
      <w:tr w14:paraId="11D3EB25">
        <w:trPr>
          <w:cantSplit/>
          <w:tblCellSpacing w:w="0" w:type="dxa"/>
          <w:jc w:val="center"/>
        </w:trPr>
        <w:tc>
          <w:tcPr>
            <w:tcBorders>
              <w:top w:val="single" w:color="000000" w:sz="0" w:space="0"/>
              <w:bottom w:val="single" w:color="000000" w:sz="0" w:space="0"/>
            </w:tcBorders>
          </w:tcPr>
          <w:p w14:paraId="61EF125E">
            <w:pPr>
              <w:spacing w:after="0" w:line="240" w:lineRule="auto"/>
            </w:pPr>
            <w:r>
              <w:t>LSTM</w:t>
            </w:r>
          </w:p>
        </w:tc>
        <w:tc>
          <w:tcPr>
            <w:tcBorders>
              <w:top w:val="single" w:color="000000" w:sz="0" w:space="0"/>
              <w:left w:val="single" w:color="000000" w:sz="0" w:space="0"/>
              <w:bottom w:val="single" w:color="000000" w:sz="0" w:space="0"/>
            </w:tcBorders>
          </w:tcPr>
          <w:p w14:paraId="219D171F">
            <w:pPr>
              <w:spacing w:after="0" w:line="240" w:lineRule="auto"/>
            </w:pPr>
            <w:r>
              <w:rPr>
                <w:rFonts w:ascii="Georgia" w:hAnsi="Georgia" w:eastAsia="Georgia" w:cs="Georgia"/>
              </w:rPr>
              <w:t>2层×64单元</w:t>
            </w:r>
          </w:p>
        </w:tc>
        <w:tc>
          <w:tcPr>
            <w:tcBorders>
              <w:top w:val="single" w:color="000000" w:sz="0" w:space="0"/>
              <w:left w:val="single" w:color="000000" w:sz="0" w:space="0"/>
              <w:bottom w:val="single" w:color="000000" w:sz="0" w:space="0"/>
            </w:tcBorders>
          </w:tcPr>
          <w:p w14:paraId="5B6DA2C3">
            <w:pPr>
              <w:spacing w:after="0" w:line="240" w:lineRule="auto"/>
            </w:pPr>
            <w:r>
              <w:t>-0.08</w:t>
            </w:r>
          </w:p>
        </w:tc>
        <w:tc>
          <w:tcPr>
            <w:tcBorders>
              <w:top w:val="single" w:color="000000" w:sz="0" w:space="0"/>
              <w:left w:val="single" w:color="000000" w:sz="0" w:space="0"/>
              <w:bottom w:val="single" w:color="000000" w:sz="0" w:space="0"/>
            </w:tcBorders>
          </w:tcPr>
          <w:p w14:paraId="175B4393">
            <w:pPr>
              <w:spacing w:after="0" w:line="240" w:lineRule="auto"/>
            </w:pPr>
            <w:r>
              <w:t>-0.10</w:t>
            </w:r>
          </w:p>
        </w:tc>
        <w:tc>
          <w:tcPr>
            <w:tcBorders>
              <w:top w:val="single" w:color="000000" w:sz="0" w:space="0"/>
              <w:left w:val="single" w:color="000000" w:sz="0" w:space="0"/>
              <w:bottom w:val="single" w:color="000000" w:sz="0" w:space="0"/>
            </w:tcBorders>
          </w:tcPr>
          <w:p w14:paraId="060EFF93">
            <w:pPr>
              <w:spacing w:after="0" w:line="240" w:lineRule="auto"/>
            </w:pPr>
            <w:r>
              <w:t>7.8</w:t>
            </w:r>
          </w:p>
        </w:tc>
        <w:tc>
          <w:tcPr>
            <w:tcBorders>
              <w:top w:val="single" w:color="000000" w:sz="0" w:space="0"/>
              <w:left w:val="single" w:color="000000" w:sz="0" w:space="0"/>
              <w:bottom w:val="single" w:color="000000" w:sz="0" w:space="0"/>
            </w:tcBorders>
          </w:tcPr>
          <w:p w14:paraId="253CF3A8">
            <w:pPr>
              <w:spacing w:after="0" w:line="240" w:lineRule="auto"/>
            </w:pPr>
            <w:r>
              <w:t>10.3</w:t>
            </w:r>
          </w:p>
        </w:tc>
        <w:tc>
          <w:tcPr>
            <w:tcBorders>
              <w:top w:val="single" w:color="000000" w:sz="0" w:space="0"/>
              <w:left w:val="single" w:color="000000" w:sz="0" w:space="0"/>
              <w:bottom w:val="single" w:color="000000" w:sz="0" w:space="0"/>
            </w:tcBorders>
          </w:tcPr>
          <w:p w14:paraId="5BA1D97C">
            <w:pPr>
              <w:spacing w:after="0" w:line="240" w:lineRule="auto"/>
            </w:pPr>
            <w:r>
              <w:rPr>
                <w:rFonts w:ascii="Georgia" w:hAnsi="Georgia" w:eastAsia="Georgia" w:cs="Georgia"/>
              </w:rPr>
              <w:t>接近基线</w:t>
            </w:r>
          </w:p>
        </w:tc>
        <w:tc>
          <w:tcPr>
            <w:tcBorders>
              <w:top w:val="single" w:color="000000" w:sz="0" w:space="0"/>
              <w:left w:val="single" w:color="000000" w:sz="0" w:space="0"/>
              <w:bottom w:val="single" w:color="000000" w:sz="0" w:space="0"/>
            </w:tcBorders>
          </w:tcPr>
          <w:p w14:paraId="23B95A7B">
            <w:pPr>
              <w:spacing w:after="0" w:line="240" w:lineRule="auto"/>
            </w:pPr>
            <w:r>
              <w:rPr>
                <w:rFonts w:ascii="Georgia" w:hAnsi="Georgia" w:eastAsia="Georgia" w:cs="Georgia"/>
              </w:rPr>
              <w:t>收敛于全局均值</w:t>
            </w:r>
          </w:p>
        </w:tc>
      </w:tr>
      <w:tr w14:paraId="78D41B20">
        <w:trPr>
          <w:cantSplit/>
          <w:tblCellSpacing w:w="0" w:type="dxa"/>
          <w:jc w:val="center"/>
        </w:trPr>
        <w:tc>
          <w:tcPr>
            <w:tcBorders>
              <w:top w:val="single" w:color="000000" w:sz="0" w:space="0"/>
              <w:bottom w:val="single" w:color="000000" w:sz="0" w:space="0"/>
            </w:tcBorders>
          </w:tcPr>
          <w:p w14:paraId="7FCAF1F5">
            <w:pPr>
              <w:spacing w:after="0" w:line="240" w:lineRule="auto"/>
            </w:pPr>
            <w:r>
              <w:rPr>
                <w:rFonts w:ascii="Georgia" w:hAnsi="Georgia" w:eastAsia="Georgia" w:cs="Georgia"/>
              </w:rPr>
              <w:t>LSTM+RF混合</w:t>
            </w:r>
          </w:p>
        </w:tc>
        <w:tc>
          <w:tcPr>
            <w:tcBorders>
              <w:top w:val="single" w:color="000000" w:sz="0" w:space="0"/>
              <w:left w:val="single" w:color="000000" w:sz="0" w:space="0"/>
              <w:bottom w:val="single" w:color="000000" w:sz="0" w:space="0"/>
            </w:tcBorders>
          </w:tcPr>
          <w:p w14:paraId="24B55B7A">
            <w:pPr>
              <w:spacing w:after="0" w:line="240" w:lineRule="auto"/>
            </w:pPr>
            <w:r>
              <w:rPr>
                <w:rFonts w:ascii="Georgia" w:hAnsi="Georgia" w:eastAsia="Georgia" w:cs="Georgia"/>
              </w:rPr>
              <w:t>LSTM特征+RF回归</w:t>
            </w:r>
          </w:p>
        </w:tc>
        <w:tc>
          <w:tcPr>
            <w:tcBorders>
              <w:top w:val="single" w:color="000000" w:sz="0" w:space="0"/>
              <w:left w:val="single" w:color="000000" w:sz="0" w:space="0"/>
              <w:bottom w:val="single" w:color="000000" w:sz="0" w:space="0"/>
            </w:tcBorders>
          </w:tcPr>
          <w:p w14:paraId="5F91D38D">
            <w:pPr>
              <w:spacing w:after="0" w:line="240" w:lineRule="auto"/>
            </w:pPr>
            <w:r>
              <w:t>-0.25</w:t>
            </w:r>
          </w:p>
        </w:tc>
        <w:tc>
          <w:tcPr>
            <w:tcBorders>
              <w:top w:val="single" w:color="000000" w:sz="0" w:space="0"/>
              <w:left w:val="single" w:color="000000" w:sz="0" w:space="0"/>
              <w:bottom w:val="single" w:color="000000" w:sz="0" w:space="0"/>
            </w:tcBorders>
          </w:tcPr>
          <w:p w14:paraId="1A615EDE">
            <w:pPr>
              <w:spacing w:after="0" w:line="240" w:lineRule="auto"/>
            </w:pPr>
            <w:r>
              <w:t>-0.30</w:t>
            </w:r>
          </w:p>
        </w:tc>
        <w:tc>
          <w:tcPr>
            <w:tcBorders>
              <w:top w:val="single" w:color="000000" w:sz="0" w:space="0"/>
              <w:left w:val="single" w:color="000000" w:sz="0" w:space="0"/>
              <w:bottom w:val="single" w:color="000000" w:sz="0" w:space="0"/>
            </w:tcBorders>
          </w:tcPr>
          <w:p w14:paraId="05B34B3E">
            <w:pPr>
              <w:spacing w:after="0" w:line="240" w:lineRule="auto"/>
            </w:pPr>
            <w:r>
              <w:t>9.2</w:t>
            </w:r>
          </w:p>
        </w:tc>
        <w:tc>
          <w:tcPr>
            <w:tcBorders>
              <w:top w:val="single" w:color="000000" w:sz="0" w:space="0"/>
              <w:left w:val="single" w:color="000000" w:sz="0" w:space="0"/>
              <w:bottom w:val="single" w:color="000000" w:sz="0" w:space="0"/>
            </w:tcBorders>
          </w:tcPr>
          <w:p w14:paraId="35640A5B">
            <w:pPr>
              <w:spacing w:after="0" w:line="240" w:lineRule="auto"/>
            </w:pPr>
            <w:r>
              <w:t>12.1</w:t>
            </w:r>
          </w:p>
        </w:tc>
        <w:tc>
          <w:tcPr>
            <w:tcBorders>
              <w:top w:val="single" w:color="000000" w:sz="0" w:space="0"/>
              <w:left w:val="single" w:color="000000" w:sz="0" w:space="0"/>
              <w:bottom w:val="single" w:color="000000" w:sz="0" w:space="0"/>
            </w:tcBorders>
          </w:tcPr>
          <w:p w14:paraId="2AE56537">
            <w:pPr>
              <w:spacing w:after="0" w:line="240" w:lineRule="auto"/>
            </w:pPr>
            <w:r>
              <w:rPr>
                <w:rFonts w:ascii="Georgia" w:hAnsi="Georgia" w:eastAsia="Georgia" w:cs="Georgia"/>
              </w:rPr>
              <w:t>严重劣于基线</w:t>
            </w:r>
          </w:p>
        </w:tc>
        <w:tc>
          <w:tcPr>
            <w:tcBorders>
              <w:top w:val="single" w:color="000000" w:sz="0" w:space="0"/>
              <w:left w:val="single" w:color="000000" w:sz="0" w:space="0"/>
              <w:bottom w:val="single" w:color="000000" w:sz="0" w:space="0"/>
            </w:tcBorders>
          </w:tcPr>
          <w:p w14:paraId="72870AD5">
            <w:pPr>
              <w:spacing w:after="0" w:line="240" w:lineRule="auto"/>
            </w:pPr>
            <w:r>
              <w:rPr>
                <w:rFonts w:ascii="Georgia" w:hAnsi="Georgia" w:eastAsia="Georgia" w:cs="Georgia"/>
              </w:rPr>
              <w:t>特征提取无效</w:t>
            </w:r>
          </w:p>
        </w:tc>
      </w:tr>
    </w:tbl>
    <w:p w14:paraId="7B7CA921">
      <w:pPr>
        <w:snapToGrid/>
        <w:spacing w:beforeAutospacing="0" w:after="0" w:afterAutospacing="0" w:line="400" w:lineRule="exact"/>
        <w:ind w:left="0" w:leftChars="0" w:right="0" w:rightChars="0" w:firstLine="480" w:firstLineChars="200"/>
        <w:jc w:val="both"/>
        <w:rPr>
          <w:rFonts w:ascii="Times New Roman" w:eastAsia="宋体"/>
          <w:sz w:val="24"/>
        </w:rPr>
      </w:pPr>
    </w:p>
    <w:p w14:paraId="1E7E6271">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从表18可以看出，所有时间序列方法的测试集R²值全部为负值。ARIMA的R²=-0.15，SARIMA的R²=-0.18，Prophet的R²=-0.12，LSTM的R²=-0.10，LSTM+RF混合的R²=-0.30。所有方法的RMSE均高于Naive基线（9.8 mg/L）。</w:t>
      </w:r>
    </w:p>
    <w:p w14:paraId="2FEF5431">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图17展示了LSTM模型在北京市COD预测任务上的性能分析。</w:t>
      </w:r>
    </w:p>
    <w:p w14:paraId="2B4249C3">
      <w:pPr>
        <w:snapToGrid/>
        <w:spacing w:beforeAutospacing="0" w:after="0" w:afterAutospacing="0" w:line="400" w:lineRule="exact"/>
        <w:ind w:left="0" w:leftChars="0" w:right="0" w:rightChars="0" w:firstLine="480" w:firstLineChars="200"/>
        <w:jc w:val="both"/>
        <w:rPr>
          <w:rFonts w:ascii="Times New Roman" w:eastAsia="宋体"/>
          <w:sz w:val="24"/>
        </w:rPr>
      </w:pPr>
    </w:p>
    <w:p w14:paraId="250C0EF1">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注，图24展示了LSTM模型（2层×64单元）在北京市COD预测任务上的性能表现。横轴为时间（2024年1-12月测试集），纵轴为COD浓度（mg/L）。蓝色实线为真实COD值，显示出大幅的波动特征，最低值约10 mg/L（1月和8月），最高值达到约40 mg/L（5月和11月），标准差约9.8 mg/L。红色虚线为LSTM模型的预测值，呈现出接近水平的直线，几乎收敛于全局均值（约20 mg/L），标准差仅约2.1 mg/L。这种"预测收敛于均值"的现象清晰证明了LSTM模型未能学习到任何有效的时间依赖模式，退化为简单的均值预测器。模型在极端事件（如5月的40 mg/L高峰）上预测误差较大，预测值仍停留在20 mg/L左右，误差高达20 mg/L（相对误差50%）。这种性能不佳的根本原因在于数据的零时间相关性（ACF(1)=0.03），使得LSTM无法从历史序列中提取有用信息。图中还标注了采样间隔的极度不规则性（CV=1.99），进一步解释了时间序列方法性能不佳的数据层面原因。</w:t>
      </w:r>
    </w:p>
    <w:p w14:paraId="2B5F562B">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85" w:name="bm_5_4_shap可解释性分析"/>
      <w:bookmarkStart w:id="86" w:name="_Toc356408115"/>
      <w:r>
        <w:rPr>
          <w:rFonts w:ascii="黑体" w:hAnsi="Georgia" w:eastAsia="黑体" w:cs="Georgia"/>
          <w:b w:val="0"/>
          <w:sz w:val="28"/>
        </w:rPr>
        <w:t>5.4 SHAP可解释性分析</w:t>
      </w:r>
      <w:bookmarkEnd w:id="85"/>
      <w:bookmarkEnd w:id="86"/>
    </w:p>
    <w:p w14:paraId="67129E12">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表19汇总了分类任务中前15个最重要特征的SHAP分析结果。</w:t>
      </w:r>
    </w:p>
    <w:p w14:paraId="36D3FC05">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表19 分类任务SHAP特征重要性排序（XGBoost模型，Top 15）</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206"/>
        <w:gridCol w:w="3031"/>
        <w:gridCol w:w="1422"/>
        <w:gridCol w:w="1071"/>
        <w:gridCol w:w="1432"/>
        <w:gridCol w:w="808"/>
      </w:tblGrid>
      <w:tr w14:paraId="5D9DBEAA">
        <w:trPr>
          <w:cantSplit/>
          <w:tblCellSpacing w:w="0" w:type="dxa"/>
          <w:jc w:val="center"/>
        </w:trPr>
        <w:tc>
          <w:tcPr>
            <w:tcBorders>
              <w:top w:val="single" w:color="000000" w:sz="0" w:space="0"/>
              <w:bottom w:val="single" w:color="000000" w:sz="0" w:space="0"/>
            </w:tcBorders>
          </w:tcPr>
          <w:p w14:paraId="555D6A0A">
            <w:pPr>
              <w:spacing w:after="0" w:line="240" w:lineRule="auto"/>
            </w:pPr>
            <w:r>
              <w:rPr>
                <w:rFonts w:ascii="Georgia" w:hAnsi="Georgia" w:eastAsia="Georgia" w:cs="Georgia"/>
              </w:rPr>
              <w:t>排名</w:t>
            </w:r>
          </w:p>
        </w:tc>
        <w:tc>
          <w:tcPr>
            <w:tcBorders>
              <w:top w:val="single" w:color="000000" w:sz="0" w:space="0"/>
              <w:left w:val="single" w:color="000000" w:sz="0" w:space="0"/>
              <w:bottom w:val="single" w:color="000000" w:sz="0" w:space="0"/>
            </w:tcBorders>
          </w:tcPr>
          <w:p w14:paraId="68395A7D">
            <w:pPr>
              <w:spacing w:after="0" w:line="240" w:lineRule="auto"/>
            </w:pPr>
            <w:r>
              <w:rPr>
                <w:rFonts w:ascii="Georgia" w:hAnsi="Georgia" w:eastAsia="Georgia" w:cs="Georgia"/>
              </w:rPr>
              <w:t>特征名称</w:t>
            </w:r>
          </w:p>
        </w:tc>
        <w:tc>
          <w:tcPr>
            <w:tcBorders>
              <w:top w:val="single" w:color="000000" w:sz="0" w:space="0"/>
              <w:left w:val="single" w:color="000000" w:sz="0" w:space="0"/>
              <w:bottom w:val="single" w:color="000000" w:sz="0" w:space="0"/>
            </w:tcBorders>
          </w:tcPr>
          <w:p w14:paraId="0BFB82EE">
            <w:pPr>
              <w:spacing w:after="0" w:line="240" w:lineRule="auto"/>
            </w:pPr>
            <w:r>
              <w:rPr>
                <w:rFonts w:ascii="Georgia" w:hAnsi="Georgia" w:eastAsia="Georgia" w:cs="Georgia"/>
              </w:rPr>
              <w:t>中文名称</w:t>
            </w:r>
          </w:p>
        </w:tc>
        <w:tc>
          <w:tcPr>
            <w:tcBorders>
              <w:top w:val="single" w:color="000000" w:sz="0" w:space="0"/>
              <w:left w:val="single" w:color="000000" w:sz="0" w:space="0"/>
              <w:bottom w:val="single" w:color="000000" w:sz="0" w:space="0"/>
            </w:tcBorders>
          </w:tcPr>
          <w:p w14:paraId="2E04911B">
            <w:pPr>
              <w:spacing w:after="0" w:line="240" w:lineRule="auto"/>
            </w:pPr>
            <w:r>
              <w:rPr>
                <w:rFonts w:ascii="Georgia" w:hAnsi="Georgia" w:eastAsia="Georgia" w:cs="Georgia"/>
              </w:rPr>
              <w:t>平均|SHAP|</w:t>
            </w:r>
          </w:p>
        </w:tc>
        <w:tc>
          <w:tcPr>
            <w:tcBorders>
              <w:top w:val="single" w:color="000000" w:sz="0" w:space="0"/>
              <w:left w:val="single" w:color="000000" w:sz="0" w:space="0"/>
              <w:bottom w:val="single" w:color="000000" w:sz="0" w:space="0"/>
            </w:tcBorders>
          </w:tcPr>
          <w:p w14:paraId="2E594C01">
            <w:pPr>
              <w:spacing w:after="0" w:line="240" w:lineRule="auto"/>
            </w:pPr>
            <w:r>
              <w:rPr>
                <w:rFonts w:ascii="Georgia" w:hAnsi="Georgia" w:eastAsia="Georgia" w:cs="Georgia"/>
              </w:rPr>
              <w:t>占比</w:t>
            </w:r>
          </w:p>
        </w:tc>
        <w:tc>
          <w:tcPr>
            <w:tcBorders>
              <w:top w:val="single" w:color="000000" w:sz="0" w:space="0"/>
              <w:left w:val="single" w:color="000000" w:sz="0" w:space="0"/>
              <w:bottom w:val="single" w:color="000000" w:sz="0" w:space="0"/>
            </w:tcBorders>
          </w:tcPr>
          <w:p w14:paraId="6FBAFE1C">
            <w:pPr>
              <w:spacing w:after="0" w:line="240" w:lineRule="auto"/>
            </w:pPr>
            <w:r>
              <w:rPr>
                <w:rFonts w:ascii="Georgia" w:hAnsi="Georgia" w:eastAsia="Georgia" w:cs="Georgia"/>
              </w:rPr>
              <w:t>物理/环境意义</w:t>
            </w:r>
          </w:p>
        </w:tc>
      </w:tr>
      <w:tr w14:paraId="63554199">
        <w:trPr>
          <w:cantSplit/>
          <w:tblCellSpacing w:w="0" w:type="dxa"/>
          <w:jc w:val="center"/>
        </w:trPr>
        <w:tc>
          <w:tcPr>
            <w:tcBorders>
              <w:top w:val="single" w:color="000000" w:sz="0" w:space="0"/>
              <w:bottom w:val="single" w:color="000000" w:sz="0" w:space="0"/>
            </w:tcBorders>
          </w:tcPr>
          <w:p w14:paraId="74487103">
            <w:pPr>
              <w:spacing w:after="0" w:line="240" w:lineRule="auto"/>
            </w:pPr>
            <w:r>
              <w:t>1</w:t>
            </w:r>
          </w:p>
        </w:tc>
        <w:tc>
          <w:tcPr>
            <w:tcBorders>
              <w:top w:val="single" w:color="000000" w:sz="0" w:space="0"/>
              <w:left w:val="single" w:color="000000" w:sz="0" w:space="0"/>
              <w:bottom w:val="single" w:color="000000" w:sz="0" w:space="0"/>
            </w:tcBorders>
          </w:tcPr>
          <w:p w14:paraId="24C9BCB8">
            <w:pPr>
              <w:spacing w:after="0" w:line="240" w:lineRule="auto"/>
            </w:pPr>
            <w:r>
              <w:rPr>
                <w:rFonts w:ascii="Georgia" w:hAnsi="Georgia" w:eastAsia="Georgia" w:cs="Georgia"/>
              </w:rPr>
              <w:t>COD_mg_L</w:t>
            </w:r>
          </w:p>
        </w:tc>
        <w:tc>
          <w:tcPr>
            <w:tcBorders>
              <w:top w:val="single" w:color="000000" w:sz="0" w:space="0"/>
              <w:left w:val="single" w:color="000000" w:sz="0" w:space="0"/>
              <w:bottom w:val="single" w:color="000000" w:sz="0" w:space="0"/>
            </w:tcBorders>
          </w:tcPr>
          <w:p w14:paraId="23891042">
            <w:pPr>
              <w:spacing w:after="0" w:line="240" w:lineRule="auto"/>
            </w:pPr>
            <w:r>
              <w:rPr>
                <w:rFonts w:ascii="Georgia" w:hAnsi="Georgia" w:eastAsia="Georgia" w:cs="Georgia"/>
              </w:rPr>
              <w:t>化学需氧量</w:t>
            </w:r>
          </w:p>
        </w:tc>
        <w:tc>
          <w:tcPr>
            <w:tcBorders>
              <w:top w:val="single" w:color="000000" w:sz="0" w:space="0"/>
              <w:left w:val="single" w:color="000000" w:sz="0" w:space="0"/>
              <w:bottom w:val="single" w:color="000000" w:sz="0" w:space="0"/>
            </w:tcBorders>
          </w:tcPr>
          <w:p w14:paraId="4E24DB8C">
            <w:pPr>
              <w:spacing w:after="0" w:line="240" w:lineRule="auto"/>
            </w:pPr>
            <w:r>
              <w:t>0.42</w:t>
            </w:r>
          </w:p>
        </w:tc>
        <w:tc>
          <w:tcPr>
            <w:tcBorders>
              <w:top w:val="single" w:color="000000" w:sz="0" w:space="0"/>
              <w:left w:val="single" w:color="000000" w:sz="0" w:space="0"/>
              <w:bottom w:val="single" w:color="000000" w:sz="0" w:space="0"/>
            </w:tcBorders>
          </w:tcPr>
          <w:p w14:paraId="645342B7">
            <w:pPr>
              <w:spacing w:after="0" w:line="240" w:lineRule="auto"/>
            </w:pPr>
            <w:r>
              <w:t>18.1%</w:t>
            </w:r>
          </w:p>
        </w:tc>
        <w:tc>
          <w:tcPr>
            <w:tcBorders>
              <w:top w:val="single" w:color="000000" w:sz="0" w:space="0"/>
              <w:left w:val="single" w:color="000000" w:sz="0" w:space="0"/>
              <w:bottom w:val="single" w:color="000000" w:sz="0" w:space="0"/>
            </w:tcBorders>
          </w:tcPr>
          <w:p w14:paraId="1A75CCC4">
            <w:pPr>
              <w:spacing w:after="0" w:line="240" w:lineRule="auto"/>
            </w:pPr>
            <w:r>
              <w:rPr>
                <w:rFonts w:ascii="Georgia" w:hAnsi="Georgia" w:eastAsia="Georgia" w:cs="Georgia"/>
              </w:rPr>
              <w:t>有机污染核心指标，反映水中可氧化物质总量</w:t>
            </w:r>
          </w:p>
        </w:tc>
      </w:tr>
      <w:tr w14:paraId="75253B9C">
        <w:trPr>
          <w:cantSplit/>
          <w:tblCellSpacing w:w="0" w:type="dxa"/>
          <w:jc w:val="center"/>
        </w:trPr>
        <w:tc>
          <w:tcPr>
            <w:tcBorders>
              <w:top w:val="single" w:color="000000" w:sz="0" w:space="0"/>
              <w:bottom w:val="single" w:color="000000" w:sz="0" w:space="0"/>
            </w:tcBorders>
          </w:tcPr>
          <w:p w14:paraId="20F85FD5">
            <w:pPr>
              <w:spacing w:after="0" w:line="240" w:lineRule="auto"/>
            </w:pPr>
            <w:r>
              <w:t>2</w:t>
            </w:r>
          </w:p>
        </w:tc>
        <w:tc>
          <w:tcPr>
            <w:tcBorders>
              <w:top w:val="single" w:color="000000" w:sz="0" w:space="0"/>
              <w:left w:val="single" w:color="000000" w:sz="0" w:space="0"/>
              <w:bottom w:val="single" w:color="000000" w:sz="0" w:space="0"/>
            </w:tcBorders>
          </w:tcPr>
          <w:p w14:paraId="6DAB97F6">
            <w:pPr>
              <w:spacing w:after="0" w:line="240" w:lineRule="auto"/>
            </w:pPr>
            <w:r>
              <w:rPr>
                <w:rFonts w:ascii="Georgia" w:hAnsi="Georgia" w:eastAsia="Georgia" w:cs="Georgia"/>
              </w:rPr>
              <w:t>Turbidity_NTU</w:t>
            </w:r>
          </w:p>
        </w:tc>
        <w:tc>
          <w:tcPr>
            <w:tcBorders>
              <w:top w:val="single" w:color="000000" w:sz="0" w:space="0"/>
              <w:left w:val="single" w:color="000000" w:sz="0" w:space="0"/>
              <w:bottom w:val="single" w:color="000000" w:sz="0" w:space="0"/>
            </w:tcBorders>
          </w:tcPr>
          <w:p w14:paraId="63514D71">
            <w:pPr>
              <w:spacing w:after="0" w:line="240" w:lineRule="auto"/>
            </w:pPr>
            <w:r>
              <w:rPr>
                <w:rFonts w:ascii="Georgia" w:hAnsi="Georgia" w:eastAsia="Georgia" w:cs="Georgia"/>
              </w:rPr>
              <w:t>浊度</w:t>
            </w:r>
          </w:p>
        </w:tc>
        <w:tc>
          <w:tcPr>
            <w:tcBorders>
              <w:top w:val="single" w:color="000000" w:sz="0" w:space="0"/>
              <w:left w:val="single" w:color="000000" w:sz="0" w:space="0"/>
              <w:bottom w:val="single" w:color="000000" w:sz="0" w:space="0"/>
            </w:tcBorders>
          </w:tcPr>
          <w:p w14:paraId="0EAB2FF8">
            <w:pPr>
              <w:spacing w:after="0" w:line="240" w:lineRule="auto"/>
            </w:pPr>
            <w:r>
              <w:t>0.31</w:t>
            </w:r>
          </w:p>
        </w:tc>
        <w:tc>
          <w:tcPr>
            <w:tcBorders>
              <w:top w:val="single" w:color="000000" w:sz="0" w:space="0"/>
              <w:left w:val="single" w:color="000000" w:sz="0" w:space="0"/>
              <w:bottom w:val="single" w:color="000000" w:sz="0" w:space="0"/>
            </w:tcBorders>
          </w:tcPr>
          <w:p w14:paraId="3CF62562">
            <w:pPr>
              <w:spacing w:after="0" w:line="240" w:lineRule="auto"/>
            </w:pPr>
            <w:r>
              <w:t>13.4%</w:t>
            </w:r>
          </w:p>
        </w:tc>
        <w:tc>
          <w:tcPr>
            <w:tcBorders>
              <w:top w:val="single" w:color="000000" w:sz="0" w:space="0"/>
              <w:left w:val="single" w:color="000000" w:sz="0" w:space="0"/>
              <w:bottom w:val="single" w:color="000000" w:sz="0" w:space="0"/>
            </w:tcBorders>
          </w:tcPr>
          <w:p w14:paraId="49FED3CB">
            <w:pPr>
              <w:spacing w:after="0" w:line="240" w:lineRule="auto"/>
            </w:pPr>
            <w:r>
              <w:rPr>
                <w:rFonts w:ascii="Georgia" w:hAnsi="Georgia" w:eastAsia="Georgia" w:cs="Georgia"/>
              </w:rPr>
              <w:t>悬浮物污染，影响水体透明度和光照穿透</w:t>
            </w:r>
          </w:p>
        </w:tc>
      </w:tr>
      <w:tr w14:paraId="628819C7">
        <w:trPr>
          <w:cantSplit/>
          <w:tblCellSpacing w:w="0" w:type="dxa"/>
          <w:jc w:val="center"/>
        </w:trPr>
        <w:tc>
          <w:tcPr>
            <w:tcBorders>
              <w:top w:val="single" w:color="000000" w:sz="0" w:space="0"/>
              <w:bottom w:val="single" w:color="000000" w:sz="0" w:space="0"/>
            </w:tcBorders>
          </w:tcPr>
          <w:p w14:paraId="34931E61">
            <w:pPr>
              <w:spacing w:after="0" w:line="240" w:lineRule="auto"/>
            </w:pPr>
            <w:r>
              <w:t>3</w:t>
            </w:r>
          </w:p>
        </w:tc>
        <w:tc>
          <w:tcPr>
            <w:tcBorders>
              <w:top w:val="single" w:color="000000" w:sz="0" w:space="0"/>
              <w:left w:val="single" w:color="000000" w:sz="0" w:space="0"/>
              <w:bottom w:val="single" w:color="000000" w:sz="0" w:space="0"/>
            </w:tcBorders>
          </w:tcPr>
          <w:p w14:paraId="569FD01A">
            <w:pPr>
              <w:spacing w:after="0" w:line="240" w:lineRule="auto"/>
            </w:pPr>
            <w:r>
              <w:t>Longitude</w:t>
            </w:r>
          </w:p>
        </w:tc>
        <w:tc>
          <w:tcPr>
            <w:tcBorders>
              <w:top w:val="single" w:color="000000" w:sz="0" w:space="0"/>
              <w:left w:val="single" w:color="000000" w:sz="0" w:space="0"/>
              <w:bottom w:val="single" w:color="000000" w:sz="0" w:space="0"/>
            </w:tcBorders>
          </w:tcPr>
          <w:p w14:paraId="45F86A76">
            <w:pPr>
              <w:spacing w:after="0" w:line="240" w:lineRule="auto"/>
            </w:pPr>
            <w:r>
              <w:rPr>
                <w:rFonts w:ascii="Georgia" w:hAnsi="Georgia" w:eastAsia="Georgia" w:cs="Georgia"/>
              </w:rPr>
              <w:t>经度</w:t>
            </w:r>
          </w:p>
        </w:tc>
        <w:tc>
          <w:tcPr>
            <w:tcBorders>
              <w:top w:val="single" w:color="000000" w:sz="0" w:space="0"/>
              <w:left w:val="single" w:color="000000" w:sz="0" w:space="0"/>
              <w:bottom w:val="single" w:color="000000" w:sz="0" w:space="0"/>
            </w:tcBorders>
          </w:tcPr>
          <w:p w14:paraId="6B7C0DAB">
            <w:pPr>
              <w:spacing w:after="0" w:line="240" w:lineRule="auto"/>
            </w:pPr>
            <w:r>
              <w:t>0.18</w:t>
            </w:r>
          </w:p>
        </w:tc>
        <w:tc>
          <w:tcPr>
            <w:tcBorders>
              <w:top w:val="single" w:color="000000" w:sz="0" w:space="0"/>
              <w:left w:val="single" w:color="000000" w:sz="0" w:space="0"/>
              <w:bottom w:val="single" w:color="000000" w:sz="0" w:space="0"/>
            </w:tcBorders>
          </w:tcPr>
          <w:p w14:paraId="69837FAE">
            <w:pPr>
              <w:spacing w:after="0" w:line="240" w:lineRule="auto"/>
            </w:pPr>
            <w:r>
              <w:t>7.8%</w:t>
            </w:r>
          </w:p>
        </w:tc>
        <w:tc>
          <w:tcPr>
            <w:tcBorders>
              <w:top w:val="single" w:color="000000" w:sz="0" w:space="0"/>
              <w:left w:val="single" w:color="000000" w:sz="0" w:space="0"/>
              <w:bottom w:val="single" w:color="000000" w:sz="0" w:space="0"/>
            </w:tcBorders>
          </w:tcPr>
          <w:p w14:paraId="3DB87ABC">
            <w:pPr>
              <w:spacing w:after="0" w:line="240" w:lineRule="auto"/>
            </w:pPr>
            <w:r>
              <w:rPr>
                <w:rFonts w:ascii="Georgia" w:hAnsi="Georgia" w:eastAsia="Georgia" w:cs="Georgia"/>
              </w:rPr>
              <w:t>东西部区域差异，反映经济发展和工业分布</w:t>
            </w:r>
          </w:p>
        </w:tc>
      </w:tr>
      <w:tr w14:paraId="7ED80976">
        <w:trPr>
          <w:cantSplit/>
          <w:tblCellSpacing w:w="0" w:type="dxa"/>
          <w:jc w:val="center"/>
        </w:trPr>
        <w:tc>
          <w:tcPr>
            <w:tcBorders>
              <w:top w:val="single" w:color="000000" w:sz="0" w:space="0"/>
              <w:bottom w:val="single" w:color="000000" w:sz="0" w:space="0"/>
            </w:tcBorders>
          </w:tcPr>
          <w:p w14:paraId="7E8D11D9">
            <w:pPr>
              <w:spacing w:after="0" w:line="240" w:lineRule="auto"/>
            </w:pPr>
            <w:r>
              <w:t>4</w:t>
            </w:r>
          </w:p>
        </w:tc>
        <w:tc>
          <w:tcPr>
            <w:tcBorders>
              <w:top w:val="single" w:color="000000" w:sz="0" w:space="0"/>
              <w:left w:val="single" w:color="000000" w:sz="0" w:space="0"/>
              <w:bottom w:val="single" w:color="000000" w:sz="0" w:space="0"/>
            </w:tcBorders>
          </w:tcPr>
          <w:p w14:paraId="28B6CC56">
            <w:pPr>
              <w:spacing w:after="0" w:line="240" w:lineRule="auto"/>
            </w:pPr>
            <w:r>
              <w:rPr>
                <w:rFonts w:ascii="Georgia" w:hAnsi="Georgia" w:eastAsia="Georgia" w:cs="Georgia"/>
              </w:rPr>
              <w:t>Dissolved_Oxygen_mg_L</w:t>
            </w:r>
          </w:p>
        </w:tc>
        <w:tc>
          <w:tcPr>
            <w:tcBorders>
              <w:top w:val="single" w:color="000000" w:sz="0" w:space="0"/>
              <w:left w:val="single" w:color="000000" w:sz="0" w:space="0"/>
              <w:bottom w:val="single" w:color="000000" w:sz="0" w:space="0"/>
            </w:tcBorders>
          </w:tcPr>
          <w:p w14:paraId="20EC7056">
            <w:pPr>
              <w:spacing w:after="0" w:line="240" w:lineRule="auto"/>
            </w:pPr>
            <w:r>
              <w:rPr>
                <w:rFonts w:ascii="Georgia" w:hAnsi="Georgia" w:eastAsia="Georgia" w:cs="Georgia"/>
              </w:rPr>
              <w:t>溶解氧</w:t>
            </w:r>
          </w:p>
        </w:tc>
        <w:tc>
          <w:tcPr>
            <w:tcBorders>
              <w:top w:val="single" w:color="000000" w:sz="0" w:space="0"/>
              <w:left w:val="single" w:color="000000" w:sz="0" w:space="0"/>
              <w:bottom w:val="single" w:color="000000" w:sz="0" w:space="0"/>
            </w:tcBorders>
          </w:tcPr>
          <w:p w14:paraId="1A3F319C">
            <w:pPr>
              <w:spacing w:after="0" w:line="240" w:lineRule="auto"/>
            </w:pPr>
            <w:r>
              <w:t>0.15</w:t>
            </w:r>
          </w:p>
        </w:tc>
        <w:tc>
          <w:tcPr>
            <w:tcBorders>
              <w:top w:val="single" w:color="000000" w:sz="0" w:space="0"/>
              <w:left w:val="single" w:color="000000" w:sz="0" w:space="0"/>
              <w:bottom w:val="single" w:color="000000" w:sz="0" w:space="0"/>
            </w:tcBorders>
          </w:tcPr>
          <w:p w14:paraId="19DE3ECB">
            <w:pPr>
              <w:spacing w:after="0" w:line="240" w:lineRule="auto"/>
            </w:pPr>
            <w:r>
              <w:t>6.5%</w:t>
            </w:r>
          </w:p>
        </w:tc>
        <w:tc>
          <w:tcPr>
            <w:tcBorders>
              <w:top w:val="single" w:color="000000" w:sz="0" w:space="0"/>
              <w:left w:val="single" w:color="000000" w:sz="0" w:space="0"/>
              <w:bottom w:val="single" w:color="000000" w:sz="0" w:space="0"/>
            </w:tcBorders>
          </w:tcPr>
          <w:p w14:paraId="25123C94">
            <w:pPr>
              <w:spacing w:after="0" w:line="240" w:lineRule="auto"/>
            </w:pPr>
            <w:r>
              <w:rPr>
                <w:rFonts w:ascii="Georgia" w:hAnsi="Georgia" w:eastAsia="Georgia" w:cs="Georgia"/>
              </w:rPr>
              <w:t>水体自净能力，污染导致DO下降</w:t>
            </w:r>
          </w:p>
        </w:tc>
      </w:tr>
      <w:tr w14:paraId="1EDF2014">
        <w:trPr>
          <w:cantSplit/>
          <w:tblCellSpacing w:w="0" w:type="dxa"/>
          <w:jc w:val="center"/>
        </w:trPr>
        <w:tc>
          <w:tcPr>
            <w:tcBorders>
              <w:top w:val="single" w:color="000000" w:sz="0" w:space="0"/>
              <w:bottom w:val="single" w:color="000000" w:sz="0" w:space="0"/>
            </w:tcBorders>
          </w:tcPr>
          <w:p w14:paraId="64B81ED3">
            <w:pPr>
              <w:spacing w:after="0" w:line="240" w:lineRule="auto"/>
            </w:pPr>
            <w:r>
              <w:t>5</w:t>
            </w:r>
          </w:p>
        </w:tc>
        <w:tc>
          <w:tcPr>
            <w:tcBorders>
              <w:top w:val="single" w:color="000000" w:sz="0" w:space="0"/>
              <w:left w:val="single" w:color="000000" w:sz="0" w:space="0"/>
              <w:bottom w:val="single" w:color="000000" w:sz="0" w:space="0"/>
            </w:tcBorders>
          </w:tcPr>
          <w:p w14:paraId="44DA7EC0">
            <w:pPr>
              <w:spacing w:after="0" w:line="240" w:lineRule="auto"/>
            </w:pPr>
            <w:r>
              <w:t>Latitude</w:t>
            </w:r>
          </w:p>
        </w:tc>
        <w:tc>
          <w:tcPr>
            <w:tcBorders>
              <w:top w:val="single" w:color="000000" w:sz="0" w:space="0"/>
              <w:left w:val="single" w:color="000000" w:sz="0" w:space="0"/>
              <w:bottom w:val="single" w:color="000000" w:sz="0" w:space="0"/>
            </w:tcBorders>
          </w:tcPr>
          <w:p w14:paraId="49AB8963">
            <w:pPr>
              <w:spacing w:after="0" w:line="240" w:lineRule="auto"/>
            </w:pPr>
            <w:r>
              <w:rPr>
                <w:rFonts w:ascii="Georgia" w:hAnsi="Georgia" w:eastAsia="Georgia" w:cs="Georgia"/>
              </w:rPr>
              <w:t>纬度</w:t>
            </w:r>
          </w:p>
        </w:tc>
        <w:tc>
          <w:tcPr>
            <w:tcBorders>
              <w:top w:val="single" w:color="000000" w:sz="0" w:space="0"/>
              <w:left w:val="single" w:color="000000" w:sz="0" w:space="0"/>
              <w:bottom w:val="single" w:color="000000" w:sz="0" w:space="0"/>
            </w:tcBorders>
          </w:tcPr>
          <w:p w14:paraId="50468434">
            <w:pPr>
              <w:spacing w:after="0" w:line="240" w:lineRule="auto"/>
            </w:pPr>
            <w:r>
              <w:t>0.12</w:t>
            </w:r>
          </w:p>
        </w:tc>
        <w:tc>
          <w:tcPr>
            <w:tcBorders>
              <w:top w:val="single" w:color="000000" w:sz="0" w:space="0"/>
              <w:left w:val="single" w:color="000000" w:sz="0" w:space="0"/>
              <w:bottom w:val="single" w:color="000000" w:sz="0" w:space="0"/>
            </w:tcBorders>
          </w:tcPr>
          <w:p w14:paraId="0A0E16AF">
            <w:pPr>
              <w:spacing w:after="0" w:line="240" w:lineRule="auto"/>
            </w:pPr>
            <w:r>
              <w:t>5.2%</w:t>
            </w:r>
          </w:p>
        </w:tc>
        <w:tc>
          <w:tcPr>
            <w:tcBorders>
              <w:top w:val="single" w:color="000000" w:sz="0" w:space="0"/>
              <w:left w:val="single" w:color="000000" w:sz="0" w:space="0"/>
              <w:bottom w:val="single" w:color="000000" w:sz="0" w:space="0"/>
            </w:tcBorders>
          </w:tcPr>
          <w:p w14:paraId="708D5BF1">
            <w:pPr>
              <w:spacing w:after="0" w:line="240" w:lineRule="auto"/>
            </w:pPr>
            <w:r>
              <w:rPr>
                <w:rFonts w:ascii="Georgia" w:hAnsi="Georgia" w:eastAsia="Georgia" w:cs="Georgia"/>
              </w:rPr>
              <w:t>南北气候差异，影响水温和生物活性</w:t>
            </w:r>
          </w:p>
        </w:tc>
      </w:tr>
      <w:tr w14:paraId="7287E330">
        <w:trPr>
          <w:cantSplit/>
          <w:tblCellSpacing w:w="0" w:type="dxa"/>
          <w:jc w:val="center"/>
        </w:trPr>
        <w:tc>
          <w:tcPr>
            <w:tcBorders>
              <w:top w:val="single" w:color="000000" w:sz="0" w:space="0"/>
              <w:bottom w:val="single" w:color="000000" w:sz="0" w:space="0"/>
            </w:tcBorders>
          </w:tcPr>
          <w:p w14:paraId="510D44AE">
            <w:pPr>
              <w:spacing w:after="0" w:line="240" w:lineRule="auto"/>
            </w:pPr>
            <w:r>
              <w:t>6</w:t>
            </w:r>
          </w:p>
        </w:tc>
        <w:tc>
          <w:tcPr>
            <w:tcBorders>
              <w:top w:val="single" w:color="000000" w:sz="0" w:space="0"/>
              <w:left w:val="single" w:color="000000" w:sz="0" w:space="0"/>
              <w:bottom w:val="single" w:color="000000" w:sz="0" w:space="0"/>
            </w:tcBorders>
          </w:tcPr>
          <w:p w14:paraId="53404179">
            <w:pPr>
              <w:spacing w:after="0" w:line="240" w:lineRule="auto"/>
            </w:pPr>
            <w:r>
              <w:rPr>
                <w:rFonts w:ascii="Georgia" w:hAnsi="Georgia" w:eastAsia="Georgia" w:cs="Georgia"/>
              </w:rPr>
              <w:t>Total_Nitrogen_mg_L</w:t>
            </w:r>
          </w:p>
        </w:tc>
        <w:tc>
          <w:tcPr>
            <w:tcBorders>
              <w:top w:val="single" w:color="000000" w:sz="0" w:space="0"/>
              <w:left w:val="single" w:color="000000" w:sz="0" w:space="0"/>
              <w:bottom w:val="single" w:color="000000" w:sz="0" w:space="0"/>
            </w:tcBorders>
          </w:tcPr>
          <w:p w14:paraId="16F5AE8F">
            <w:pPr>
              <w:spacing w:after="0" w:line="240" w:lineRule="auto"/>
            </w:pPr>
            <w:r>
              <w:rPr>
                <w:rFonts w:ascii="Georgia" w:hAnsi="Georgia" w:eastAsia="Georgia" w:cs="Georgia"/>
              </w:rPr>
              <w:t>总氮</w:t>
            </w:r>
          </w:p>
        </w:tc>
        <w:tc>
          <w:tcPr>
            <w:tcBorders>
              <w:top w:val="single" w:color="000000" w:sz="0" w:space="0"/>
              <w:left w:val="single" w:color="000000" w:sz="0" w:space="0"/>
              <w:bottom w:val="single" w:color="000000" w:sz="0" w:space="0"/>
            </w:tcBorders>
          </w:tcPr>
          <w:p w14:paraId="44B03485">
            <w:pPr>
              <w:spacing w:after="0" w:line="240" w:lineRule="auto"/>
            </w:pPr>
            <w:r>
              <w:t>0.10</w:t>
            </w:r>
          </w:p>
        </w:tc>
        <w:tc>
          <w:tcPr>
            <w:tcBorders>
              <w:top w:val="single" w:color="000000" w:sz="0" w:space="0"/>
              <w:left w:val="single" w:color="000000" w:sz="0" w:space="0"/>
              <w:bottom w:val="single" w:color="000000" w:sz="0" w:space="0"/>
            </w:tcBorders>
          </w:tcPr>
          <w:p w14:paraId="2449292D">
            <w:pPr>
              <w:spacing w:after="0" w:line="240" w:lineRule="auto"/>
            </w:pPr>
            <w:r>
              <w:t>4.3%</w:t>
            </w:r>
          </w:p>
        </w:tc>
        <w:tc>
          <w:tcPr>
            <w:tcBorders>
              <w:top w:val="single" w:color="000000" w:sz="0" w:space="0"/>
              <w:left w:val="single" w:color="000000" w:sz="0" w:space="0"/>
              <w:bottom w:val="single" w:color="000000" w:sz="0" w:space="0"/>
            </w:tcBorders>
          </w:tcPr>
          <w:p w14:paraId="326C3F36">
            <w:pPr>
              <w:spacing w:after="0" w:line="240" w:lineRule="auto"/>
            </w:pPr>
            <w:r>
              <w:rPr>
                <w:rFonts w:ascii="Georgia" w:hAnsi="Georgia" w:eastAsia="Georgia" w:cs="Georgia"/>
              </w:rPr>
              <w:t>富营养化指标，农业面源污染主要来源</w:t>
            </w:r>
          </w:p>
        </w:tc>
      </w:tr>
      <w:tr w14:paraId="7ECA47CB">
        <w:trPr>
          <w:cantSplit/>
          <w:tblCellSpacing w:w="0" w:type="dxa"/>
          <w:jc w:val="center"/>
        </w:trPr>
        <w:tc>
          <w:tcPr>
            <w:tcBorders>
              <w:top w:val="single" w:color="000000" w:sz="0" w:space="0"/>
              <w:bottom w:val="single" w:color="000000" w:sz="0" w:space="0"/>
            </w:tcBorders>
          </w:tcPr>
          <w:p w14:paraId="3700AB24">
            <w:pPr>
              <w:spacing w:after="0" w:line="240" w:lineRule="auto"/>
            </w:pPr>
            <w:r>
              <w:t>7</w:t>
            </w:r>
          </w:p>
        </w:tc>
        <w:tc>
          <w:tcPr>
            <w:tcBorders>
              <w:top w:val="single" w:color="000000" w:sz="0" w:space="0"/>
              <w:left w:val="single" w:color="000000" w:sz="0" w:space="0"/>
              <w:bottom w:val="single" w:color="000000" w:sz="0" w:space="0"/>
            </w:tcBorders>
          </w:tcPr>
          <w:p w14:paraId="1AE0C8AD">
            <w:pPr>
              <w:spacing w:after="0" w:line="240" w:lineRule="auto"/>
            </w:pPr>
            <w:r>
              <w:rPr>
                <w:rFonts w:ascii="Georgia" w:hAnsi="Georgia" w:eastAsia="Georgia" w:cs="Georgia"/>
              </w:rPr>
              <w:t>BOD_mg_L</w:t>
            </w:r>
          </w:p>
        </w:tc>
        <w:tc>
          <w:tcPr>
            <w:tcBorders>
              <w:top w:val="single" w:color="000000" w:sz="0" w:space="0"/>
              <w:left w:val="single" w:color="000000" w:sz="0" w:space="0"/>
              <w:bottom w:val="single" w:color="000000" w:sz="0" w:space="0"/>
            </w:tcBorders>
          </w:tcPr>
          <w:p w14:paraId="7FC87EE9">
            <w:pPr>
              <w:spacing w:after="0" w:line="240" w:lineRule="auto"/>
            </w:pPr>
            <w:r>
              <w:rPr>
                <w:rFonts w:ascii="Georgia" w:hAnsi="Georgia" w:eastAsia="Georgia" w:cs="Georgia"/>
              </w:rPr>
              <w:t>生化需氧量</w:t>
            </w:r>
          </w:p>
        </w:tc>
        <w:tc>
          <w:tcPr>
            <w:tcBorders>
              <w:top w:val="single" w:color="000000" w:sz="0" w:space="0"/>
              <w:left w:val="single" w:color="000000" w:sz="0" w:space="0"/>
              <w:bottom w:val="single" w:color="000000" w:sz="0" w:space="0"/>
            </w:tcBorders>
          </w:tcPr>
          <w:p w14:paraId="35A76A44">
            <w:pPr>
              <w:spacing w:after="0" w:line="240" w:lineRule="auto"/>
            </w:pPr>
            <w:r>
              <w:t>0.09</w:t>
            </w:r>
          </w:p>
        </w:tc>
        <w:tc>
          <w:tcPr>
            <w:tcBorders>
              <w:top w:val="single" w:color="000000" w:sz="0" w:space="0"/>
              <w:left w:val="single" w:color="000000" w:sz="0" w:space="0"/>
              <w:bottom w:val="single" w:color="000000" w:sz="0" w:space="0"/>
            </w:tcBorders>
          </w:tcPr>
          <w:p w14:paraId="6597A860">
            <w:pPr>
              <w:spacing w:after="0" w:line="240" w:lineRule="auto"/>
            </w:pPr>
            <w:r>
              <w:t>3.9%</w:t>
            </w:r>
          </w:p>
        </w:tc>
        <w:tc>
          <w:tcPr>
            <w:tcBorders>
              <w:top w:val="single" w:color="000000" w:sz="0" w:space="0"/>
              <w:left w:val="single" w:color="000000" w:sz="0" w:space="0"/>
              <w:bottom w:val="single" w:color="000000" w:sz="0" w:space="0"/>
            </w:tcBorders>
          </w:tcPr>
          <w:p w14:paraId="019EB590">
            <w:pPr>
              <w:spacing w:after="0" w:line="240" w:lineRule="auto"/>
            </w:pPr>
            <w:r>
              <w:rPr>
                <w:rFonts w:ascii="Georgia" w:hAnsi="Georgia" w:eastAsia="Georgia" w:cs="Georgia"/>
              </w:rPr>
              <w:t>生物可降解有机物，与COD高度相关</w:t>
            </w:r>
          </w:p>
        </w:tc>
      </w:tr>
      <w:tr w14:paraId="6EC44059">
        <w:trPr>
          <w:cantSplit/>
          <w:tblCellSpacing w:w="0" w:type="dxa"/>
          <w:jc w:val="center"/>
        </w:trPr>
        <w:tc>
          <w:tcPr>
            <w:tcBorders>
              <w:top w:val="single" w:color="000000" w:sz="0" w:space="0"/>
              <w:bottom w:val="single" w:color="000000" w:sz="0" w:space="0"/>
            </w:tcBorders>
          </w:tcPr>
          <w:p w14:paraId="5AD4B17A">
            <w:pPr>
              <w:spacing w:after="0" w:line="240" w:lineRule="auto"/>
            </w:pPr>
            <w:r>
              <w:t>8</w:t>
            </w:r>
          </w:p>
        </w:tc>
        <w:tc>
          <w:tcPr>
            <w:tcBorders>
              <w:top w:val="single" w:color="000000" w:sz="0" w:space="0"/>
              <w:left w:val="single" w:color="000000" w:sz="0" w:space="0"/>
              <w:bottom w:val="single" w:color="000000" w:sz="0" w:space="0"/>
            </w:tcBorders>
          </w:tcPr>
          <w:p w14:paraId="06C8E235">
            <w:pPr>
              <w:spacing w:after="0" w:line="240" w:lineRule="auto"/>
            </w:pPr>
            <w:r>
              <w:rPr>
                <w:rFonts w:ascii="Georgia" w:hAnsi="Georgia" w:eastAsia="Georgia" w:cs="Georgia"/>
              </w:rPr>
              <w:t>Ammonia_N_mg_L</w:t>
            </w:r>
          </w:p>
        </w:tc>
        <w:tc>
          <w:tcPr>
            <w:tcBorders>
              <w:top w:val="single" w:color="000000" w:sz="0" w:space="0"/>
              <w:left w:val="single" w:color="000000" w:sz="0" w:space="0"/>
              <w:bottom w:val="single" w:color="000000" w:sz="0" w:space="0"/>
            </w:tcBorders>
          </w:tcPr>
          <w:p w14:paraId="1100FE73">
            <w:pPr>
              <w:spacing w:after="0" w:line="240" w:lineRule="auto"/>
            </w:pPr>
            <w:r>
              <w:rPr>
                <w:rFonts w:ascii="Georgia" w:hAnsi="Georgia" w:eastAsia="Georgia" w:cs="Georgia"/>
              </w:rPr>
              <w:t>氨氮</w:t>
            </w:r>
          </w:p>
        </w:tc>
        <w:tc>
          <w:tcPr>
            <w:tcBorders>
              <w:top w:val="single" w:color="000000" w:sz="0" w:space="0"/>
              <w:left w:val="single" w:color="000000" w:sz="0" w:space="0"/>
              <w:bottom w:val="single" w:color="000000" w:sz="0" w:space="0"/>
            </w:tcBorders>
          </w:tcPr>
          <w:p w14:paraId="36AD8AAB">
            <w:pPr>
              <w:spacing w:after="0" w:line="240" w:lineRule="auto"/>
            </w:pPr>
            <w:r>
              <w:t>0.08</w:t>
            </w:r>
          </w:p>
        </w:tc>
        <w:tc>
          <w:tcPr>
            <w:tcBorders>
              <w:top w:val="single" w:color="000000" w:sz="0" w:space="0"/>
              <w:left w:val="single" w:color="000000" w:sz="0" w:space="0"/>
              <w:bottom w:val="single" w:color="000000" w:sz="0" w:space="0"/>
            </w:tcBorders>
          </w:tcPr>
          <w:p w14:paraId="06218754">
            <w:pPr>
              <w:spacing w:after="0" w:line="240" w:lineRule="auto"/>
            </w:pPr>
            <w:r>
              <w:t>3.5%</w:t>
            </w:r>
          </w:p>
        </w:tc>
        <w:tc>
          <w:tcPr>
            <w:tcBorders>
              <w:top w:val="single" w:color="000000" w:sz="0" w:space="0"/>
              <w:left w:val="single" w:color="000000" w:sz="0" w:space="0"/>
              <w:bottom w:val="single" w:color="000000" w:sz="0" w:space="0"/>
            </w:tcBorders>
          </w:tcPr>
          <w:p w14:paraId="04A7869C">
            <w:pPr>
              <w:spacing w:after="0" w:line="240" w:lineRule="auto"/>
            </w:pPr>
            <w:r>
              <w:rPr>
                <w:rFonts w:ascii="Georgia" w:hAnsi="Georgia" w:eastAsia="Georgia" w:cs="Georgia"/>
              </w:rPr>
              <w:t>氮污染形式之一，工业废水和生活污水指标</w:t>
            </w:r>
          </w:p>
        </w:tc>
      </w:tr>
      <w:tr w14:paraId="2055EA12">
        <w:trPr>
          <w:cantSplit/>
          <w:tblCellSpacing w:w="0" w:type="dxa"/>
          <w:jc w:val="center"/>
        </w:trPr>
        <w:tc>
          <w:tcPr>
            <w:tcBorders>
              <w:top w:val="single" w:color="000000" w:sz="0" w:space="0"/>
              <w:bottom w:val="single" w:color="000000" w:sz="0" w:space="0"/>
            </w:tcBorders>
          </w:tcPr>
          <w:p w14:paraId="1AEE466A">
            <w:pPr>
              <w:spacing w:after="0" w:line="240" w:lineRule="auto"/>
            </w:pPr>
            <w:r>
              <w:t>9</w:t>
            </w:r>
          </w:p>
        </w:tc>
        <w:tc>
          <w:tcPr>
            <w:tcBorders>
              <w:top w:val="single" w:color="000000" w:sz="0" w:space="0"/>
              <w:left w:val="single" w:color="000000" w:sz="0" w:space="0"/>
              <w:bottom w:val="single" w:color="000000" w:sz="0" w:space="0"/>
            </w:tcBorders>
          </w:tcPr>
          <w:p w14:paraId="111034B1">
            <w:pPr>
              <w:spacing w:after="0" w:line="240" w:lineRule="auto"/>
            </w:pPr>
            <w:r>
              <w:rPr>
                <w:rFonts w:ascii="Georgia" w:hAnsi="Georgia" w:eastAsia="Georgia" w:cs="Georgia"/>
              </w:rPr>
              <w:t>Total_Phosphorus_mg_L</w:t>
            </w:r>
          </w:p>
        </w:tc>
        <w:tc>
          <w:tcPr>
            <w:tcBorders>
              <w:top w:val="single" w:color="000000" w:sz="0" w:space="0"/>
              <w:left w:val="single" w:color="000000" w:sz="0" w:space="0"/>
              <w:bottom w:val="single" w:color="000000" w:sz="0" w:space="0"/>
            </w:tcBorders>
          </w:tcPr>
          <w:p w14:paraId="76896B58">
            <w:pPr>
              <w:spacing w:after="0" w:line="240" w:lineRule="auto"/>
            </w:pPr>
            <w:r>
              <w:rPr>
                <w:rFonts w:ascii="Georgia" w:hAnsi="Georgia" w:eastAsia="Georgia" w:cs="Georgia"/>
              </w:rPr>
              <w:t>总磷</w:t>
            </w:r>
          </w:p>
        </w:tc>
        <w:tc>
          <w:tcPr>
            <w:tcBorders>
              <w:top w:val="single" w:color="000000" w:sz="0" w:space="0"/>
              <w:left w:val="single" w:color="000000" w:sz="0" w:space="0"/>
              <w:bottom w:val="single" w:color="000000" w:sz="0" w:space="0"/>
            </w:tcBorders>
          </w:tcPr>
          <w:p w14:paraId="3710FA99">
            <w:pPr>
              <w:spacing w:after="0" w:line="240" w:lineRule="auto"/>
            </w:pPr>
            <w:r>
              <w:t>0.07</w:t>
            </w:r>
          </w:p>
        </w:tc>
        <w:tc>
          <w:tcPr>
            <w:tcBorders>
              <w:top w:val="single" w:color="000000" w:sz="0" w:space="0"/>
              <w:left w:val="single" w:color="000000" w:sz="0" w:space="0"/>
              <w:bottom w:val="single" w:color="000000" w:sz="0" w:space="0"/>
            </w:tcBorders>
          </w:tcPr>
          <w:p w14:paraId="56F00550">
            <w:pPr>
              <w:spacing w:after="0" w:line="240" w:lineRule="auto"/>
            </w:pPr>
            <w:r>
              <w:t>3.0%</w:t>
            </w:r>
          </w:p>
        </w:tc>
        <w:tc>
          <w:tcPr>
            <w:tcBorders>
              <w:top w:val="single" w:color="000000" w:sz="0" w:space="0"/>
              <w:left w:val="single" w:color="000000" w:sz="0" w:space="0"/>
              <w:bottom w:val="single" w:color="000000" w:sz="0" w:space="0"/>
            </w:tcBorders>
          </w:tcPr>
          <w:p w14:paraId="29D98C2C">
            <w:pPr>
              <w:spacing w:after="0" w:line="240" w:lineRule="auto"/>
            </w:pPr>
            <w:r>
              <w:rPr>
                <w:rFonts w:ascii="Georgia" w:hAnsi="Georgia" w:eastAsia="Georgia" w:cs="Georgia"/>
              </w:rPr>
              <w:t>富营养化指标，洗涤剂和农业径流来源</w:t>
            </w:r>
          </w:p>
        </w:tc>
      </w:tr>
      <w:tr w14:paraId="61E6DDE4">
        <w:trPr>
          <w:cantSplit/>
          <w:tblCellSpacing w:w="0" w:type="dxa"/>
          <w:jc w:val="center"/>
        </w:trPr>
        <w:tc>
          <w:tcPr>
            <w:tcBorders>
              <w:top w:val="single" w:color="000000" w:sz="0" w:space="0"/>
              <w:bottom w:val="single" w:color="000000" w:sz="0" w:space="0"/>
            </w:tcBorders>
          </w:tcPr>
          <w:p w14:paraId="2C83751D">
            <w:pPr>
              <w:spacing w:after="0" w:line="240" w:lineRule="auto"/>
            </w:pPr>
            <w:r>
              <w:t>10</w:t>
            </w:r>
          </w:p>
        </w:tc>
        <w:tc>
          <w:tcPr>
            <w:tcBorders>
              <w:top w:val="single" w:color="000000" w:sz="0" w:space="0"/>
              <w:left w:val="single" w:color="000000" w:sz="0" w:space="0"/>
              <w:bottom w:val="single" w:color="000000" w:sz="0" w:space="0"/>
            </w:tcBorders>
          </w:tcPr>
          <w:p w14:paraId="6608A7CB">
            <w:pPr>
              <w:spacing w:after="0" w:line="240" w:lineRule="auto"/>
            </w:pPr>
            <w:r>
              <w:rPr>
                <w:rFonts w:ascii="Georgia" w:hAnsi="Georgia" w:eastAsia="Georgia" w:cs="Georgia"/>
              </w:rPr>
              <w:t>Conductivity_uS_cm</w:t>
            </w:r>
          </w:p>
        </w:tc>
        <w:tc>
          <w:tcPr>
            <w:tcBorders>
              <w:top w:val="single" w:color="000000" w:sz="0" w:space="0"/>
              <w:left w:val="single" w:color="000000" w:sz="0" w:space="0"/>
              <w:bottom w:val="single" w:color="000000" w:sz="0" w:space="0"/>
            </w:tcBorders>
          </w:tcPr>
          <w:p w14:paraId="10D34706">
            <w:pPr>
              <w:spacing w:after="0" w:line="240" w:lineRule="auto"/>
            </w:pPr>
            <w:r>
              <w:rPr>
                <w:rFonts w:ascii="Georgia" w:hAnsi="Georgia" w:eastAsia="Georgia" w:cs="Georgia"/>
              </w:rPr>
              <w:t>电导率</w:t>
            </w:r>
          </w:p>
        </w:tc>
        <w:tc>
          <w:tcPr>
            <w:tcBorders>
              <w:top w:val="single" w:color="000000" w:sz="0" w:space="0"/>
              <w:left w:val="single" w:color="000000" w:sz="0" w:space="0"/>
              <w:bottom w:val="single" w:color="000000" w:sz="0" w:space="0"/>
            </w:tcBorders>
          </w:tcPr>
          <w:p w14:paraId="5977D340">
            <w:pPr>
              <w:spacing w:after="0" w:line="240" w:lineRule="auto"/>
            </w:pPr>
            <w:r>
              <w:t>0.06</w:t>
            </w:r>
          </w:p>
        </w:tc>
        <w:tc>
          <w:tcPr>
            <w:tcBorders>
              <w:top w:val="single" w:color="000000" w:sz="0" w:space="0"/>
              <w:left w:val="single" w:color="000000" w:sz="0" w:space="0"/>
              <w:bottom w:val="single" w:color="000000" w:sz="0" w:space="0"/>
            </w:tcBorders>
          </w:tcPr>
          <w:p w14:paraId="33F72EA8">
            <w:pPr>
              <w:spacing w:after="0" w:line="240" w:lineRule="auto"/>
            </w:pPr>
            <w:r>
              <w:t>2.6%</w:t>
            </w:r>
          </w:p>
        </w:tc>
        <w:tc>
          <w:tcPr>
            <w:tcBorders>
              <w:top w:val="single" w:color="000000" w:sz="0" w:space="0"/>
              <w:left w:val="single" w:color="000000" w:sz="0" w:space="0"/>
              <w:bottom w:val="single" w:color="000000" w:sz="0" w:space="0"/>
            </w:tcBorders>
          </w:tcPr>
          <w:p w14:paraId="5701B309">
            <w:pPr>
              <w:spacing w:after="0" w:line="240" w:lineRule="auto"/>
            </w:pPr>
            <w:r>
              <w:rPr>
                <w:rFonts w:ascii="Georgia" w:hAnsi="Georgia" w:eastAsia="Georgia" w:cs="Georgia"/>
              </w:rPr>
              <w:t>离子总量，反映溶解性盐类浓度</w:t>
            </w:r>
          </w:p>
        </w:tc>
      </w:tr>
      <w:tr w14:paraId="4F27D3E4">
        <w:trPr>
          <w:cantSplit/>
          <w:tblCellSpacing w:w="0" w:type="dxa"/>
          <w:jc w:val="center"/>
        </w:trPr>
        <w:tc>
          <w:tcPr>
            <w:tcBorders>
              <w:top w:val="single" w:color="000000" w:sz="0" w:space="0"/>
              <w:bottom w:val="single" w:color="000000" w:sz="0" w:space="0"/>
            </w:tcBorders>
          </w:tcPr>
          <w:p w14:paraId="10E8A1CE">
            <w:pPr>
              <w:spacing w:after="0" w:line="240" w:lineRule="auto"/>
            </w:pPr>
            <w:r>
              <w:t>11</w:t>
            </w:r>
          </w:p>
        </w:tc>
        <w:tc>
          <w:tcPr>
            <w:tcBorders>
              <w:top w:val="single" w:color="000000" w:sz="0" w:space="0"/>
              <w:left w:val="single" w:color="000000" w:sz="0" w:space="0"/>
              <w:bottom w:val="single" w:color="000000" w:sz="0" w:space="0"/>
            </w:tcBorders>
          </w:tcPr>
          <w:p w14:paraId="5688761B">
            <w:pPr>
              <w:spacing w:after="0" w:line="240" w:lineRule="auto"/>
            </w:pPr>
            <w:r>
              <w:t>pH</w:t>
            </w:r>
          </w:p>
        </w:tc>
        <w:tc>
          <w:tcPr>
            <w:tcBorders>
              <w:top w:val="single" w:color="000000" w:sz="0" w:space="0"/>
              <w:left w:val="single" w:color="000000" w:sz="0" w:space="0"/>
              <w:bottom w:val="single" w:color="000000" w:sz="0" w:space="0"/>
            </w:tcBorders>
          </w:tcPr>
          <w:p w14:paraId="09F7985B">
            <w:pPr>
              <w:spacing w:after="0" w:line="240" w:lineRule="auto"/>
            </w:pPr>
            <w:r>
              <w:rPr>
                <w:rFonts w:ascii="Georgia" w:hAnsi="Georgia" w:eastAsia="Georgia" w:cs="Georgia"/>
              </w:rPr>
              <w:t>pH值</w:t>
            </w:r>
          </w:p>
        </w:tc>
        <w:tc>
          <w:tcPr>
            <w:tcBorders>
              <w:top w:val="single" w:color="000000" w:sz="0" w:space="0"/>
              <w:left w:val="single" w:color="000000" w:sz="0" w:space="0"/>
              <w:bottom w:val="single" w:color="000000" w:sz="0" w:space="0"/>
            </w:tcBorders>
          </w:tcPr>
          <w:p w14:paraId="04CB0E87">
            <w:pPr>
              <w:spacing w:after="0" w:line="240" w:lineRule="auto"/>
            </w:pPr>
            <w:r>
              <w:t>0.05</w:t>
            </w:r>
          </w:p>
        </w:tc>
        <w:tc>
          <w:tcPr>
            <w:tcBorders>
              <w:top w:val="single" w:color="000000" w:sz="0" w:space="0"/>
              <w:left w:val="single" w:color="000000" w:sz="0" w:space="0"/>
              <w:bottom w:val="single" w:color="000000" w:sz="0" w:space="0"/>
            </w:tcBorders>
          </w:tcPr>
          <w:p w14:paraId="312BDAF7">
            <w:pPr>
              <w:spacing w:after="0" w:line="240" w:lineRule="auto"/>
            </w:pPr>
            <w:r>
              <w:t>2.2%</w:t>
            </w:r>
          </w:p>
        </w:tc>
        <w:tc>
          <w:tcPr>
            <w:tcBorders>
              <w:top w:val="single" w:color="000000" w:sz="0" w:space="0"/>
              <w:left w:val="single" w:color="000000" w:sz="0" w:space="0"/>
              <w:bottom w:val="single" w:color="000000" w:sz="0" w:space="0"/>
            </w:tcBorders>
          </w:tcPr>
          <w:p w14:paraId="636555C2">
            <w:pPr>
              <w:spacing w:after="0" w:line="240" w:lineRule="auto"/>
            </w:pPr>
            <w:r>
              <w:rPr>
                <w:rFonts w:ascii="Georgia" w:hAnsi="Georgia" w:eastAsia="Georgia" w:cs="Georgia"/>
              </w:rPr>
              <w:t>酸碱度，影响化学平衡和生物活性</w:t>
            </w:r>
          </w:p>
        </w:tc>
      </w:tr>
      <w:tr w14:paraId="7830C54A">
        <w:trPr>
          <w:cantSplit/>
          <w:tblCellSpacing w:w="0" w:type="dxa"/>
          <w:jc w:val="center"/>
        </w:trPr>
        <w:tc>
          <w:tcPr>
            <w:tcBorders>
              <w:top w:val="single" w:color="000000" w:sz="0" w:space="0"/>
              <w:bottom w:val="single" w:color="000000" w:sz="0" w:space="0"/>
            </w:tcBorders>
          </w:tcPr>
          <w:p w14:paraId="1DC565BA">
            <w:pPr>
              <w:spacing w:after="0" w:line="240" w:lineRule="auto"/>
            </w:pPr>
            <w:r>
              <w:t>12</w:t>
            </w:r>
          </w:p>
        </w:tc>
        <w:tc>
          <w:tcPr>
            <w:tcBorders>
              <w:top w:val="single" w:color="000000" w:sz="0" w:space="0"/>
              <w:left w:val="single" w:color="000000" w:sz="0" w:space="0"/>
              <w:bottom w:val="single" w:color="000000" w:sz="0" w:space="0"/>
            </w:tcBorders>
          </w:tcPr>
          <w:p w14:paraId="7C89ECBD">
            <w:pPr>
              <w:spacing w:after="0" w:line="240" w:lineRule="auto"/>
            </w:pPr>
            <w:r>
              <w:rPr>
                <w:rFonts w:ascii="Georgia" w:hAnsi="Georgia" w:eastAsia="Georgia" w:cs="Georgia"/>
              </w:rPr>
              <w:t>COD_BOD_Ratio</w:t>
            </w:r>
          </w:p>
        </w:tc>
        <w:tc>
          <w:tcPr>
            <w:tcBorders>
              <w:top w:val="single" w:color="000000" w:sz="0" w:space="0"/>
              <w:left w:val="single" w:color="000000" w:sz="0" w:space="0"/>
              <w:bottom w:val="single" w:color="000000" w:sz="0" w:space="0"/>
            </w:tcBorders>
          </w:tcPr>
          <w:p w14:paraId="22F14657">
            <w:pPr>
              <w:spacing w:after="0" w:line="240" w:lineRule="auto"/>
            </w:pPr>
            <w:r>
              <w:rPr>
                <w:rFonts w:ascii="Georgia" w:hAnsi="Georgia" w:eastAsia="Georgia" w:cs="Georgia"/>
              </w:rPr>
              <w:t>COD/BOD比</w:t>
            </w:r>
          </w:p>
        </w:tc>
        <w:tc>
          <w:tcPr>
            <w:tcBorders>
              <w:top w:val="single" w:color="000000" w:sz="0" w:space="0"/>
              <w:left w:val="single" w:color="000000" w:sz="0" w:space="0"/>
              <w:bottom w:val="single" w:color="000000" w:sz="0" w:space="0"/>
            </w:tcBorders>
          </w:tcPr>
          <w:p w14:paraId="334673ED">
            <w:pPr>
              <w:spacing w:after="0" w:line="240" w:lineRule="auto"/>
            </w:pPr>
            <w:r>
              <w:t>0.04</w:t>
            </w:r>
          </w:p>
        </w:tc>
        <w:tc>
          <w:tcPr>
            <w:tcBorders>
              <w:top w:val="single" w:color="000000" w:sz="0" w:space="0"/>
              <w:left w:val="single" w:color="000000" w:sz="0" w:space="0"/>
              <w:bottom w:val="single" w:color="000000" w:sz="0" w:space="0"/>
            </w:tcBorders>
          </w:tcPr>
          <w:p w14:paraId="35268374">
            <w:pPr>
              <w:spacing w:after="0" w:line="240" w:lineRule="auto"/>
            </w:pPr>
            <w:r>
              <w:t>1.7%</w:t>
            </w:r>
          </w:p>
        </w:tc>
        <w:tc>
          <w:tcPr>
            <w:tcBorders>
              <w:top w:val="single" w:color="000000" w:sz="0" w:space="0"/>
              <w:left w:val="single" w:color="000000" w:sz="0" w:space="0"/>
              <w:bottom w:val="single" w:color="000000" w:sz="0" w:space="0"/>
            </w:tcBorders>
          </w:tcPr>
          <w:p w14:paraId="648B54DE">
            <w:pPr>
              <w:spacing w:after="0" w:line="240" w:lineRule="auto"/>
            </w:pPr>
            <w:r>
              <w:rPr>
                <w:rFonts w:ascii="Georgia" w:hAnsi="Georgia" w:eastAsia="Georgia" w:cs="Georgia"/>
              </w:rPr>
              <w:t>难降解有机物占比，工程特征</w:t>
            </w:r>
          </w:p>
        </w:tc>
      </w:tr>
      <w:tr w14:paraId="6975231C">
        <w:trPr>
          <w:cantSplit/>
          <w:tblCellSpacing w:w="0" w:type="dxa"/>
          <w:jc w:val="center"/>
        </w:trPr>
        <w:tc>
          <w:tcPr>
            <w:tcBorders>
              <w:top w:val="single" w:color="000000" w:sz="0" w:space="0"/>
              <w:bottom w:val="single" w:color="000000" w:sz="0" w:space="0"/>
            </w:tcBorders>
          </w:tcPr>
          <w:p w14:paraId="61D9EA8E">
            <w:pPr>
              <w:spacing w:after="0" w:line="240" w:lineRule="auto"/>
            </w:pPr>
            <w:r>
              <w:t>13</w:t>
            </w:r>
          </w:p>
        </w:tc>
        <w:tc>
          <w:tcPr>
            <w:tcBorders>
              <w:top w:val="single" w:color="000000" w:sz="0" w:space="0"/>
              <w:left w:val="single" w:color="000000" w:sz="0" w:space="0"/>
              <w:bottom w:val="single" w:color="000000" w:sz="0" w:space="0"/>
            </w:tcBorders>
          </w:tcPr>
          <w:p w14:paraId="15FE007D">
            <w:pPr>
              <w:spacing w:after="0" w:line="240" w:lineRule="auto"/>
            </w:pPr>
            <w:r>
              <w:rPr>
                <w:rFonts w:ascii="Georgia" w:hAnsi="Georgia" w:eastAsia="Georgia" w:cs="Georgia"/>
              </w:rPr>
              <w:t>Total_Heavy_Metals_ug_L</w:t>
            </w:r>
          </w:p>
        </w:tc>
        <w:tc>
          <w:tcPr>
            <w:tcBorders>
              <w:top w:val="single" w:color="000000" w:sz="0" w:space="0"/>
              <w:left w:val="single" w:color="000000" w:sz="0" w:space="0"/>
              <w:bottom w:val="single" w:color="000000" w:sz="0" w:space="0"/>
            </w:tcBorders>
          </w:tcPr>
          <w:p w14:paraId="7C1728F7">
            <w:pPr>
              <w:spacing w:after="0" w:line="240" w:lineRule="auto"/>
            </w:pPr>
            <w:r>
              <w:rPr>
                <w:rFonts w:ascii="Georgia" w:hAnsi="Georgia" w:eastAsia="Georgia" w:cs="Georgia"/>
              </w:rPr>
              <w:t>总重金属</w:t>
            </w:r>
          </w:p>
        </w:tc>
        <w:tc>
          <w:tcPr>
            <w:tcBorders>
              <w:top w:val="single" w:color="000000" w:sz="0" w:space="0"/>
              <w:left w:val="single" w:color="000000" w:sz="0" w:space="0"/>
              <w:bottom w:val="single" w:color="000000" w:sz="0" w:space="0"/>
            </w:tcBorders>
          </w:tcPr>
          <w:p w14:paraId="201E2775">
            <w:pPr>
              <w:spacing w:after="0" w:line="240" w:lineRule="auto"/>
            </w:pPr>
            <w:r>
              <w:t>0.04</w:t>
            </w:r>
          </w:p>
        </w:tc>
        <w:tc>
          <w:tcPr>
            <w:tcBorders>
              <w:top w:val="single" w:color="000000" w:sz="0" w:space="0"/>
              <w:left w:val="single" w:color="000000" w:sz="0" w:space="0"/>
              <w:bottom w:val="single" w:color="000000" w:sz="0" w:space="0"/>
            </w:tcBorders>
          </w:tcPr>
          <w:p w14:paraId="1B1AC2D1">
            <w:pPr>
              <w:spacing w:after="0" w:line="240" w:lineRule="auto"/>
            </w:pPr>
            <w:r>
              <w:t>1.7%</w:t>
            </w:r>
          </w:p>
        </w:tc>
        <w:tc>
          <w:tcPr>
            <w:tcBorders>
              <w:top w:val="single" w:color="000000" w:sz="0" w:space="0"/>
              <w:left w:val="single" w:color="000000" w:sz="0" w:space="0"/>
              <w:bottom w:val="single" w:color="000000" w:sz="0" w:space="0"/>
            </w:tcBorders>
          </w:tcPr>
          <w:p w14:paraId="2C8599C5">
            <w:pPr>
              <w:spacing w:after="0" w:line="240" w:lineRule="auto"/>
            </w:pPr>
            <w:r>
              <w:rPr>
                <w:rFonts w:ascii="Georgia" w:hAnsi="Georgia" w:eastAsia="Georgia" w:cs="Georgia"/>
              </w:rPr>
              <w:t>重金属综合污染，工程特征</w:t>
            </w:r>
          </w:p>
        </w:tc>
      </w:tr>
      <w:tr w14:paraId="64B0EB69">
        <w:trPr>
          <w:cantSplit/>
          <w:tblCellSpacing w:w="0" w:type="dxa"/>
          <w:jc w:val="center"/>
        </w:trPr>
        <w:tc>
          <w:tcPr>
            <w:tcBorders>
              <w:top w:val="single" w:color="000000" w:sz="0" w:space="0"/>
              <w:bottom w:val="single" w:color="000000" w:sz="0" w:space="0"/>
            </w:tcBorders>
          </w:tcPr>
          <w:p w14:paraId="7953E01A">
            <w:pPr>
              <w:spacing w:after="0" w:line="240" w:lineRule="auto"/>
            </w:pPr>
            <w:r>
              <w:t>14</w:t>
            </w:r>
          </w:p>
        </w:tc>
        <w:tc>
          <w:tcPr>
            <w:tcBorders>
              <w:top w:val="single" w:color="000000" w:sz="0" w:space="0"/>
              <w:left w:val="single" w:color="000000" w:sz="0" w:space="0"/>
              <w:bottom w:val="single" w:color="000000" w:sz="0" w:space="0"/>
            </w:tcBorders>
          </w:tcPr>
          <w:p w14:paraId="4113C57B">
            <w:pPr>
              <w:spacing w:after="0" w:line="240" w:lineRule="auto"/>
            </w:pPr>
            <w:r>
              <w:rPr>
                <w:rFonts w:ascii="Georgia" w:hAnsi="Georgia" w:eastAsia="Georgia" w:cs="Georgia"/>
              </w:rPr>
              <w:t>Lead_Pb_ug_L</w:t>
            </w:r>
          </w:p>
        </w:tc>
        <w:tc>
          <w:tcPr>
            <w:tcBorders>
              <w:top w:val="single" w:color="000000" w:sz="0" w:space="0"/>
              <w:left w:val="single" w:color="000000" w:sz="0" w:space="0"/>
              <w:bottom w:val="single" w:color="000000" w:sz="0" w:space="0"/>
            </w:tcBorders>
          </w:tcPr>
          <w:p w14:paraId="2B7CCFE4">
            <w:pPr>
              <w:spacing w:after="0" w:line="240" w:lineRule="auto"/>
            </w:pPr>
            <w:r>
              <w:rPr>
                <w:rFonts w:ascii="Georgia" w:hAnsi="Georgia" w:eastAsia="Georgia" w:cs="Georgia"/>
              </w:rPr>
              <w:t>铅</w:t>
            </w:r>
          </w:p>
        </w:tc>
        <w:tc>
          <w:tcPr>
            <w:tcBorders>
              <w:top w:val="single" w:color="000000" w:sz="0" w:space="0"/>
              <w:left w:val="single" w:color="000000" w:sz="0" w:space="0"/>
              <w:bottom w:val="single" w:color="000000" w:sz="0" w:space="0"/>
            </w:tcBorders>
          </w:tcPr>
          <w:p w14:paraId="0C099F24">
            <w:pPr>
              <w:spacing w:after="0" w:line="240" w:lineRule="auto"/>
            </w:pPr>
            <w:r>
              <w:t>0.03</w:t>
            </w:r>
          </w:p>
        </w:tc>
        <w:tc>
          <w:tcPr>
            <w:tcBorders>
              <w:top w:val="single" w:color="000000" w:sz="0" w:space="0"/>
              <w:left w:val="single" w:color="000000" w:sz="0" w:space="0"/>
              <w:bottom w:val="single" w:color="000000" w:sz="0" w:space="0"/>
            </w:tcBorders>
          </w:tcPr>
          <w:p w14:paraId="38CAC6E5">
            <w:pPr>
              <w:spacing w:after="0" w:line="240" w:lineRule="auto"/>
            </w:pPr>
            <w:r>
              <w:t>1.3%</w:t>
            </w:r>
          </w:p>
        </w:tc>
        <w:tc>
          <w:tcPr>
            <w:tcBorders>
              <w:top w:val="single" w:color="000000" w:sz="0" w:space="0"/>
              <w:left w:val="single" w:color="000000" w:sz="0" w:space="0"/>
              <w:bottom w:val="single" w:color="000000" w:sz="0" w:space="0"/>
            </w:tcBorders>
          </w:tcPr>
          <w:p w14:paraId="15E3BCA6">
            <w:pPr>
              <w:spacing w:after="0" w:line="240" w:lineRule="auto"/>
            </w:pPr>
            <w:r>
              <w:rPr>
                <w:rFonts w:ascii="Georgia" w:hAnsi="Georgia" w:eastAsia="Georgia" w:cs="Georgia"/>
              </w:rPr>
              <w:t>重金属污染，工业排放和交通污染</w:t>
            </w:r>
          </w:p>
        </w:tc>
      </w:tr>
      <w:tr w14:paraId="7F254D8F">
        <w:trPr>
          <w:cantSplit/>
          <w:tblCellSpacing w:w="0" w:type="dxa"/>
          <w:jc w:val="center"/>
        </w:trPr>
        <w:tc>
          <w:tcPr>
            <w:tcBorders>
              <w:top w:val="single" w:color="000000" w:sz="0" w:space="0"/>
              <w:bottom w:val="single" w:color="000000" w:sz="0" w:space="0"/>
            </w:tcBorders>
          </w:tcPr>
          <w:p w14:paraId="433E8DD1">
            <w:pPr>
              <w:spacing w:after="0" w:line="240" w:lineRule="auto"/>
            </w:pPr>
            <w:r>
              <w:t>15</w:t>
            </w:r>
          </w:p>
        </w:tc>
        <w:tc>
          <w:tcPr>
            <w:tcBorders>
              <w:top w:val="single" w:color="000000" w:sz="0" w:space="0"/>
              <w:left w:val="single" w:color="000000" w:sz="0" w:space="0"/>
              <w:bottom w:val="single" w:color="000000" w:sz="0" w:space="0"/>
            </w:tcBorders>
          </w:tcPr>
          <w:p w14:paraId="1970E80C">
            <w:pPr>
              <w:spacing w:after="0" w:line="240" w:lineRule="auto"/>
            </w:pPr>
            <w:r>
              <w:rPr>
                <w:rFonts w:ascii="Georgia" w:hAnsi="Georgia" w:eastAsia="Georgia" w:cs="Georgia"/>
              </w:rPr>
              <w:t>Water_Temperature_C</w:t>
            </w:r>
          </w:p>
        </w:tc>
        <w:tc>
          <w:tcPr>
            <w:tcBorders>
              <w:top w:val="single" w:color="000000" w:sz="0" w:space="0"/>
              <w:left w:val="single" w:color="000000" w:sz="0" w:space="0"/>
              <w:bottom w:val="single" w:color="000000" w:sz="0" w:space="0"/>
            </w:tcBorders>
          </w:tcPr>
          <w:p w14:paraId="00093666">
            <w:pPr>
              <w:spacing w:after="0" w:line="240" w:lineRule="auto"/>
            </w:pPr>
            <w:r>
              <w:rPr>
                <w:rFonts w:ascii="Georgia" w:hAnsi="Georgia" w:eastAsia="Georgia" w:cs="Georgia"/>
              </w:rPr>
              <w:t>水温</w:t>
            </w:r>
          </w:p>
        </w:tc>
        <w:tc>
          <w:tcPr>
            <w:tcBorders>
              <w:top w:val="single" w:color="000000" w:sz="0" w:space="0"/>
              <w:left w:val="single" w:color="000000" w:sz="0" w:space="0"/>
              <w:bottom w:val="single" w:color="000000" w:sz="0" w:space="0"/>
            </w:tcBorders>
          </w:tcPr>
          <w:p w14:paraId="41EC22FE">
            <w:pPr>
              <w:spacing w:after="0" w:line="240" w:lineRule="auto"/>
            </w:pPr>
            <w:r>
              <w:t>0.03</w:t>
            </w:r>
          </w:p>
        </w:tc>
        <w:tc>
          <w:tcPr>
            <w:tcBorders>
              <w:top w:val="single" w:color="000000" w:sz="0" w:space="0"/>
              <w:left w:val="single" w:color="000000" w:sz="0" w:space="0"/>
              <w:bottom w:val="single" w:color="000000" w:sz="0" w:space="0"/>
            </w:tcBorders>
          </w:tcPr>
          <w:p w14:paraId="72F76AE1">
            <w:pPr>
              <w:spacing w:after="0" w:line="240" w:lineRule="auto"/>
            </w:pPr>
            <w:r>
              <w:t>1.3%</w:t>
            </w:r>
          </w:p>
        </w:tc>
        <w:tc>
          <w:tcPr>
            <w:tcBorders>
              <w:top w:val="single" w:color="000000" w:sz="0" w:space="0"/>
              <w:left w:val="single" w:color="000000" w:sz="0" w:space="0"/>
              <w:bottom w:val="single" w:color="000000" w:sz="0" w:space="0"/>
            </w:tcBorders>
          </w:tcPr>
          <w:p w14:paraId="68F8F34D">
            <w:pPr>
              <w:spacing w:after="0" w:line="240" w:lineRule="auto"/>
            </w:pPr>
            <w:r>
              <w:rPr>
                <w:rFonts w:ascii="Georgia" w:hAnsi="Georgia" w:eastAsia="Georgia" w:cs="Georgia"/>
              </w:rPr>
              <w:t>影响生物活性和溶解氧</w:t>
            </w:r>
          </w:p>
        </w:tc>
      </w:tr>
      <w:tr w14:paraId="5B0669C4">
        <w:trPr>
          <w:cantSplit/>
          <w:tblCellSpacing w:w="0" w:type="dxa"/>
          <w:jc w:val="center"/>
        </w:trPr>
        <w:tc>
          <w:tcPr>
            <w:tcBorders>
              <w:top w:val="single" w:color="000000" w:sz="0" w:space="0"/>
              <w:bottom w:val="single" w:color="000000" w:sz="0" w:space="0"/>
            </w:tcBorders>
          </w:tcPr>
          <w:p w14:paraId="5FDE1D1B">
            <w:pPr>
              <w:spacing w:after="0" w:line="240" w:lineRule="auto"/>
            </w:pPr>
            <w:r>
              <w:rPr>
                <w:rFonts w:ascii="Georgia" w:hAnsi="Georgia" w:eastAsia="Georgia" w:cs="Georgia"/>
              </w:rPr>
              <w:t>—</w:t>
            </w:r>
          </w:p>
        </w:tc>
        <w:tc>
          <w:tcPr>
            <w:tcBorders>
              <w:top w:val="single" w:color="000000" w:sz="0" w:space="0"/>
              <w:left w:val="single" w:color="000000" w:sz="0" w:space="0"/>
              <w:bottom w:val="single" w:color="000000" w:sz="0" w:space="0"/>
            </w:tcBorders>
          </w:tcPr>
          <w:p w14:paraId="54E2FC62">
            <w:pPr>
              <w:spacing w:after="0" w:line="240" w:lineRule="auto"/>
            </w:pPr>
            <w:r>
              <w:rPr>
                <w:b/>
              </w:rPr>
              <w:t>Top 15总计</w:t>
            </w:r>
          </w:p>
        </w:tc>
        <w:tc>
          <w:tcPr>
            <w:tcBorders>
              <w:top w:val="single" w:color="000000" w:sz="0" w:space="0"/>
              <w:left w:val="single" w:color="000000" w:sz="0" w:space="0"/>
              <w:bottom w:val="single" w:color="000000" w:sz="0" w:space="0"/>
            </w:tcBorders>
          </w:tcPr>
          <w:p w14:paraId="6597050B">
            <w:pPr>
              <w:spacing w:after="0" w:line="240" w:lineRule="auto"/>
            </w:pPr>
            <w:r>
              <w:rPr>
                <w:rFonts w:ascii="Georgia" w:hAnsi="Georgia" w:eastAsia="Georgia" w:cs="Georgia"/>
              </w:rPr>
              <w:t>—</w:t>
            </w:r>
          </w:p>
        </w:tc>
        <w:tc>
          <w:tcPr>
            <w:tcBorders>
              <w:top w:val="single" w:color="000000" w:sz="0" w:space="0"/>
              <w:left w:val="single" w:color="000000" w:sz="0" w:space="0"/>
              <w:bottom w:val="single" w:color="000000" w:sz="0" w:space="0"/>
            </w:tcBorders>
          </w:tcPr>
          <w:p w14:paraId="11387A2C">
            <w:pPr>
              <w:spacing w:after="0" w:line="240" w:lineRule="auto"/>
            </w:pPr>
            <w:r>
              <w:rPr>
                <w:b/>
              </w:rPr>
              <w:t>1.87</w:t>
            </w:r>
          </w:p>
        </w:tc>
        <w:tc>
          <w:tcPr>
            <w:tcBorders>
              <w:top w:val="single" w:color="000000" w:sz="0" w:space="0"/>
              <w:left w:val="single" w:color="000000" w:sz="0" w:space="0"/>
              <w:bottom w:val="single" w:color="000000" w:sz="0" w:space="0"/>
            </w:tcBorders>
          </w:tcPr>
          <w:p w14:paraId="065767B7">
            <w:pPr>
              <w:spacing w:after="0" w:line="240" w:lineRule="auto"/>
            </w:pPr>
            <w:r>
              <w:rPr>
                <w:b/>
              </w:rPr>
              <w:t>80.5%</w:t>
            </w:r>
          </w:p>
        </w:tc>
        <w:tc>
          <w:tcPr>
            <w:tcBorders>
              <w:top w:val="single" w:color="000000" w:sz="0" w:space="0"/>
              <w:left w:val="single" w:color="000000" w:sz="0" w:space="0"/>
              <w:bottom w:val="single" w:color="000000" w:sz="0" w:space="0"/>
            </w:tcBorders>
          </w:tcPr>
          <w:p w14:paraId="47CB0307">
            <w:pPr>
              <w:spacing w:after="0" w:line="240" w:lineRule="auto"/>
            </w:pPr>
            <w:r>
              <w:rPr>
                <w:rFonts w:ascii="Georgia" w:hAnsi="Georgia" w:eastAsia="Georgia" w:cs="Georgia"/>
              </w:rPr>
              <w:t>—</w:t>
            </w:r>
          </w:p>
        </w:tc>
      </w:tr>
      <w:tr w14:paraId="4A2BBBE6">
        <w:trPr>
          <w:cantSplit/>
          <w:tblCellSpacing w:w="0" w:type="dxa"/>
          <w:jc w:val="center"/>
        </w:trPr>
        <w:tc>
          <w:tcPr>
            <w:tcBorders>
              <w:top w:val="single" w:color="000000" w:sz="0" w:space="0"/>
              <w:bottom w:val="single" w:color="000000" w:sz="0" w:space="0"/>
            </w:tcBorders>
          </w:tcPr>
          <w:p w14:paraId="16DEA31C">
            <w:pPr>
              <w:spacing w:after="0" w:line="240" w:lineRule="auto"/>
            </w:pPr>
            <w:r>
              <w:rPr>
                <w:rFonts w:ascii="Georgia" w:hAnsi="Georgia" w:eastAsia="Georgia" w:cs="Georgia"/>
              </w:rPr>
              <w:t>—</w:t>
            </w:r>
          </w:p>
        </w:tc>
        <w:tc>
          <w:tcPr>
            <w:tcBorders>
              <w:top w:val="single" w:color="000000" w:sz="0" w:space="0"/>
              <w:left w:val="single" w:color="000000" w:sz="0" w:space="0"/>
              <w:bottom w:val="single" w:color="000000" w:sz="0" w:space="0"/>
            </w:tcBorders>
          </w:tcPr>
          <w:p w14:paraId="79932B9F">
            <w:pPr>
              <w:spacing w:after="0" w:line="240" w:lineRule="auto"/>
            </w:pPr>
            <w:r>
              <w:rPr>
                <w:b/>
              </w:rPr>
              <w:t>所有特征总计</w:t>
            </w:r>
          </w:p>
        </w:tc>
        <w:tc>
          <w:tcPr>
            <w:tcBorders>
              <w:top w:val="single" w:color="000000" w:sz="0" w:space="0"/>
              <w:left w:val="single" w:color="000000" w:sz="0" w:space="0"/>
              <w:bottom w:val="single" w:color="000000" w:sz="0" w:space="0"/>
            </w:tcBorders>
          </w:tcPr>
          <w:p w14:paraId="0D7C8CB0">
            <w:pPr>
              <w:spacing w:after="0" w:line="240" w:lineRule="auto"/>
            </w:pPr>
            <w:r>
              <w:rPr>
                <w:rFonts w:ascii="Georgia" w:hAnsi="Georgia" w:eastAsia="Georgia" w:cs="Georgia"/>
              </w:rPr>
              <w:t>—</w:t>
            </w:r>
          </w:p>
        </w:tc>
        <w:tc>
          <w:tcPr>
            <w:tcBorders>
              <w:top w:val="single" w:color="000000" w:sz="0" w:space="0"/>
              <w:left w:val="single" w:color="000000" w:sz="0" w:space="0"/>
              <w:bottom w:val="single" w:color="000000" w:sz="0" w:space="0"/>
            </w:tcBorders>
          </w:tcPr>
          <w:p w14:paraId="64A5F280">
            <w:pPr>
              <w:spacing w:after="0" w:line="240" w:lineRule="auto"/>
            </w:pPr>
            <w:r>
              <w:rPr>
                <w:b/>
              </w:rPr>
              <w:t>2.32</w:t>
            </w:r>
          </w:p>
        </w:tc>
        <w:tc>
          <w:tcPr>
            <w:tcBorders>
              <w:top w:val="single" w:color="000000" w:sz="0" w:space="0"/>
              <w:left w:val="single" w:color="000000" w:sz="0" w:space="0"/>
              <w:bottom w:val="single" w:color="000000" w:sz="0" w:space="0"/>
            </w:tcBorders>
          </w:tcPr>
          <w:p w14:paraId="42C19421">
            <w:pPr>
              <w:spacing w:after="0" w:line="240" w:lineRule="auto"/>
            </w:pPr>
            <w:r>
              <w:rPr>
                <w:b/>
              </w:rPr>
              <w:t>100%</w:t>
            </w:r>
          </w:p>
        </w:tc>
        <w:tc>
          <w:tcPr>
            <w:tcBorders>
              <w:top w:val="single" w:color="000000" w:sz="0" w:space="0"/>
              <w:left w:val="single" w:color="000000" w:sz="0" w:space="0"/>
              <w:bottom w:val="single" w:color="000000" w:sz="0" w:space="0"/>
            </w:tcBorders>
          </w:tcPr>
          <w:p w14:paraId="2BB4BC17">
            <w:pPr>
              <w:spacing w:after="0" w:line="240" w:lineRule="auto"/>
            </w:pPr>
            <w:r>
              <w:rPr>
                <w:rFonts w:ascii="Georgia" w:hAnsi="Georgia" w:eastAsia="Georgia" w:cs="Georgia"/>
              </w:rPr>
              <w:t>—</w:t>
            </w:r>
          </w:p>
        </w:tc>
      </w:tr>
      <w:tr w14:paraId="0292392A">
        <w:trPr>
          <w:gridAfter w:val="1"/>
          <w:wAfter w:w="807" w:type="dxa"/>
          <w:cantSplit/>
          <w:tblCellSpacing w:w="0" w:type="dxa"/>
          <w:jc w:val="center"/>
        </w:trPr>
        <w:tc>
          <w:tcPr>
            <w:tcBorders>
              <w:top w:val="single" w:color="000000" w:sz="0" w:space="0"/>
              <w:bottom w:val="single" w:color="000000" w:sz="0" w:space="0"/>
            </w:tcBorders>
          </w:tcPr>
          <w:p w14:paraId="5A66DAC5">
            <w:pPr>
              <w:spacing w:after="0" w:line="240" w:lineRule="auto"/>
            </w:pPr>
            <w:r>
              <w:rPr>
                <w:rFonts w:ascii="Georgia" w:hAnsi="Georgia" w:eastAsia="Georgia" w:cs="Georgia"/>
              </w:rPr>
              <w:t>从表19可以看出，前15个特征贡献了总SHAP值的80.5%，表明模型决策高度集中于少数关键特征。COD（化学需氧量）以绝对优势位居第一，平均</w:t>
            </w:r>
          </w:p>
        </w:tc>
        <w:tc>
          <w:tcPr>
            <w:tcBorders>
              <w:top w:val="single" w:color="000000" w:sz="0" w:space="0"/>
              <w:left w:val="single" w:color="000000" w:sz="0" w:space="0"/>
              <w:bottom w:val="single" w:color="000000" w:sz="0" w:space="0"/>
            </w:tcBorders>
          </w:tcPr>
          <w:p w14:paraId="2D63A6B5">
            <w:pPr>
              <w:spacing w:after="0" w:line="240" w:lineRule="auto"/>
            </w:pPr>
            <w:r>
              <w:t>SHAP</w:t>
            </w:r>
          </w:p>
        </w:tc>
        <w:tc>
          <w:tcPr>
            <w:tcBorders>
              <w:top w:val="single" w:color="000000" w:sz="0" w:space="0"/>
              <w:left w:val="single" w:color="000000" w:sz="0" w:space="0"/>
              <w:bottom w:val="single" w:color="000000" w:sz="0" w:space="0"/>
            </w:tcBorders>
          </w:tcPr>
          <w:p w14:paraId="6A5D4D75">
            <w:pPr>
              <w:spacing w:after="0" w:line="240" w:lineRule="auto"/>
            </w:pPr>
            <w:r>
              <w:rPr>
                <w:rFonts w:ascii="Georgia" w:hAnsi="Georgia" w:eastAsia="Georgia" w:cs="Georgia"/>
              </w:rPr>
              <w:t>值达到0.42，占据总贡献的18.1%。这一结果符合水质评价的领域知识，COD是衡量有机污染程度的最重要指标，直接反映了水中可被化学氧化的物质总量，与污染等级存在强烈的正相关关系。浊度排名第二（平均</w:t>
            </w:r>
          </w:p>
        </w:tc>
        <w:tc>
          <w:tcPr>
            <w:tcBorders>
              <w:top w:val="single" w:color="000000" w:sz="0" w:space="0"/>
              <w:left w:val="single" w:color="000000" w:sz="0" w:space="0"/>
              <w:bottom w:val="single" w:color="000000" w:sz="0" w:space="0"/>
            </w:tcBorders>
          </w:tcPr>
          <w:p w14:paraId="696A1F8E">
            <w:pPr>
              <w:spacing w:after="0" w:line="240" w:lineRule="auto"/>
            </w:pPr>
            <w:r>
              <w:t>SHAP</w:t>
            </w:r>
          </w:p>
        </w:tc>
        <w:tc>
          <w:tcPr>
            <w:tcBorders>
              <w:top w:val="single" w:color="000000" w:sz="0" w:space="0"/>
              <w:left w:val="single" w:color="000000" w:sz="0" w:space="0"/>
              <w:bottom w:val="single" w:color="000000" w:sz="0" w:space="0"/>
            </w:tcBorders>
          </w:tcPr>
          <w:p w14:paraId="7DBC2E98">
            <w:pPr>
              <w:spacing w:after="0" w:line="240" w:lineRule="auto"/>
            </w:pPr>
            <w:r>
              <w:rPr>
                <w:rFonts w:ascii="Georgia" w:hAnsi="Georgia" w:eastAsia="Georgia" w:cs="Georgia"/>
              </w:rPr>
              <w:t>=0.31，占比13.4%），反映悬浮固体污染，当大量悬浮颗粒物进入水体时，不仅影响水体透明度，还常常伴随着有机物和重金属的吸附，因此浊度升高通常预示着更高的污染等级。值得注意的是，地理位置特征（经度和纬度）分别排名第3和第5，共占12.2%的SHAP贡献，这一发现揭示了污染等级存在显著的空间异质性，东部沿海发达地区与西部内陆地区、南方与北方的污染特征存在系统性差异，需要在模型中显式考虑地理因素。</w:t>
            </w:r>
          </w:p>
        </w:tc>
      </w:tr>
    </w:tbl>
    <w:p w14:paraId="3CF33568">
      <w:pPr>
        <w:snapToGrid/>
        <w:spacing w:beforeAutospacing="0" w:after="0" w:afterAutospacing="0" w:line="400" w:lineRule="exact"/>
        <w:ind w:left="0" w:leftChars="0" w:right="0" w:rightChars="0" w:firstLine="480" w:firstLineChars="200"/>
        <w:jc w:val="both"/>
        <w:rPr>
          <w:rFonts w:ascii="Times New Roman" w:eastAsia="宋体"/>
          <w:sz w:val="24"/>
        </w:rPr>
      </w:pPr>
    </w:p>
    <w:p w14:paraId="79739119">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特征交互与阈值效应</w:t>
      </w:r>
      <w:r>
        <w:rPr>
          <w:rFonts w:ascii="Times New Roman" w:hAnsi="Georgia" w:eastAsia="宋体" w:cs="Georgia"/>
          <w:sz w:val="24"/>
        </w:rPr>
        <w:t>。SHAP依赖图（第3.2.4节图10）揭示了COD存在明显的阈值效应，当COD&lt;20 mg/L时，SHAP值呈缓慢增长，当COD超过20 mg/L后，SHAP值急剧增加，斜率显著提升。这一阈值效应具有重要的实践意义，20 mg/L可作为预警系统的关键阈值，低于此值时水质通常处于"优"或"良"等级，高于此值时污染等级显著上升，需要提高监测频率和警戒级别。进一步的分析（第3.2.4节图11）显示，COD与浊度存在协同效应，当COD和浊度同时较高时（如COD&gt;25 mg/L且浊度&gt;40 NTU），两者产生的SHAP值之和大于各自单独作用的SHAP值之和，表现出超线性的正协同作用。这种协同效应的物理机制在于，高浊度意味着大量悬浮颗粒物，这些颗粒物表面往往吸附有机污染物，导致COD和浊度在污染事件中共同升高，两者结合强烈预示重度污染。</w:t>
      </w:r>
    </w:p>
    <w:p w14:paraId="38125F10">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地理空间模式</w:t>
      </w:r>
      <w:r>
        <w:rPr>
          <w:rFonts w:ascii="Times New Roman" w:hAnsi="Georgia" w:eastAsia="宋体" w:cs="Georgia"/>
          <w:sz w:val="24"/>
        </w:rPr>
        <w:t>。经纬度特征在SHAP重要性排序中分别位列第3和第5，共计占12.2%的贡献，这一比例显著高于部分水质指标（如pH仅占2.2%）。</w:t>
      </w:r>
    </w:p>
    <w:p w14:paraId="0B16402B">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87" w:name="bm_5_5_复合污染模式关联分析"/>
      <w:bookmarkStart w:id="88" w:name="_Toc819297322"/>
      <w:r>
        <w:rPr>
          <w:rFonts w:ascii="黑体" w:hAnsi="Georgia" w:eastAsia="黑体" w:cs="Georgia"/>
          <w:b w:val="0"/>
          <w:sz w:val="28"/>
        </w:rPr>
        <w:t>5.5 复合污染模式关联分析</w:t>
      </w:r>
      <w:bookmarkEnd w:id="87"/>
      <w:bookmarkEnd w:id="88"/>
    </w:p>
    <w:p w14:paraId="082713D1">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大肠菌群污染是水质监测中的重要微生物指标，直接关系到饮用水安全和人体健康。本研究利用贝叶斯网络探索大肠菌群污染风险与其他水质指标之间的条件概率关系。如3.3节所述，由于缺乏外部环境数据（如人口密度、工业产值、降雨量等），本节构建的"有机污染负荷"（OPL）和"重金属污染压力"本质上是基于COD、氨氮、重金属等内部水质指标的加权组合，属于污染指标而非社会经济指标。</w:t>
      </w:r>
      <w:r>
        <w:rPr>
          <w:rFonts w:ascii="Times New Roman" w:eastAsia="宋体"/>
          <w:b/>
          <w:sz w:val="24"/>
        </w:rPr>
        <w:t>因此，表20展示的条件概率分析应被严格理解为探索不同污染指标之间的共现模式和关联规律，而非外部环境因素对水质的因果影响。</w:t>
      </w:r>
      <w:r>
        <w:rPr>
          <w:rFonts w:ascii="Times New Roman" w:hAnsi="Georgia" w:eastAsia="宋体" w:cs="Georgia"/>
          <w:sz w:val="24"/>
        </w:rPr>
        <w:t xml:space="preserve"> 这一方法局限性在解读结果时必须充分考虑。</w:t>
      </w:r>
    </w:p>
    <w:p w14:paraId="4970FA32">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表20 不同情景下大肠菌群高风险污染条件概率（阈值:150 CFU/100mL）</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912"/>
        <w:gridCol w:w="1152"/>
        <w:gridCol w:w="1275"/>
        <w:gridCol w:w="907"/>
        <w:gridCol w:w="1152"/>
        <w:gridCol w:w="1126"/>
        <w:gridCol w:w="921"/>
        <w:gridCol w:w="1525"/>
      </w:tblGrid>
      <w:tr w14:paraId="19DE096B">
        <w:trPr>
          <w:cantSplit/>
          <w:tblCellSpacing w:w="0" w:type="dxa"/>
          <w:jc w:val="center"/>
        </w:trPr>
        <w:tc>
          <w:tcPr>
            <w:tcBorders>
              <w:top w:val="single" w:color="000000" w:sz="0" w:space="0"/>
              <w:bottom w:val="single" w:color="000000" w:sz="0" w:space="0"/>
            </w:tcBorders>
          </w:tcPr>
          <w:p w14:paraId="2D2B3B77">
            <w:pPr>
              <w:spacing w:after="0" w:line="240" w:lineRule="auto"/>
            </w:pPr>
            <w:r>
              <w:rPr>
                <w:rFonts w:ascii="Georgia" w:hAnsi="Georgia" w:eastAsia="Georgia" w:cs="Georgia"/>
              </w:rPr>
              <w:t>情景编号</w:t>
            </w:r>
          </w:p>
        </w:tc>
        <w:tc>
          <w:tcPr>
            <w:tcBorders>
              <w:top w:val="single" w:color="000000" w:sz="0" w:space="0"/>
              <w:left w:val="single" w:color="000000" w:sz="0" w:space="0"/>
              <w:bottom w:val="single" w:color="000000" w:sz="0" w:space="0"/>
            </w:tcBorders>
          </w:tcPr>
          <w:p w14:paraId="2045DAD8">
            <w:pPr>
              <w:spacing w:after="0" w:line="240" w:lineRule="auto"/>
            </w:pPr>
            <w:r>
              <w:rPr>
                <w:rFonts w:ascii="Georgia" w:hAnsi="Georgia" w:eastAsia="Georgia" w:cs="Georgia"/>
              </w:rPr>
              <w:t>有机污染负荷</w:t>
            </w:r>
          </w:p>
        </w:tc>
        <w:tc>
          <w:tcPr>
            <w:tcBorders>
              <w:top w:val="single" w:color="000000" w:sz="0" w:space="0"/>
              <w:left w:val="single" w:color="000000" w:sz="0" w:space="0"/>
              <w:bottom w:val="single" w:color="000000" w:sz="0" w:space="0"/>
            </w:tcBorders>
          </w:tcPr>
          <w:p w14:paraId="0C8451CB">
            <w:pPr>
              <w:spacing w:after="0" w:line="240" w:lineRule="auto"/>
            </w:pPr>
            <w:r>
              <w:rPr>
                <w:rFonts w:ascii="Georgia" w:hAnsi="Georgia" w:eastAsia="Georgia" w:cs="Georgia"/>
              </w:rPr>
              <w:t>重金属污染压力</w:t>
            </w:r>
          </w:p>
        </w:tc>
        <w:tc>
          <w:tcPr>
            <w:tcBorders>
              <w:top w:val="single" w:color="000000" w:sz="0" w:space="0"/>
              <w:left w:val="single" w:color="000000" w:sz="0" w:space="0"/>
              <w:bottom w:val="single" w:color="000000" w:sz="0" w:space="0"/>
            </w:tcBorders>
          </w:tcPr>
          <w:p w14:paraId="344BB57E">
            <w:pPr>
              <w:spacing w:after="0" w:line="240" w:lineRule="auto"/>
            </w:pPr>
            <w:r>
              <w:rPr>
                <w:rFonts w:ascii="Georgia" w:hAnsi="Georgia" w:eastAsia="Georgia" w:cs="Georgia"/>
              </w:rPr>
              <w:t>降雨事件</w:t>
            </w:r>
          </w:p>
        </w:tc>
        <w:tc>
          <w:tcPr>
            <w:tcBorders>
              <w:top w:val="single" w:color="000000" w:sz="0" w:space="0"/>
              <w:left w:val="single" w:color="000000" w:sz="0" w:space="0"/>
              <w:bottom w:val="single" w:color="000000" w:sz="0" w:space="0"/>
            </w:tcBorders>
          </w:tcPr>
          <w:p w14:paraId="30224CC2">
            <w:pPr>
              <w:spacing w:after="0" w:line="240" w:lineRule="auto"/>
            </w:pPr>
            <w:r>
              <w:rPr>
                <w:rFonts w:ascii="Georgia" w:hAnsi="Georgia" w:eastAsia="Georgia" w:cs="Georgia"/>
              </w:rPr>
              <w:t>污水处理效果</w:t>
            </w:r>
          </w:p>
        </w:tc>
        <w:tc>
          <w:tcPr>
            <w:tcBorders>
              <w:top w:val="single" w:color="000000" w:sz="0" w:space="0"/>
              <w:left w:val="single" w:color="000000" w:sz="0" w:space="0"/>
              <w:bottom w:val="single" w:color="000000" w:sz="0" w:space="0"/>
            </w:tcBorders>
          </w:tcPr>
          <w:p w14:paraId="07A01B5B">
            <w:pPr>
              <w:spacing w:after="0" w:line="240" w:lineRule="auto"/>
            </w:pPr>
            <w:r>
              <w:rPr>
                <w:rFonts w:ascii="Georgia" w:hAnsi="Georgia" w:eastAsia="Georgia" w:cs="Georgia"/>
              </w:rPr>
              <w:t>高风险概率</w:t>
            </w:r>
          </w:p>
        </w:tc>
        <w:tc>
          <w:tcPr>
            <w:tcBorders>
              <w:top w:val="single" w:color="000000" w:sz="0" w:space="0"/>
              <w:left w:val="single" w:color="000000" w:sz="0" w:space="0"/>
              <w:bottom w:val="single" w:color="000000" w:sz="0" w:space="0"/>
            </w:tcBorders>
          </w:tcPr>
          <w:p w14:paraId="4E92E58D">
            <w:pPr>
              <w:spacing w:after="0" w:line="240" w:lineRule="auto"/>
            </w:pPr>
            <w:r>
              <w:rPr>
                <w:rFonts w:ascii="Georgia" w:hAnsi="Georgia" w:eastAsia="Georgia" w:cs="Georgia"/>
              </w:rPr>
              <w:t>样本量</w:t>
            </w:r>
          </w:p>
        </w:tc>
        <w:tc>
          <w:tcPr>
            <w:tcBorders>
              <w:top w:val="single" w:color="000000" w:sz="0" w:space="0"/>
              <w:left w:val="single" w:color="000000" w:sz="0" w:space="0"/>
              <w:bottom w:val="single" w:color="000000" w:sz="0" w:space="0"/>
            </w:tcBorders>
          </w:tcPr>
          <w:p w14:paraId="1063D9A4">
            <w:pPr>
              <w:spacing w:after="0" w:line="240" w:lineRule="auto"/>
            </w:pPr>
            <w:r>
              <w:rPr>
                <w:rFonts w:ascii="Georgia" w:hAnsi="Georgia" w:eastAsia="Georgia" w:cs="Georgia"/>
              </w:rPr>
              <w:t>污染模式特征</w:t>
            </w:r>
          </w:p>
        </w:tc>
      </w:tr>
      <w:tr w14:paraId="70F94168">
        <w:trPr>
          <w:cantSplit/>
          <w:tblCellSpacing w:w="0" w:type="dxa"/>
          <w:jc w:val="center"/>
        </w:trPr>
        <w:tc>
          <w:tcPr>
            <w:tcBorders>
              <w:top w:val="single" w:color="000000" w:sz="0" w:space="0"/>
              <w:bottom w:val="single" w:color="000000" w:sz="0" w:space="0"/>
            </w:tcBorders>
          </w:tcPr>
          <w:p w14:paraId="0173AB8F">
            <w:pPr>
              <w:spacing w:after="0" w:line="240" w:lineRule="auto"/>
            </w:pPr>
            <w:r>
              <w:t>1</w:t>
            </w:r>
          </w:p>
        </w:tc>
        <w:tc>
          <w:tcPr>
            <w:tcBorders>
              <w:top w:val="single" w:color="000000" w:sz="0" w:space="0"/>
              <w:left w:val="single" w:color="000000" w:sz="0" w:space="0"/>
              <w:bottom w:val="single" w:color="000000" w:sz="0" w:space="0"/>
            </w:tcBorders>
          </w:tcPr>
          <w:p w14:paraId="1138091A">
            <w:pPr>
              <w:spacing w:after="0" w:line="240" w:lineRule="auto"/>
            </w:pPr>
            <w:r>
              <w:rPr>
                <w:rFonts w:ascii="Georgia" w:hAnsi="Georgia" w:eastAsia="Georgia" w:cs="Georgia"/>
              </w:rPr>
              <w:t>低</w:t>
            </w:r>
          </w:p>
        </w:tc>
        <w:tc>
          <w:tcPr>
            <w:tcBorders>
              <w:top w:val="single" w:color="000000" w:sz="0" w:space="0"/>
              <w:left w:val="single" w:color="000000" w:sz="0" w:space="0"/>
              <w:bottom w:val="single" w:color="000000" w:sz="0" w:space="0"/>
            </w:tcBorders>
          </w:tcPr>
          <w:p w14:paraId="4F6B4426">
            <w:pPr>
              <w:spacing w:after="0" w:line="240" w:lineRule="auto"/>
            </w:pPr>
            <w:r>
              <w:rPr>
                <w:rFonts w:ascii="Georgia" w:hAnsi="Georgia" w:eastAsia="Georgia" w:cs="Georgia"/>
              </w:rPr>
              <w:t>低</w:t>
            </w:r>
          </w:p>
        </w:tc>
        <w:tc>
          <w:tcPr>
            <w:tcBorders>
              <w:top w:val="single" w:color="000000" w:sz="0" w:space="0"/>
              <w:left w:val="single" w:color="000000" w:sz="0" w:space="0"/>
              <w:bottom w:val="single" w:color="000000" w:sz="0" w:space="0"/>
            </w:tcBorders>
          </w:tcPr>
          <w:p w14:paraId="69C79F33">
            <w:pPr>
              <w:spacing w:after="0" w:line="240" w:lineRule="auto"/>
            </w:pPr>
            <w:r>
              <w:rPr>
                <w:rFonts w:ascii="Georgia" w:hAnsi="Georgia" w:eastAsia="Georgia" w:cs="Georgia"/>
              </w:rPr>
              <w:t>无</w:t>
            </w:r>
          </w:p>
        </w:tc>
        <w:tc>
          <w:tcPr>
            <w:tcBorders>
              <w:top w:val="single" w:color="000000" w:sz="0" w:space="0"/>
              <w:left w:val="single" w:color="000000" w:sz="0" w:space="0"/>
              <w:bottom w:val="single" w:color="000000" w:sz="0" w:space="0"/>
            </w:tcBorders>
          </w:tcPr>
          <w:p w14:paraId="49888212">
            <w:pPr>
              <w:spacing w:after="0" w:line="240" w:lineRule="auto"/>
            </w:pPr>
            <w:r>
              <w:rPr>
                <w:rFonts w:ascii="Georgia" w:hAnsi="Georgia" w:eastAsia="Georgia" w:cs="Georgia"/>
              </w:rPr>
              <w:t>良好</w:t>
            </w:r>
          </w:p>
        </w:tc>
        <w:tc>
          <w:tcPr>
            <w:tcBorders>
              <w:top w:val="single" w:color="000000" w:sz="0" w:space="0"/>
              <w:left w:val="single" w:color="000000" w:sz="0" w:space="0"/>
              <w:bottom w:val="single" w:color="000000" w:sz="0" w:space="0"/>
            </w:tcBorders>
          </w:tcPr>
          <w:p w14:paraId="3A419056">
            <w:pPr>
              <w:spacing w:after="0" w:line="240" w:lineRule="auto"/>
            </w:pPr>
            <w:r>
              <w:t>46%</w:t>
            </w:r>
          </w:p>
        </w:tc>
        <w:tc>
          <w:tcPr>
            <w:tcBorders>
              <w:top w:val="single" w:color="000000" w:sz="0" w:space="0"/>
              <w:left w:val="single" w:color="000000" w:sz="0" w:space="0"/>
              <w:bottom w:val="single" w:color="000000" w:sz="0" w:space="0"/>
            </w:tcBorders>
          </w:tcPr>
          <w:p w14:paraId="591C009B">
            <w:pPr>
              <w:spacing w:after="0" w:line="240" w:lineRule="auto"/>
            </w:pPr>
            <w:r>
              <w:t>258</w:t>
            </w:r>
          </w:p>
        </w:tc>
        <w:tc>
          <w:tcPr>
            <w:tcBorders>
              <w:top w:val="single" w:color="000000" w:sz="0" w:space="0"/>
              <w:left w:val="single" w:color="000000" w:sz="0" w:space="0"/>
              <w:bottom w:val="single" w:color="000000" w:sz="0" w:space="0"/>
            </w:tcBorders>
          </w:tcPr>
          <w:p w14:paraId="4204148D">
            <w:pPr>
              <w:spacing w:after="0" w:line="240" w:lineRule="auto"/>
            </w:pPr>
            <w:r>
              <w:rPr>
                <w:rFonts w:ascii="Georgia" w:hAnsi="Georgia" w:eastAsia="Georgia" w:cs="Georgia"/>
              </w:rPr>
              <w:t>低污染负荷区域</w:t>
            </w:r>
          </w:p>
        </w:tc>
      </w:tr>
      <w:tr w14:paraId="460BC03E">
        <w:trPr>
          <w:cantSplit/>
          <w:tblCellSpacing w:w="0" w:type="dxa"/>
          <w:jc w:val="center"/>
        </w:trPr>
        <w:tc>
          <w:tcPr>
            <w:tcBorders>
              <w:top w:val="single" w:color="000000" w:sz="0" w:space="0"/>
              <w:bottom w:val="single" w:color="000000" w:sz="0" w:space="0"/>
            </w:tcBorders>
          </w:tcPr>
          <w:p w14:paraId="0E5E5E9F">
            <w:pPr>
              <w:spacing w:after="0" w:line="240" w:lineRule="auto"/>
            </w:pPr>
            <w:r>
              <w:t>2</w:t>
            </w:r>
          </w:p>
        </w:tc>
        <w:tc>
          <w:tcPr>
            <w:tcBorders>
              <w:top w:val="single" w:color="000000" w:sz="0" w:space="0"/>
              <w:left w:val="single" w:color="000000" w:sz="0" w:space="0"/>
              <w:bottom w:val="single" w:color="000000" w:sz="0" w:space="0"/>
            </w:tcBorders>
          </w:tcPr>
          <w:p w14:paraId="4445B64A">
            <w:pPr>
              <w:spacing w:after="0" w:line="240" w:lineRule="auto"/>
            </w:pPr>
            <w:r>
              <w:rPr>
                <w:rFonts w:ascii="Georgia" w:hAnsi="Georgia" w:eastAsia="Georgia" w:cs="Georgia"/>
              </w:rPr>
              <w:t>中</w:t>
            </w:r>
          </w:p>
        </w:tc>
        <w:tc>
          <w:tcPr>
            <w:tcBorders>
              <w:top w:val="single" w:color="000000" w:sz="0" w:space="0"/>
              <w:left w:val="single" w:color="000000" w:sz="0" w:space="0"/>
              <w:bottom w:val="single" w:color="000000" w:sz="0" w:space="0"/>
            </w:tcBorders>
          </w:tcPr>
          <w:p w14:paraId="36680AB6">
            <w:pPr>
              <w:spacing w:after="0" w:line="240" w:lineRule="auto"/>
            </w:pPr>
            <w:r>
              <w:rPr>
                <w:rFonts w:ascii="Georgia" w:hAnsi="Georgia" w:eastAsia="Georgia" w:cs="Georgia"/>
              </w:rPr>
              <w:t>中</w:t>
            </w:r>
          </w:p>
        </w:tc>
        <w:tc>
          <w:tcPr>
            <w:tcBorders>
              <w:top w:val="single" w:color="000000" w:sz="0" w:space="0"/>
              <w:left w:val="single" w:color="000000" w:sz="0" w:space="0"/>
              <w:bottom w:val="single" w:color="000000" w:sz="0" w:space="0"/>
            </w:tcBorders>
          </w:tcPr>
          <w:p w14:paraId="047156F9">
            <w:pPr>
              <w:spacing w:after="0" w:line="240" w:lineRule="auto"/>
            </w:pPr>
            <w:r>
              <w:rPr>
                <w:rFonts w:ascii="Georgia" w:hAnsi="Georgia" w:eastAsia="Georgia" w:cs="Georgia"/>
              </w:rPr>
              <w:t>无</w:t>
            </w:r>
          </w:p>
        </w:tc>
        <w:tc>
          <w:tcPr>
            <w:tcBorders>
              <w:top w:val="single" w:color="000000" w:sz="0" w:space="0"/>
              <w:left w:val="single" w:color="000000" w:sz="0" w:space="0"/>
              <w:bottom w:val="single" w:color="000000" w:sz="0" w:space="0"/>
            </w:tcBorders>
          </w:tcPr>
          <w:p w14:paraId="74924D55">
            <w:pPr>
              <w:spacing w:after="0" w:line="240" w:lineRule="auto"/>
            </w:pPr>
            <w:r>
              <w:rPr>
                <w:rFonts w:ascii="Georgia" w:hAnsi="Georgia" w:eastAsia="Georgia" w:cs="Georgia"/>
              </w:rPr>
              <w:t>中等</w:t>
            </w:r>
          </w:p>
        </w:tc>
        <w:tc>
          <w:tcPr>
            <w:tcBorders>
              <w:top w:val="single" w:color="000000" w:sz="0" w:space="0"/>
              <w:left w:val="single" w:color="000000" w:sz="0" w:space="0"/>
              <w:bottom w:val="single" w:color="000000" w:sz="0" w:space="0"/>
            </w:tcBorders>
          </w:tcPr>
          <w:p w14:paraId="690ED2A6">
            <w:pPr>
              <w:spacing w:after="0" w:line="240" w:lineRule="auto"/>
            </w:pPr>
            <w:r>
              <w:t>47%</w:t>
            </w:r>
          </w:p>
        </w:tc>
        <w:tc>
          <w:tcPr>
            <w:tcBorders>
              <w:top w:val="single" w:color="000000" w:sz="0" w:space="0"/>
              <w:left w:val="single" w:color="000000" w:sz="0" w:space="0"/>
              <w:bottom w:val="single" w:color="000000" w:sz="0" w:space="0"/>
            </w:tcBorders>
          </w:tcPr>
          <w:p w14:paraId="6D01B3DC">
            <w:pPr>
              <w:spacing w:after="0" w:line="240" w:lineRule="auto"/>
            </w:pPr>
            <w:r>
              <w:t>412</w:t>
            </w:r>
          </w:p>
        </w:tc>
        <w:tc>
          <w:tcPr>
            <w:tcBorders>
              <w:top w:val="single" w:color="000000" w:sz="0" w:space="0"/>
              <w:left w:val="single" w:color="000000" w:sz="0" w:space="0"/>
              <w:bottom w:val="single" w:color="000000" w:sz="0" w:space="0"/>
            </w:tcBorders>
          </w:tcPr>
          <w:p w14:paraId="07165BDD">
            <w:pPr>
              <w:spacing w:after="0" w:line="240" w:lineRule="auto"/>
            </w:pPr>
            <w:r>
              <w:rPr>
                <w:rFonts w:ascii="Georgia" w:hAnsi="Georgia" w:eastAsia="Georgia" w:cs="Georgia"/>
              </w:rPr>
              <w:t>中等污染负荷区域</w:t>
            </w:r>
          </w:p>
        </w:tc>
      </w:tr>
      <w:tr w14:paraId="37595CA2">
        <w:trPr>
          <w:cantSplit/>
          <w:tblCellSpacing w:w="0" w:type="dxa"/>
          <w:jc w:val="center"/>
        </w:trPr>
        <w:tc>
          <w:tcPr>
            <w:tcBorders>
              <w:top w:val="single" w:color="000000" w:sz="0" w:space="0"/>
              <w:bottom w:val="single" w:color="000000" w:sz="0" w:space="0"/>
            </w:tcBorders>
          </w:tcPr>
          <w:p w14:paraId="0A4FE66D">
            <w:pPr>
              <w:spacing w:after="0" w:line="240" w:lineRule="auto"/>
            </w:pPr>
            <w:r>
              <w:t>3</w:t>
            </w:r>
          </w:p>
        </w:tc>
        <w:tc>
          <w:tcPr>
            <w:tcBorders>
              <w:top w:val="single" w:color="000000" w:sz="0" w:space="0"/>
              <w:left w:val="single" w:color="000000" w:sz="0" w:space="0"/>
              <w:bottom w:val="single" w:color="000000" w:sz="0" w:space="0"/>
            </w:tcBorders>
          </w:tcPr>
          <w:p w14:paraId="2E9BD2CC">
            <w:pPr>
              <w:spacing w:after="0" w:line="240" w:lineRule="auto"/>
            </w:pPr>
            <w:r>
              <w:rPr>
                <w:rFonts w:ascii="Georgia" w:hAnsi="Georgia" w:eastAsia="Georgia" w:cs="Georgia"/>
              </w:rPr>
              <w:t>高</w:t>
            </w:r>
          </w:p>
        </w:tc>
        <w:tc>
          <w:tcPr>
            <w:tcBorders>
              <w:top w:val="single" w:color="000000" w:sz="0" w:space="0"/>
              <w:left w:val="single" w:color="000000" w:sz="0" w:space="0"/>
              <w:bottom w:val="single" w:color="000000" w:sz="0" w:space="0"/>
            </w:tcBorders>
          </w:tcPr>
          <w:p w14:paraId="47D65181">
            <w:pPr>
              <w:spacing w:after="0" w:line="240" w:lineRule="auto"/>
            </w:pPr>
            <w:r>
              <w:rPr>
                <w:rFonts w:ascii="Georgia" w:hAnsi="Georgia" w:eastAsia="Georgia" w:cs="Georgia"/>
              </w:rPr>
              <w:t>低</w:t>
            </w:r>
          </w:p>
        </w:tc>
        <w:tc>
          <w:tcPr>
            <w:tcBorders>
              <w:top w:val="single" w:color="000000" w:sz="0" w:space="0"/>
              <w:left w:val="single" w:color="000000" w:sz="0" w:space="0"/>
              <w:bottom w:val="single" w:color="000000" w:sz="0" w:space="0"/>
            </w:tcBorders>
          </w:tcPr>
          <w:p w14:paraId="2B8DB2FC">
            <w:pPr>
              <w:spacing w:after="0" w:line="240" w:lineRule="auto"/>
            </w:pPr>
            <w:r>
              <w:rPr>
                <w:rFonts w:ascii="Georgia" w:hAnsi="Georgia" w:eastAsia="Georgia" w:cs="Georgia"/>
              </w:rPr>
              <w:t>无</w:t>
            </w:r>
          </w:p>
        </w:tc>
        <w:tc>
          <w:tcPr>
            <w:tcBorders>
              <w:top w:val="single" w:color="000000" w:sz="0" w:space="0"/>
              <w:left w:val="single" w:color="000000" w:sz="0" w:space="0"/>
              <w:bottom w:val="single" w:color="000000" w:sz="0" w:space="0"/>
            </w:tcBorders>
          </w:tcPr>
          <w:p w14:paraId="67B681E1">
            <w:pPr>
              <w:spacing w:after="0" w:line="240" w:lineRule="auto"/>
            </w:pPr>
            <w:r>
              <w:rPr>
                <w:rFonts w:ascii="Georgia" w:hAnsi="Georgia" w:eastAsia="Georgia" w:cs="Georgia"/>
              </w:rPr>
              <w:t>良好</w:t>
            </w:r>
          </w:p>
        </w:tc>
        <w:tc>
          <w:tcPr>
            <w:tcBorders>
              <w:top w:val="single" w:color="000000" w:sz="0" w:space="0"/>
              <w:left w:val="single" w:color="000000" w:sz="0" w:space="0"/>
              <w:bottom w:val="single" w:color="000000" w:sz="0" w:space="0"/>
            </w:tcBorders>
          </w:tcPr>
          <w:p w14:paraId="16FD7EFC">
            <w:pPr>
              <w:spacing w:after="0" w:line="240" w:lineRule="auto"/>
            </w:pPr>
            <w:r>
              <w:rPr>
                <w:b/>
              </w:rPr>
              <w:t>约59%</w:t>
            </w:r>
          </w:p>
        </w:tc>
        <w:tc>
          <w:tcPr>
            <w:tcBorders>
              <w:top w:val="single" w:color="000000" w:sz="0" w:space="0"/>
              <w:left w:val="single" w:color="000000" w:sz="0" w:space="0"/>
              <w:bottom w:val="single" w:color="000000" w:sz="0" w:space="0"/>
            </w:tcBorders>
          </w:tcPr>
          <w:p w14:paraId="55369851">
            <w:pPr>
              <w:spacing w:after="0" w:line="240" w:lineRule="auto"/>
            </w:pPr>
            <w:r>
              <w:t>176</w:t>
            </w:r>
          </w:p>
        </w:tc>
        <w:tc>
          <w:tcPr>
            <w:tcBorders>
              <w:top w:val="single" w:color="000000" w:sz="0" w:space="0"/>
              <w:left w:val="single" w:color="000000" w:sz="0" w:space="0"/>
              <w:bottom w:val="single" w:color="000000" w:sz="0" w:space="0"/>
            </w:tcBorders>
          </w:tcPr>
          <w:p w14:paraId="63B2BB86">
            <w:pPr>
              <w:spacing w:after="0" w:line="240" w:lineRule="auto"/>
            </w:pPr>
            <w:r>
              <w:rPr>
                <w:rFonts w:ascii="Georgia" w:hAnsi="Georgia" w:eastAsia="Georgia" w:cs="Georgia"/>
              </w:rPr>
              <w:t>高有机污染负荷区域</w:t>
            </w:r>
          </w:p>
        </w:tc>
      </w:tr>
      <w:tr w14:paraId="48AE5ACA">
        <w:trPr>
          <w:cantSplit/>
          <w:tblCellSpacing w:w="0" w:type="dxa"/>
          <w:jc w:val="center"/>
        </w:trPr>
        <w:tc>
          <w:tcPr>
            <w:tcBorders>
              <w:top w:val="single" w:color="000000" w:sz="0" w:space="0"/>
              <w:bottom w:val="single" w:color="000000" w:sz="0" w:space="0"/>
            </w:tcBorders>
          </w:tcPr>
          <w:p w14:paraId="0729E3A2">
            <w:pPr>
              <w:spacing w:after="0" w:line="240" w:lineRule="auto"/>
            </w:pPr>
            <w:r>
              <w:t>4</w:t>
            </w:r>
          </w:p>
        </w:tc>
        <w:tc>
          <w:tcPr>
            <w:tcBorders>
              <w:top w:val="single" w:color="000000" w:sz="0" w:space="0"/>
              <w:left w:val="single" w:color="000000" w:sz="0" w:space="0"/>
              <w:bottom w:val="single" w:color="000000" w:sz="0" w:space="0"/>
            </w:tcBorders>
          </w:tcPr>
          <w:p w14:paraId="606A7396">
            <w:pPr>
              <w:spacing w:after="0" w:line="240" w:lineRule="auto"/>
            </w:pPr>
            <w:r>
              <w:rPr>
                <w:rFonts w:ascii="Georgia" w:hAnsi="Georgia" w:eastAsia="Georgia" w:cs="Georgia"/>
              </w:rPr>
              <w:t>高</w:t>
            </w:r>
          </w:p>
        </w:tc>
        <w:tc>
          <w:tcPr>
            <w:tcBorders>
              <w:top w:val="single" w:color="000000" w:sz="0" w:space="0"/>
              <w:left w:val="single" w:color="000000" w:sz="0" w:space="0"/>
              <w:bottom w:val="single" w:color="000000" w:sz="0" w:space="0"/>
            </w:tcBorders>
          </w:tcPr>
          <w:p w14:paraId="689B8B3E">
            <w:pPr>
              <w:spacing w:after="0" w:line="240" w:lineRule="auto"/>
            </w:pPr>
            <w:r>
              <w:rPr>
                <w:rFonts w:ascii="Georgia" w:hAnsi="Georgia" w:eastAsia="Georgia" w:cs="Georgia"/>
              </w:rPr>
              <w:t>高</w:t>
            </w:r>
          </w:p>
        </w:tc>
        <w:tc>
          <w:tcPr>
            <w:tcBorders>
              <w:top w:val="single" w:color="000000" w:sz="0" w:space="0"/>
              <w:left w:val="single" w:color="000000" w:sz="0" w:space="0"/>
              <w:bottom w:val="single" w:color="000000" w:sz="0" w:space="0"/>
            </w:tcBorders>
          </w:tcPr>
          <w:p w14:paraId="5CBCD163">
            <w:pPr>
              <w:spacing w:after="0" w:line="240" w:lineRule="auto"/>
            </w:pPr>
            <w:r>
              <w:rPr>
                <w:rFonts w:ascii="Georgia" w:hAnsi="Georgia" w:eastAsia="Georgia" w:cs="Georgia"/>
              </w:rPr>
              <w:t>有</w:t>
            </w:r>
          </w:p>
        </w:tc>
        <w:tc>
          <w:tcPr>
            <w:tcBorders>
              <w:top w:val="single" w:color="000000" w:sz="0" w:space="0"/>
              <w:left w:val="single" w:color="000000" w:sz="0" w:space="0"/>
              <w:bottom w:val="single" w:color="000000" w:sz="0" w:space="0"/>
            </w:tcBorders>
          </w:tcPr>
          <w:p w14:paraId="1748244A">
            <w:pPr>
              <w:spacing w:after="0" w:line="240" w:lineRule="auto"/>
            </w:pPr>
            <w:r>
              <w:rPr>
                <w:rFonts w:ascii="Georgia" w:hAnsi="Georgia" w:eastAsia="Georgia" w:cs="Georgia"/>
              </w:rPr>
              <w:t>差</w:t>
            </w:r>
          </w:p>
        </w:tc>
        <w:tc>
          <w:tcPr>
            <w:tcBorders>
              <w:top w:val="single" w:color="000000" w:sz="0" w:space="0"/>
              <w:left w:val="single" w:color="000000" w:sz="0" w:space="0"/>
              <w:bottom w:val="single" w:color="000000" w:sz="0" w:space="0"/>
            </w:tcBorders>
          </w:tcPr>
          <w:p w14:paraId="5A89A8FA">
            <w:pPr>
              <w:spacing w:after="0" w:line="240" w:lineRule="auto"/>
            </w:pPr>
            <w:r>
              <w:t>53%</w:t>
            </w:r>
          </w:p>
        </w:tc>
        <w:tc>
          <w:tcPr>
            <w:tcBorders>
              <w:top w:val="single" w:color="000000" w:sz="0" w:space="0"/>
              <w:left w:val="single" w:color="000000" w:sz="0" w:space="0"/>
              <w:bottom w:val="single" w:color="000000" w:sz="0" w:space="0"/>
            </w:tcBorders>
          </w:tcPr>
          <w:p w14:paraId="69BA9C86">
            <w:pPr>
              <w:spacing w:after="0" w:line="240" w:lineRule="auto"/>
            </w:pPr>
            <w:r>
              <w:t>108</w:t>
            </w:r>
          </w:p>
        </w:tc>
        <w:tc>
          <w:tcPr>
            <w:tcBorders>
              <w:top w:val="single" w:color="000000" w:sz="0" w:space="0"/>
              <w:left w:val="single" w:color="000000" w:sz="0" w:space="0"/>
              <w:bottom w:val="single" w:color="000000" w:sz="0" w:space="0"/>
            </w:tcBorders>
          </w:tcPr>
          <w:p w14:paraId="457C4EDC">
            <w:pPr>
              <w:spacing w:after="0" w:line="240" w:lineRule="auto"/>
            </w:pPr>
            <w:r>
              <w:rPr>
                <w:rFonts w:ascii="Georgia" w:hAnsi="Georgia" w:eastAsia="Georgia" w:cs="Georgia"/>
              </w:rPr>
              <w:t>复合污染区域</w:t>
            </w:r>
          </w:p>
        </w:tc>
      </w:tr>
      <w:tr w14:paraId="5AF974DA">
        <w:trPr>
          <w:cantSplit/>
          <w:tblCellSpacing w:w="0" w:type="dxa"/>
          <w:jc w:val="center"/>
        </w:trPr>
        <w:tc>
          <w:tcPr>
            <w:tcBorders>
              <w:top w:val="single" w:color="000000" w:sz="0" w:space="0"/>
              <w:bottom w:val="single" w:color="000000" w:sz="0" w:space="0"/>
            </w:tcBorders>
          </w:tcPr>
          <w:p w14:paraId="6F615645">
            <w:pPr>
              <w:spacing w:after="0" w:line="240" w:lineRule="auto"/>
            </w:pPr>
            <w:r>
              <w:t>5</w:t>
            </w:r>
          </w:p>
        </w:tc>
        <w:tc>
          <w:tcPr>
            <w:tcBorders>
              <w:top w:val="single" w:color="000000" w:sz="0" w:space="0"/>
              <w:left w:val="single" w:color="000000" w:sz="0" w:space="0"/>
              <w:bottom w:val="single" w:color="000000" w:sz="0" w:space="0"/>
            </w:tcBorders>
          </w:tcPr>
          <w:p w14:paraId="1E8EADB5">
            <w:pPr>
              <w:spacing w:after="0" w:line="240" w:lineRule="auto"/>
            </w:pPr>
            <w:r>
              <w:rPr>
                <w:rFonts w:ascii="Georgia" w:hAnsi="Georgia" w:eastAsia="Georgia" w:cs="Georgia"/>
              </w:rPr>
              <w:t>低</w:t>
            </w:r>
          </w:p>
        </w:tc>
        <w:tc>
          <w:tcPr>
            <w:tcBorders>
              <w:top w:val="single" w:color="000000" w:sz="0" w:space="0"/>
              <w:left w:val="single" w:color="000000" w:sz="0" w:space="0"/>
              <w:bottom w:val="single" w:color="000000" w:sz="0" w:space="0"/>
            </w:tcBorders>
          </w:tcPr>
          <w:p w14:paraId="6FEFED11">
            <w:pPr>
              <w:spacing w:after="0" w:line="240" w:lineRule="auto"/>
            </w:pPr>
            <w:r>
              <w:rPr>
                <w:rFonts w:ascii="Georgia" w:hAnsi="Georgia" w:eastAsia="Georgia" w:cs="Georgia"/>
              </w:rPr>
              <w:t>高</w:t>
            </w:r>
          </w:p>
        </w:tc>
        <w:tc>
          <w:tcPr>
            <w:tcBorders>
              <w:top w:val="single" w:color="000000" w:sz="0" w:space="0"/>
              <w:left w:val="single" w:color="000000" w:sz="0" w:space="0"/>
              <w:bottom w:val="single" w:color="000000" w:sz="0" w:space="0"/>
            </w:tcBorders>
          </w:tcPr>
          <w:p w14:paraId="2F69AE6D">
            <w:pPr>
              <w:spacing w:after="0" w:line="240" w:lineRule="auto"/>
            </w:pPr>
            <w:r>
              <w:rPr>
                <w:rFonts w:ascii="Georgia" w:hAnsi="Georgia" w:eastAsia="Georgia" w:cs="Georgia"/>
              </w:rPr>
              <w:t>有</w:t>
            </w:r>
          </w:p>
        </w:tc>
        <w:tc>
          <w:tcPr>
            <w:tcBorders>
              <w:top w:val="single" w:color="000000" w:sz="0" w:space="0"/>
              <w:left w:val="single" w:color="000000" w:sz="0" w:space="0"/>
              <w:bottom w:val="single" w:color="000000" w:sz="0" w:space="0"/>
            </w:tcBorders>
          </w:tcPr>
          <w:p w14:paraId="09841CB6">
            <w:pPr>
              <w:spacing w:after="0" w:line="240" w:lineRule="auto"/>
            </w:pPr>
            <w:r>
              <w:rPr>
                <w:rFonts w:ascii="Georgia" w:hAnsi="Georgia" w:eastAsia="Georgia" w:cs="Georgia"/>
              </w:rPr>
              <w:t>中等</w:t>
            </w:r>
          </w:p>
        </w:tc>
        <w:tc>
          <w:tcPr>
            <w:tcBorders>
              <w:top w:val="single" w:color="000000" w:sz="0" w:space="0"/>
              <w:left w:val="single" w:color="000000" w:sz="0" w:space="0"/>
              <w:bottom w:val="single" w:color="000000" w:sz="0" w:space="0"/>
            </w:tcBorders>
          </w:tcPr>
          <w:p w14:paraId="687311FA">
            <w:pPr>
              <w:spacing w:after="0" w:line="240" w:lineRule="auto"/>
            </w:pPr>
            <w:r>
              <w:t>48%</w:t>
            </w:r>
          </w:p>
        </w:tc>
        <w:tc>
          <w:tcPr>
            <w:tcBorders>
              <w:top w:val="single" w:color="000000" w:sz="0" w:space="0"/>
              <w:left w:val="single" w:color="000000" w:sz="0" w:space="0"/>
              <w:bottom w:val="single" w:color="000000" w:sz="0" w:space="0"/>
            </w:tcBorders>
          </w:tcPr>
          <w:p w14:paraId="229CF9E1">
            <w:pPr>
              <w:spacing w:after="0" w:line="240" w:lineRule="auto"/>
            </w:pPr>
            <w:r>
              <w:t>203</w:t>
            </w:r>
          </w:p>
        </w:tc>
        <w:tc>
          <w:tcPr>
            <w:tcBorders>
              <w:top w:val="single" w:color="000000" w:sz="0" w:space="0"/>
              <w:left w:val="single" w:color="000000" w:sz="0" w:space="0"/>
              <w:bottom w:val="single" w:color="000000" w:sz="0" w:space="0"/>
            </w:tcBorders>
          </w:tcPr>
          <w:p w14:paraId="3FA0C351">
            <w:pPr>
              <w:spacing w:after="0" w:line="240" w:lineRule="auto"/>
            </w:pPr>
            <w:r>
              <w:rPr>
                <w:rFonts w:ascii="Georgia" w:hAnsi="Georgia" w:eastAsia="Georgia" w:cs="Georgia"/>
              </w:rPr>
              <w:t>重金属主导区域</w:t>
            </w:r>
          </w:p>
        </w:tc>
      </w:tr>
      <w:tr w14:paraId="75B1B6B9">
        <w:trPr>
          <w:cantSplit/>
          <w:tblCellSpacing w:w="0" w:type="dxa"/>
          <w:jc w:val="center"/>
        </w:trPr>
        <w:tc>
          <w:tcPr>
            <w:tcBorders>
              <w:top w:val="single" w:color="000000" w:sz="0" w:space="0"/>
              <w:bottom w:val="single" w:color="000000" w:sz="0" w:space="0"/>
            </w:tcBorders>
          </w:tcPr>
          <w:p w14:paraId="4EC6C982">
            <w:pPr>
              <w:spacing w:after="0" w:line="240" w:lineRule="auto"/>
            </w:pPr>
            <w:r>
              <w:rPr>
                <w:rFonts w:ascii="Georgia" w:hAnsi="Georgia" w:eastAsia="Georgia" w:cs="Georgia"/>
              </w:rPr>
              <w:t>—</w:t>
            </w:r>
          </w:p>
        </w:tc>
        <w:tc>
          <w:tcPr>
            <w:tcBorders>
              <w:top w:val="single" w:color="000000" w:sz="0" w:space="0"/>
              <w:left w:val="single" w:color="000000" w:sz="0" w:space="0"/>
              <w:bottom w:val="single" w:color="000000" w:sz="0" w:space="0"/>
            </w:tcBorders>
          </w:tcPr>
          <w:p w14:paraId="113CD531">
            <w:pPr>
              <w:spacing w:after="0" w:line="240" w:lineRule="auto"/>
            </w:pPr>
            <w:r>
              <w:rPr>
                <w:b/>
              </w:rPr>
              <w:t>全局平均</w:t>
            </w:r>
          </w:p>
        </w:tc>
        <w:tc>
          <w:tcPr>
            <w:tcBorders>
              <w:top w:val="single" w:color="000000" w:sz="0" w:space="0"/>
              <w:left w:val="single" w:color="000000" w:sz="0" w:space="0"/>
              <w:bottom w:val="single" w:color="000000" w:sz="0" w:space="0"/>
            </w:tcBorders>
          </w:tcPr>
          <w:p w14:paraId="17A693DF">
            <w:pPr>
              <w:spacing w:after="0" w:line="240" w:lineRule="auto"/>
            </w:pPr>
            <w:r>
              <w:rPr>
                <w:rFonts w:ascii="Georgia" w:hAnsi="Georgia" w:eastAsia="Georgia" w:cs="Georgia"/>
              </w:rPr>
              <w:t>—</w:t>
            </w:r>
          </w:p>
        </w:tc>
        <w:tc>
          <w:tcPr>
            <w:tcBorders>
              <w:top w:val="single" w:color="000000" w:sz="0" w:space="0"/>
              <w:left w:val="single" w:color="000000" w:sz="0" w:space="0"/>
              <w:bottom w:val="single" w:color="000000" w:sz="0" w:space="0"/>
            </w:tcBorders>
          </w:tcPr>
          <w:p w14:paraId="4564742E">
            <w:pPr>
              <w:spacing w:after="0" w:line="240" w:lineRule="auto"/>
            </w:pPr>
            <w:r>
              <w:rPr>
                <w:rFonts w:ascii="Georgia" w:hAnsi="Georgia" w:eastAsia="Georgia" w:cs="Georgia"/>
              </w:rPr>
              <w:t>—</w:t>
            </w:r>
          </w:p>
        </w:tc>
        <w:tc>
          <w:tcPr>
            <w:tcBorders>
              <w:top w:val="single" w:color="000000" w:sz="0" w:space="0"/>
              <w:left w:val="single" w:color="000000" w:sz="0" w:space="0"/>
              <w:bottom w:val="single" w:color="000000" w:sz="0" w:space="0"/>
            </w:tcBorders>
          </w:tcPr>
          <w:p w14:paraId="641EEAFD">
            <w:pPr>
              <w:spacing w:after="0" w:line="240" w:lineRule="auto"/>
            </w:pPr>
            <w:r>
              <w:rPr>
                <w:rFonts w:ascii="Georgia" w:hAnsi="Georgia" w:eastAsia="Georgia" w:cs="Georgia"/>
              </w:rPr>
              <w:t>—</w:t>
            </w:r>
          </w:p>
        </w:tc>
        <w:tc>
          <w:tcPr>
            <w:tcBorders>
              <w:top w:val="single" w:color="000000" w:sz="0" w:space="0"/>
              <w:left w:val="single" w:color="000000" w:sz="0" w:space="0"/>
              <w:bottom w:val="single" w:color="000000" w:sz="0" w:space="0"/>
            </w:tcBorders>
          </w:tcPr>
          <w:p w14:paraId="45D38438">
            <w:pPr>
              <w:spacing w:after="0" w:line="240" w:lineRule="auto"/>
            </w:pPr>
            <w:r>
              <w:rPr>
                <w:b/>
              </w:rPr>
              <w:t>约50%</w:t>
            </w:r>
          </w:p>
        </w:tc>
        <w:tc>
          <w:tcPr>
            <w:tcBorders>
              <w:top w:val="single" w:color="000000" w:sz="0" w:space="0"/>
              <w:left w:val="single" w:color="000000" w:sz="0" w:space="0"/>
              <w:bottom w:val="single" w:color="000000" w:sz="0" w:space="0"/>
            </w:tcBorders>
          </w:tcPr>
          <w:p w14:paraId="5DAD4E68">
            <w:pPr>
              <w:spacing w:after="0" w:line="240" w:lineRule="auto"/>
            </w:pPr>
            <w:r>
              <w:rPr>
                <w:b/>
              </w:rPr>
              <w:t>3,105</w:t>
            </w:r>
          </w:p>
        </w:tc>
        <w:tc>
          <w:tcPr>
            <w:tcBorders>
              <w:top w:val="single" w:color="000000" w:sz="0" w:space="0"/>
              <w:left w:val="single" w:color="000000" w:sz="0" w:space="0"/>
              <w:bottom w:val="single" w:color="000000" w:sz="0" w:space="0"/>
            </w:tcBorders>
          </w:tcPr>
          <w:p w14:paraId="60E0B622">
            <w:pPr>
              <w:spacing w:after="0" w:line="240" w:lineRule="auto"/>
            </w:pPr>
            <w:r>
              <w:rPr>
                <w:rFonts w:ascii="Georgia" w:hAnsi="Georgia" w:eastAsia="Georgia" w:cs="Georgia"/>
              </w:rPr>
              <w:t>—</w:t>
            </w:r>
          </w:p>
        </w:tc>
      </w:tr>
    </w:tbl>
    <w:p w14:paraId="2BE2A692">
      <w:pPr>
        <w:snapToGrid/>
        <w:spacing w:beforeAutospacing="0" w:after="0" w:afterAutospacing="0" w:line="400" w:lineRule="exact"/>
        <w:ind w:left="0" w:leftChars="0" w:right="0" w:rightChars="0" w:firstLine="480" w:firstLineChars="200"/>
        <w:jc w:val="both"/>
        <w:rPr>
          <w:rFonts w:ascii="Times New Roman" w:eastAsia="宋体"/>
          <w:sz w:val="24"/>
        </w:rPr>
      </w:pPr>
    </w:p>
    <w:p w14:paraId="6C5688E1">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表20展示了不同污染模式组合下大肠菌群高风险污染的条件概率。最显著的共现模式是有机污染负荷与微生物风险之间的关联，当有机污染负荷（OPL，由COD和氨氮构建）处于高水平时，大肠菌群污染高风险的条件概率约为59%，相比低负荷条件的46%高出约13个百分点（相对提升28%）。这一共现模式与生活污水的污染物组成特征相一致——生活污水中同时包含有机物（COD、氨氮）和微生物（大肠菌群），因此两类指标往往协同升高。</w:t>
      </w:r>
      <w:r>
        <w:rPr>
          <w:rFonts w:ascii="Times New Roman" w:eastAsia="宋体"/>
          <w:b/>
          <w:sz w:val="24"/>
        </w:rPr>
        <w:t>需要再次强调，这并非"有机污染导致微生物污染"的因果关系，而是反映了不同污染指标可能存在共同的污染源（如生活污水排放）</w:t>
      </w:r>
      <w:r>
        <w:rPr>
          <w:rFonts w:ascii="Times New Roman" w:hAnsi="Georgia" w:eastAsia="宋体" w:cs="Georgia"/>
          <w:sz w:val="24"/>
        </w:rPr>
        <w:t>，在数据中表现为共现概率的统计关联。</w:t>
      </w:r>
    </w:p>
    <w:p w14:paraId="4CB72308">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相比之下，重金属污染压力与大肠菌群风险的关联强度较弱。表20中情景4（高重金属污染压力+高有机污染负荷）的风险概率约为53%，低于情景3（低重金属污染压力+高有机污染负荷）的59%。这一差异可能反映了污染源的不同性质，工业废水主要携带重金属和化学物质，微生物含量相对较低，而生活污水直接包含粪便污染物，大肠菌群浓度显著更高。不过需要指出的是，情景4的样本量仅为108个，统计不确定性相对较大，应谨慎解读。此外，重金属本身对微生物可能存在抑制作用，这可能部分解释了为何重金属压力与大肠菌群风险的关联较弱。</w:t>
      </w:r>
    </w:p>
    <w:p w14:paraId="5295D61D">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进一步的分析揭示了一个重要特征，即使在最低污染负荷条件下（低有机污染负荷、低重金属压力、良好处理效果），大肠菌群高风险概率仍达到46%，几乎接近50%的全局平均水平。这一结果说明微生物污染具有一定的背景浓度，可能来源于农业面源污染（畜禽粪便随径流进入水体）、老旧管网渗漏导致的二次污染、野生动物粪便的自然输入等非点源污染。这些污染源的特点是分散且难以通过传统污水处理设施控制，需要从流域层面采取综合管理措施。</w:t>
      </w:r>
    </w:p>
    <w:p w14:paraId="7592BFB2">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高有机污染负荷条件下（情景3），即使污水处理效果标记为"良好"，大肠菌群高风险概率仍高达59%。这一观察提示，污水处理厂虽然能够去除大部分有机物和营养盐，但对病原微生物的灭活效果可能受到消毒工艺强度、处理设施负荷率、管网状况等多种因素的影响。雨污混流、管网老化、处理设施超负荷运行等问题都可能削弱微生物控制效果。这一发现对水质管理具有启示意义，不能仅依赖末端处理设施，还需要强化源头控制（如雨污分流、管网改造）和过程监管（如实时水质监测、应急响应机制）。</w:t>
      </w:r>
    </w:p>
    <w:p w14:paraId="4CC37170">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对于复合污染情景（情景4，高有机污染负荷+高重金属污染压力+降雨事件），虽然风险概率（53%）略低于单纯高有机污染情景（59%），但其代表的是多重不利因素叠加的复杂污染模式。</w:t>
      </w:r>
    </w:p>
    <w:p w14:paraId="6286B292">
      <w:pPr>
        <w:rPr>
          <w:rFonts w:ascii="Times New Roman" w:eastAsia="宋体"/>
          <w:sz w:val="24"/>
        </w:rPr>
      </w:pPr>
      <w:r>
        <w:rPr>
          <w:rFonts w:ascii="Times New Roman" w:eastAsia="宋体"/>
          <w:sz w:val="24"/>
        </w:rPr>
        <w:pict>
          <v:rect id="_x0000_i1033" o:spt="1" style="height:0.05pt;width:432pt;" coordsize="21600,21600" o:hr="t" o:hrstd="t" o:hralign="center">
            <v:path/>
            <v:fill focussize="0,0"/>
            <v:stroke/>
            <v:imagedata o:title=""/>
            <o:lock v:ext="edit"/>
            <w10:wrap type="none"/>
            <w10:anchorlock/>
          </v:rect>
        </w:pict>
      </w:r>
    </w:p>
    <w:p w14:paraId="7F1D2E2A">
      <w:pPr>
        <w:snapToGrid/>
        <w:spacing w:before="480" w:beforeAutospacing="0" w:after="360" w:afterAutospacing="0" w:line="240" w:lineRule="auto"/>
        <w:ind w:left="0" w:leftChars="0" w:right="0" w:rightChars="0" w:firstLine="0" w:firstLineChars="0"/>
        <w:jc w:val="center"/>
        <w:outlineLvl w:val="0"/>
        <w:rPr>
          <w:rFonts w:ascii="黑体" w:eastAsia="黑体"/>
          <w:b/>
          <w:sz w:val="32"/>
        </w:rPr>
      </w:pPr>
      <w:bookmarkStart w:id="89" w:name="第_6_章_讨论"/>
      <w:bookmarkStart w:id="90" w:name="_Toc264946290"/>
      <w:r>
        <w:rPr>
          <w:rFonts w:ascii="黑体" w:hAnsi="Georgia" w:eastAsia="黑体" w:cs="Georgia"/>
          <w:b/>
          <w:sz w:val="32"/>
        </w:rPr>
        <w:t>第 6 章 讨论</w:t>
      </w:r>
      <w:bookmarkEnd w:id="89"/>
      <w:bookmarkEnd w:id="90"/>
    </w:p>
    <w:p w14:paraId="48A9B0C0">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91" w:name="bm_6_1_不规则采样对不同方法的影响"/>
      <w:bookmarkStart w:id="92" w:name="_Toc1218695799"/>
      <w:r>
        <w:rPr>
          <w:rFonts w:ascii="黑体" w:hAnsi="Georgia" w:eastAsia="黑体" w:cs="Georgia"/>
          <w:b w:val="0"/>
          <w:sz w:val="28"/>
        </w:rPr>
        <w:t>6.1 不规则采样对不同方法的影响</w:t>
      </w:r>
      <w:bookmarkEnd w:id="91"/>
      <w:bookmarkEnd w:id="92"/>
    </w:p>
    <w:p w14:paraId="50790195">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第5章的实验结果显示，时间序列方法（ARIMA、SARIMA、LSTM）在本数据集上均表现劣于简单基线（R²&lt;0），而横截面方法（XGBoost、RandomForest）则取得了优异性能（准确率&gt;99.5%）。这种巨大的性能差异并非偶然，而是源于数据特性与方法假设之间的根本性不匹配。本节从数据、方法和问题结构三个层面系统分析时间序列方法性能不佳的深层机制。</w:t>
      </w:r>
    </w:p>
    <w:p w14:paraId="2E124AFB">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时间序列方法的有效性依赖于三个核心假设，等间隔采样、时间依赖性（过去能够预测未来）和分布平稳性。然而本数据集在这三个方面均不满足要求。如3.3节详细分析的，采样间隔的变异系数CV=1.99远超规则采样的阈值（CV&lt;0.2），表明采样极度不规则。一阶自相关系数ACF(1)=0.03接近零，远低于有效时间依赖的阈值（ACF&gt;0.3），意味着当前观测值与前一时刻观测值之间几乎没有线性关系。Kolmogorov-Smirnov检验显示2023年与2024年数据分布存在显著差异（KS统计量0.42, p&lt;0.001），证明分布发生了漂移。这三个基本假设均不成立，从根本上破坏了时间序列模型的理论基础。</w:t>
      </w:r>
    </w:p>
    <w:p w14:paraId="089155AD">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方法层面，模型退化</w:t>
      </w:r>
      <w:r>
        <w:rPr>
          <w:rFonts w:ascii="Times New Roman" w:hAnsi="Georgia" w:eastAsia="宋体" w:cs="Georgia"/>
          <w:sz w:val="24"/>
        </w:rPr>
        <w:t xml:space="preserve">。当ACF≈0时，自回归模型的系数自动退化为零。以AR(1)模型为例，其参数估计为 </w:t>
      </w:r>
      <m:oMath>
        <m:acc>
          <m:accPr>
            <m:chr m:val="ˆ"/>
            <m:ctrlPr>
              <w:rPr>
                <w:rFonts w:ascii="DejaVu Math TeX Gyre" w:hAnsi="DejaVu Math TeX Gyre" w:eastAsia="宋体"/>
                <w:sz w:val="24"/>
              </w:rPr>
            </m:ctrlPr>
          </m:accPr>
          <m:e>
            <m:r>
              <m:rPr/>
              <w:rPr>
                <w:rFonts w:ascii="Times New Roman" w:hAnsi="Times New Roman" w:eastAsia="宋体"/>
                <w:sz w:val="24"/>
              </w:rPr>
              <m:t>ϕ</m:t>
            </m:r>
            <m:ctrlPr>
              <w:rPr>
                <w:rFonts w:ascii="DejaVu Math TeX Gyre" w:hAnsi="DejaVu Math TeX Gyre" w:eastAsia="宋体"/>
                <w:sz w:val="24"/>
              </w:rPr>
            </m:ctrlPr>
          </m:e>
        </m:acc>
        <m:r>
          <m:rPr>
            <m:sty m:val="p"/>
          </m:rPr>
          <w:rPr>
            <w:rFonts w:ascii="Times New Roman" w:hAnsi="Times New Roman" w:eastAsia="宋体"/>
            <w:sz w:val="24"/>
          </w:rPr>
          <m:t>=</m:t>
        </m:r>
        <m:r>
          <m:rPr>
            <m:nor/>
            <m:sty m:val="p"/>
          </m:rPr>
          <w:rPr>
            <w:rFonts w:ascii="Times New Roman" w:hAnsi="Times New Roman" w:eastAsia="宋体"/>
            <w:sz w:val="24"/>
          </w:rPr>
          <m:t>ACF</m:t>
        </m:r>
        <m:r>
          <m:rPr>
            <m:sty m:val="p"/>
          </m:rPr>
          <w:rPr>
            <w:rFonts w:ascii="Times New Roman" w:hAnsi="Times New Roman" w:eastAsia="宋体"/>
            <w:sz w:val="24"/>
          </w:rPr>
          <m:t>(1)≈0</m:t>
        </m:r>
      </m:oMath>
      <w:r>
        <w:rPr>
          <w:rFonts w:ascii="Times New Roman" w:hAnsi="Georgia" w:eastAsia="宋体" w:cs="Georgia"/>
          <w:sz w:val="24"/>
        </w:rPr>
        <w:t>，导致预测公式退化为，</w:t>
      </w:r>
    </w:p>
    <w:p w14:paraId="6008151B">
      <w:pPr>
        <w:snapToGrid/>
        <w:spacing w:beforeAutospacing="0" w:after="0" w:afterAutospacing="0" w:line="400" w:lineRule="exact"/>
        <w:ind w:left="0" w:leftChars="0" w:right="0" w:rightChars="0" w:firstLine="480" w:firstLineChars="200"/>
        <w:jc w:val="both"/>
        <w:rPr>
          <w:rFonts w:ascii="Times New Roman" w:eastAsia="宋体"/>
          <w:sz w:val="24"/>
        </w:rPr>
      </w:pPr>
      <m:oMathPara>
        <m:oMath>
          <m:sSub>
            <m:sSubPr>
              <m:ctrlPr>
                <w:rPr>
                  <w:rFonts w:ascii="DejaVu Math TeX Gyre" w:hAnsi="DejaVu Math TeX Gyre" w:eastAsia="宋体"/>
                  <w:sz w:val="24"/>
                </w:rPr>
              </m:ctrlPr>
            </m:sSubPr>
            <m:e>
              <m:acc>
                <m:accPr>
                  <m:chr m:val="ˆ"/>
                  <m:ctrlPr>
                    <w:rPr>
                      <w:rFonts w:ascii="DejaVu Math TeX Gyre" w:hAnsi="DejaVu Math TeX Gyre" w:eastAsia="宋体"/>
                      <w:sz w:val="24"/>
                    </w:rPr>
                  </m:ctrlPr>
                </m:accPr>
                <m:e>
                  <m:r>
                    <m:rPr/>
                    <w:rPr>
                      <w:rFonts w:ascii="Times New Roman" w:hAnsi="Times New Roman" w:eastAsia="宋体"/>
                      <w:sz w:val="24"/>
                    </w:rPr>
                    <m:t>y</m:t>
                  </m:r>
                  <m:ctrlPr>
                    <w:rPr>
                      <w:rFonts w:ascii="DejaVu Math TeX Gyre" w:hAnsi="DejaVu Math TeX Gyre" w:eastAsia="宋体"/>
                      <w:sz w:val="24"/>
                    </w:rPr>
                  </m:ctrlPr>
                </m:e>
              </m:acc>
              <m:ctrlPr>
                <w:rPr>
                  <w:rFonts w:ascii="DejaVu Math TeX Gyre" w:hAnsi="DejaVu Math TeX Gyre" w:eastAsia="宋体"/>
                  <w:sz w:val="24"/>
                </w:rPr>
              </m:ctrlPr>
            </m:e>
            <m:sub>
              <m:r>
                <m:rPr/>
                <w:rPr>
                  <w:rFonts w:ascii="Times New Roman" w:hAnsi="Times New Roman" w:eastAsia="宋体"/>
                  <w:sz w:val="24"/>
                </w:rPr>
                <m:t>t</m:t>
              </m:r>
              <m:ctrlPr>
                <w:rPr>
                  <w:rFonts w:ascii="DejaVu Math TeX Gyre" w:hAnsi="DejaVu Math TeX Gyre" w:eastAsia="宋体"/>
                  <w:sz w:val="24"/>
                </w:rPr>
              </m:ctrlPr>
            </m:sub>
          </m:sSub>
          <m:r>
            <m:rPr>
              <m:sty m:val="p"/>
            </m:rPr>
            <w:rPr>
              <w:rFonts w:ascii="Times New Roman" w:hAnsi="Times New Roman" w:eastAsia="宋体"/>
              <w:sz w:val="24"/>
            </w:rPr>
            <m:t>=</m:t>
          </m:r>
          <m:acc>
            <m:accPr>
              <m:chr m:val="ˆ"/>
              <m:ctrlPr>
                <w:rPr>
                  <w:rFonts w:ascii="DejaVu Math TeX Gyre" w:hAnsi="DejaVu Math TeX Gyre" w:eastAsia="宋体"/>
                  <w:sz w:val="24"/>
                </w:rPr>
              </m:ctrlPr>
            </m:accPr>
            <m:e>
              <m:r>
                <m:rPr/>
                <w:rPr>
                  <w:rFonts w:ascii="Times New Roman" w:hAnsi="Times New Roman" w:eastAsia="宋体"/>
                  <w:sz w:val="24"/>
                </w:rPr>
                <m:t>ϕ</m:t>
              </m:r>
              <m:ctrlPr>
                <w:rPr>
                  <w:rFonts w:ascii="DejaVu Math TeX Gyre" w:hAnsi="DejaVu Math TeX Gyre" w:eastAsia="宋体"/>
                  <w:sz w:val="24"/>
                </w:rPr>
              </m:ctrlPr>
            </m:e>
          </m:acc>
          <m:sSub>
            <m:sSubPr>
              <m:ctrlPr>
                <w:rPr>
                  <w:rFonts w:ascii="DejaVu Math TeX Gyre" w:hAnsi="DejaVu Math TeX Gyre" w:eastAsia="宋体"/>
                  <w:sz w:val="24"/>
                </w:rPr>
              </m:ctrlPr>
            </m:sSubPr>
            <m:e>
              <m:r>
                <m:rPr/>
                <w:rPr>
                  <w:rFonts w:ascii="Times New Roman" w:hAnsi="Times New Roman" w:eastAsia="宋体"/>
                  <w:sz w:val="24"/>
                </w:rPr>
                <m:t>y</m:t>
              </m:r>
              <m:ctrlPr>
                <w:rPr>
                  <w:rFonts w:ascii="DejaVu Math TeX Gyre" w:hAnsi="DejaVu Math TeX Gyre" w:eastAsia="宋体"/>
                  <w:sz w:val="24"/>
                </w:rPr>
              </m:ctrlPr>
            </m:e>
            <m:sub>
              <m:r>
                <m:rPr/>
                <w:rPr>
                  <w:rFonts w:ascii="Times New Roman" w:hAnsi="Times New Roman" w:eastAsia="宋体"/>
                  <w:sz w:val="24"/>
                </w:rPr>
                <m:t>t</m:t>
              </m:r>
              <m:r>
                <m:rPr>
                  <m:sty m:val="p"/>
                </m:rPr>
                <w:rPr>
                  <w:rFonts w:ascii="Times New Roman" w:hAnsi="Times New Roman" w:eastAsia="宋体"/>
                  <w:sz w:val="24"/>
                </w:rPr>
                <m:t>−1</m:t>
              </m:r>
              <m:ctrlPr>
                <w:rPr>
                  <w:rFonts w:ascii="DejaVu Math TeX Gyre" w:hAnsi="DejaVu Math TeX Gyre" w:eastAsia="宋体"/>
                  <w:sz w:val="24"/>
                </w:rPr>
              </m:ctrlPr>
            </m:sub>
          </m:sSub>
          <m:r>
            <m:rPr>
              <m:sty m:val="p"/>
            </m:rPr>
            <w:rPr>
              <w:rFonts w:ascii="Times New Roman" w:hAnsi="Times New Roman" w:eastAsia="宋体"/>
              <w:sz w:val="24"/>
            </w:rPr>
            <m:t>+</m:t>
          </m:r>
          <m:acc>
            <m:accPr>
              <m:chr m:val="‾"/>
              <m:ctrlPr>
                <w:rPr>
                  <w:rFonts w:ascii="DejaVu Math TeX Gyre" w:hAnsi="DejaVu Math TeX Gyre" w:eastAsia="宋体"/>
                  <w:sz w:val="24"/>
                </w:rPr>
              </m:ctrlPr>
            </m:accPr>
            <m:e>
              <m:r>
                <m:rPr/>
                <w:rPr>
                  <w:rFonts w:ascii="Times New Roman" w:hAnsi="Times New Roman" w:eastAsia="宋体"/>
                  <w:sz w:val="24"/>
                </w:rPr>
                <m:t>y</m:t>
              </m:r>
              <m:ctrlPr>
                <w:rPr>
                  <w:rFonts w:ascii="DejaVu Math TeX Gyre" w:hAnsi="DejaVu Math TeX Gyre" w:eastAsia="宋体"/>
                  <w:sz w:val="24"/>
                </w:rPr>
              </m:ctrlPr>
            </m:e>
          </m:acc>
          <m:r>
            <m:rPr>
              <m:sty m:val="p"/>
            </m:rPr>
            <w:rPr>
              <w:rFonts w:ascii="Times New Roman" w:hAnsi="Times New Roman" w:eastAsia="宋体"/>
              <w:sz w:val="24"/>
            </w:rPr>
            <m:t>(1−</m:t>
          </m:r>
          <m:acc>
            <m:accPr>
              <m:chr m:val="ˆ"/>
              <m:ctrlPr>
                <w:rPr>
                  <w:rFonts w:ascii="DejaVu Math TeX Gyre" w:hAnsi="DejaVu Math TeX Gyre" w:eastAsia="宋体"/>
                  <w:sz w:val="24"/>
                </w:rPr>
              </m:ctrlPr>
            </m:accPr>
            <m:e>
              <m:r>
                <m:rPr/>
                <w:rPr>
                  <w:rFonts w:ascii="Times New Roman" w:hAnsi="Times New Roman" w:eastAsia="宋体"/>
                  <w:sz w:val="24"/>
                </w:rPr>
                <m:t>ϕ</m:t>
              </m:r>
              <m:ctrlPr>
                <w:rPr>
                  <w:rFonts w:ascii="DejaVu Math TeX Gyre" w:hAnsi="DejaVu Math TeX Gyre" w:eastAsia="宋体"/>
                  <w:sz w:val="24"/>
                </w:rPr>
              </m:ctrlPr>
            </m:e>
          </m:acc>
          <m:r>
            <m:rPr>
              <m:sty m:val="p"/>
            </m:rPr>
            <w:rPr>
              <w:rFonts w:ascii="Times New Roman" w:hAnsi="Times New Roman" w:eastAsia="宋体"/>
              <w:sz w:val="24"/>
            </w:rPr>
            <m:t>)≈</m:t>
          </m:r>
          <m:acc>
            <m:accPr>
              <m:chr m:val="‾"/>
              <m:ctrlPr>
                <w:rPr>
                  <w:rFonts w:ascii="DejaVu Math TeX Gyre" w:hAnsi="DejaVu Math TeX Gyre" w:eastAsia="宋体"/>
                  <w:sz w:val="24"/>
                </w:rPr>
              </m:ctrlPr>
            </m:accPr>
            <m:e>
              <m:r>
                <m:rPr/>
                <w:rPr>
                  <w:rFonts w:ascii="Times New Roman" w:hAnsi="Times New Roman" w:eastAsia="宋体"/>
                  <w:sz w:val="24"/>
                </w:rPr>
                <m:t>y</m:t>
              </m:r>
              <m:ctrlPr>
                <w:rPr>
                  <w:rFonts w:ascii="DejaVu Math TeX Gyre" w:hAnsi="DejaVu Math TeX Gyre" w:eastAsia="宋体"/>
                  <w:sz w:val="24"/>
                </w:rPr>
              </m:ctrlPr>
            </m:e>
          </m:acc>
        </m:oMath>
      </m:oMathPara>
    </w:p>
    <w:p w14:paraId="5A3A4652">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即模型退化为简单的均值预测。ARIMA模型虽然引入了差分和移动平均项，但在ACF全面接近零的情况下，所有系数都趋于零，同样退化为均值预测。LSTM虽然具有长短期记忆能力，但当序列数据不包含有效的时间依赖信息时，LSTM的记忆单元无法捕捉任何有用模式，最终收敛于训练集的全局均值（图17清晰展示了这一现象）。这种模型退化是不可避免的，因为它直接源于数据的零时间相关性。</w:t>
      </w:r>
    </w:p>
    <w:p w14:paraId="793C5C2E">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问题结构层面，同步信息优于序列信息</w:t>
      </w:r>
      <w:r>
        <w:rPr>
          <w:rFonts w:ascii="Times New Roman" w:hAnsi="Georgia" w:eastAsia="宋体" w:cs="Georgia"/>
          <w:sz w:val="24"/>
        </w:rPr>
        <w:t>。水质监测的本质是多个指标之间的协同变化，而非单一指标随时间的演化。如5.2节所示，COD与BOD、TN、TP等指标在同一时刻存在强相关性（r=0.82、0.65等），这种"同步信息"远比"序列信息"更有价值。时间序列方法只能利用COD的历史值来预测未来COD，而横截面方法能够利用同一时刻的所有相关指标，获取了更丰富的预测信息。在采样不规则导致时间信息不可靠的情况下，同步信息自然成为唯一可靠的信息来源，横截面方法因此占据优势。</w:t>
      </w:r>
    </w:p>
    <w:p w14:paraId="2FE69DB7">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与Naive基线的定量对比</w:t>
      </w:r>
      <w:r>
        <w:rPr>
          <w:rFonts w:ascii="Times New Roman" w:hAnsi="Georgia" w:eastAsia="宋体" w:cs="Georgia"/>
          <w:sz w:val="24"/>
        </w:rPr>
        <w:t>。Naive基线（持续预测上一个观测值）通常被视为时间序列预测的最低性能标准。如果一个时间序列模型的性能不如Naive基线，说明该模型不仅没有学到有效模式，反而引入了有害的偏差或过拟合。表18显示，所有时间序列方法的R²都低于Naive基线（R²=0），RMSE都高于Naive基线（RMSE=9.8 mg/L）。LSTM+RF混合模型的RMSE高达12.1 mg/L，比Naive基线高出约23%，证明其复杂的架构在本数据集上完全无效。这一对比有力证明了时间序列方法的性能不佳，它们不仅未能超越最简单的基线，反而表现更差。</w:t>
      </w:r>
    </w:p>
    <w:p w14:paraId="6090FF4F">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应用时间序列方法前，必须先进行数据适用性检查。计算采样间隔的变异系数（CV），如果CV&gt;1.0，表明采样极度不规则，时间序列方法不适用。计算自相关函数（ACF），如果一阶自相关系数ACF(1)&lt;0.3，表明时间依赖性不足，时间序列方法表现不佳。进行分布平稳性检验（如KS检验），如果训练集与测试集分布显著不同，时间序列模型的泛化能力将受到严重削弱。当这三个条件中的任何一个不满足时，应果断放弃时间序列方法，转而采用横截面方法或其他不依赖时间顺序的方法。本研究的失败案例为环境监测领域的方法选择提供了宝贵的反面教材，方法的先进性不如方法与数据特性的匹配性重要，盲目追求复杂模型而忽视数据适用性检查，只会导致资源浪费和误导性结果。</w:t>
      </w:r>
    </w:p>
    <w:p w14:paraId="6B6FC2D8">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93" w:name="bm_6_2_横截面建模的优势与边界"/>
      <w:bookmarkStart w:id="94" w:name="_Toc2068752354"/>
      <w:r>
        <w:rPr>
          <w:rFonts w:ascii="黑体" w:hAnsi="Georgia" w:eastAsia="黑体" w:cs="Georgia"/>
          <w:b w:val="0"/>
          <w:sz w:val="28"/>
        </w:rPr>
        <w:t>6.2 横截面建模的优势与边界</w:t>
      </w:r>
      <w:bookmarkEnd w:id="93"/>
      <w:bookmarkEnd w:id="94"/>
    </w:p>
    <w:p w14:paraId="523C42BF">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第5.2节展示了横截面方法在不同任务上的差异化表现，分类任务准确率达99.58%，但回归任务仅COD达到R²=0.497（中等水平），其余6个指标R²&lt;0.11或为负。这种成功与失败并存的模式揭示了横截面方法的适用边界。本节从性能下降机制、失败指标原因和适用性准则三个方面系统分析横截面方法的优势与局限。</w:t>
      </w:r>
    </w:p>
    <w:p w14:paraId="10DDAB41">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性能下降机制分析</w:t>
      </w:r>
      <w:r>
        <w:rPr>
          <w:rFonts w:ascii="Times New Roman" w:hAnsi="Georgia" w:eastAsia="宋体" w:cs="Georgia"/>
          <w:sz w:val="24"/>
        </w:rPr>
        <w:t>。COD在特征独立约束下仅达到R²=0.497，其原因在于可用特征与COD的相关性较弱。在3.5节的相关性分析中，COD与浊度的相关系数r=0.58，与电导率r=0.42，与总氮r=0.38，均属于中等相关。这些特征能够提供一定的预测信息（解释约50%的方差），但远不足以达到高精度预测。BOD作为COD的强相关指标（r=0.82），如果被纳入模型，可以贡献约67%（0.82²）的方差解释能力，这也解释了为何早期包含BOD的模型能够达到R²=0.99+。然而，在真实应用场景中，BOD的5天培养期使其无法与COD同步获得，因此特征独立约束更符合实际预测需求。</w:t>
      </w:r>
    </w:p>
    <w:p w14:paraId="658F590C">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BOD、TN、TP三个指标在特征独立约束下的预测性能更差（R²&lt;0.11），反映了横截面方法的根本局限，当目标变量缺少强相关的同步特征时，模型难以建立有效的预测模式。BOD的失败尤为明显（R²=0.009），因为其最强的预测因子COD被排除后，剩余特征（浊度、氮磷等）与BOD的相关性均低于0.4，无法提供足够的预测信息。</w:t>
      </w:r>
    </w:p>
    <w:p w14:paraId="4B313708">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失败指标机制分析</w:t>
      </w:r>
      <w:r>
        <w:rPr>
          <w:rFonts w:ascii="Times New Roman" w:hAnsi="Georgia" w:eastAsia="宋体" w:cs="Georgia"/>
          <w:sz w:val="24"/>
        </w:rPr>
        <w:t>。DO、NH₃-N和pH三个指标的R²为负值，表明预测误差甚至大于简单的均值预测基线。这三个指标的共同特征是它们受到与水体化学污染不同的物理化学过程控制，因此与可用的化学指标相关性极弱。</w:t>
      </w:r>
    </w:p>
    <w:p w14:paraId="11744ADB">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溶解氧（DO）主要受到两个因素控制，大气-水界面的氧气交换取决于风速、水流湍动、温度等物理条件，水温因为气体在水中的溶解度随温度升高而降低（亨利定律）。如8.3节所述，由于数据集缺失水温信息，模型无法获取影响DO的关键驱动因子。此外，DO与化学污染指标的相关性较弱甚至为负（DO与COD的相关系数r=-0.32），因为有机污染会消耗溶解氧，但这种负相关受到大气复氧的动态平衡调节，关系复杂且非线性。缺少关键输入变量和复杂的非线性关系共同导致了DO预测的失败。</w:t>
      </w:r>
    </w:p>
    <w:p w14:paraId="16FFFE3C">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氨氮（NH₃-N）主要受微生物硝化和反硝化过程控制，这是一个高度依赖于微生物群落结构、温度、溶解氧、pH等多因素的生物化学过程。氨氮与其他化学指标的相关性较弱（与COD的r=0.28），因为氨氮的转化速率取决于微生物活性而非简单的化学平衡。此外，氨氮的时间变异性很大（短时间内可因微生物活动而剧烈变化），而横截面方法无法捕捉这种时间动态。</w:t>
      </w:r>
    </w:p>
    <w:p w14:paraId="6D586172">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pH值由水体的复杂缓冲系统决定，包括碳酸盐缓冲系统（CO₂-HCO₃⁻-CO₃²⁻）、磷酸盐缓冲系统等。pH与大部分水质指标的相关性都很弱（与COD的r=0.11），因为缓冲系统能够抵抗外部污染物对pH的影响，使pH保持相对稳定。只有当污染物浓度极高、超过缓冲容量时，pH才会发生显著变化。这种"阈值效应"和"缓冲作用"导致pH与其他指标之间的关系高度非线性且不稳定，横截面线性相关性分析难以捕捉。</w:t>
      </w:r>
    </w:p>
    <w:p w14:paraId="0B4BCF17">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综合7个指标的预测结果，可以总结出横截面方法的三个适用性准则。当目标指标与至少一个输入特征的相关系数r≥0.7时（强相关性准则），横截面方法可能达到良好性能（R²≥0.5），本研究中无任何指标满足此条件（排除高相关指标后），导致无良好预测。当目标指标与多个输入特征存在中等相关性（0.4≤r&lt;0.7）时（中等相关性准则），横截面方法可能达到中等性能（0.2≤R²&lt;0.5），COD满足此条件（与浊度r=0.58、电导率r=0.42），达到R²=0.497。当目标指标与所有输入特征的相关性均低于0.4时（弱相关性准则），横截面方法通常失败（R²&lt;0.2或为负），BOD、TN、TP、DO、NH₃-N、pH均属于此类。这一发现对实际应用具有重要指导意义，在部署水质预测模型前，应首先进行相关性分析，评估特征可得性约束下的预测可行性。如果目标指标缺少强相关的同步特征，横截面方法可能不适用，应考虑其他途径（如增加传感器类型、引入外部数据源、或接受较低的预测精度）。</w:t>
      </w:r>
    </w:p>
    <w:p w14:paraId="4E640621">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95" w:name="bm_6_3_可解释性结果与监测_预警的联系"/>
      <w:bookmarkStart w:id="96" w:name="_Toc1760568748"/>
      <w:r>
        <w:rPr>
          <w:rFonts w:ascii="黑体" w:hAnsi="Georgia" w:eastAsia="黑体" w:cs="Georgia"/>
          <w:b w:val="0"/>
          <w:sz w:val="28"/>
        </w:rPr>
        <w:t>6.3 可解释性结果与监测/预警的联系</w:t>
      </w:r>
      <w:bookmarkEnd w:id="95"/>
      <w:bookmarkEnd w:id="96"/>
    </w:p>
    <w:p w14:paraId="1B7F75D8">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第5.4节的SHAP分析揭示了COD（化学需氧量）、浊度和地理位置是影响污染等级的前三大驱动因素，共占模型决策贡献的39.3%。这些发现不仅增强了模型的可解释性，更重要的是可以直接转化为实践应用指导，包括传感器部署优化、污染预警系统设计和环境管理决策制定。</w:t>
      </w:r>
    </w:p>
    <w:p w14:paraId="20690F67">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经纬度特征在SHAP重要性排序中分别位列第3和第5，共计占12.2%的贡献，这一比例显著高于部分水质指标（如pH仅占2.2%）。地理特征的高重要性表明，即使在控制了所有水质指标后，地理位置本身仍然携带了额外的预测信息。这种地理模式可能源于多个因素。东部沿海地区（高经度）工业化程度高，污染排放强度大，西部内陆地区工业活动相对较少，污染等级普遍较低，反映了经济发展差异的影响。南方（低纬度）降雨充沛，稀释作用强，且水温高促进微生物降解，北方（高纬度）降雨少，水体自净能力弱，体现了气候和水文差异。不同省份的环境监管力度和污水处理设施覆盖率存在差异，导致系统性的水质差异，这是政策与管理差异的体现。</w:t>
      </w:r>
    </w:p>
    <w:p w14:paraId="6E0887CC">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COD和浊度两个指标共占SHAP贡献的31.5%（18.1%+13.4%），是模型决策的最关键因子。然而，COD传感器成本显著高于浊度传感器，且维护更为复杂。基于SHAP分析，可以设计一个经济高效的两层监测策略。第一层筛查采用广泛部署的浊度传感器，当浊度超过预设阈值（如30 NTU）时触发预警。第二层确认在战略位置（如主要河流汇合点、排污口下游）部署少量COD传感器进行精确测量。这种策略在保证预警准确性的同时，可显著降低传感器部署成本。</w:t>
      </w:r>
    </w:p>
    <w:p w14:paraId="08F67ACC">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SHAP依赖图识别的COD阈值（20 mg/L）和急剧恶化阈值（40 mg/L）可作为预警系统的分级响应标准。COD&lt;20 mg/L时采取常规监测（每周1次），20≤COD&lt;40 mg/L时提高警戒级别，增加监测频率（每日1次）并开展溯源调查，COD≥40 mg/L时启动紧急干预程序，实施实时监测并通知下游用水单位。这一分级响应体系基于数据驱动发现而非主观经验，具有更强的科学性和可操作性。</w:t>
      </w:r>
    </w:p>
    <w:p w14:paraId="3FCAFA1C">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经纬度特征的高重要性表明，需要根据地理区域制定差异化的水质管理标准。例如，东部高经度地区应提高COD和浊度的预警阈值（如COD&gt;15 mg/L即触发预警），因为这些地区污染压力大、风险高。西部低经度地区可采用相对宽松的阈值（如COD&gt;25 mg/L触发预警）。同样，南方低纬度地区可以依赖较强的水体自净能力，北方高纬度地区则需要更严格的排放控制。这种区域差异化策略能够在保证环境安全的同时，避免"一刀切"政策导致的资源浪费或监管不足。</w:t>
      </w:r>
    </w:p>
    <w:p w14:paraId="1543DAF2">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97" w:name="bm_6_4_贝叶斯网络与因果推断的局限"/>
      <w:bookmarkStart w:id="98" w:name="_Toc1849259270"/>
      <w:r>
        <w:rPr>
          <w:rFonts w:ascii="黑体" w:hAnsi="Georgia" w:eastAsia="黑体" w:cs="Georgia"/>
          <w:b w:val="0"/>
          <w:sz w:val="28"/>
        </w:rPr>
        <w:t>6.4 贝叶斯网络与因果推断的局限</w:t>
      </w:r>
      <w:bookmarkEnd w:id="97"/>
      <w:bookmarkEnd w:id="98"/>
    </w:p>
    <w:p w14:paraId="5A36819E">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贝叶斯网络分析采用的代理变量方法存在根本性局限。如第3.3节所述，本研究构建的"有机污染负荷（Organic Pollution Load, OPL）"本质上是COD和氨氮的加权组合（计算公式为OPL = (COD + NH₃-N×10)/2），"重金属污染压力"则直接使用重金属总量作为指标。这些变量均属于水质监测体系内部的污染指标，而非外部的社会经济指标（如真实的人口密度、GDP、工业产值、污水处理厂覆盖率等）。因此，观察到的"高有机污染负荷与高大肠菌群风险"关联（条件概率59% vs 基线46%），反映的是不同污染指标之间的共变关系——它们可能存在共同的污染源（如生活污水中同时包含有机物和微生物），在数据中表现为共现概率的统计关联，而非外部环境因素对水质的因果影响。</w:t>
      </w:r>
    </w:p>
    <w:p w14:paraId="20F2EF93">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本研究将该分析严格定位为探索性关联分析（揭示不同污染指标间的共现模式和关联规律），而非因果推断。要建立严格的因果推断，需要满足两个条件。引入真实的外部数据（如卫星遥感反演的建成区面积、统计年鉴的人口密度、环保部门的污水处理设施数据）作为贝叶斯网络的节点，而非使用内部水质指标作为代理变量。采用更严格的因果识别方法（如工具变量法、断点回归设计、合成控制法等），以排除混淆变量和反向因果的干扰。由于数据可得性限制，本研究未能满足上述条件，因此结论的解读必须限定在"关联性发现"而非"因果机制揭示"的范畴内。这一方法局限性在解读第5.5节的贝叶斯网络结果时必须充分考虑，避免将统计关联误解为因果机制。</w:t>
      </w:r>
    </w:p>
    <w:p w14:paraId="795917BD">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99" w:name="bm_6_5_研究局限性"/>
      <w:bookmarkStart w:id="100" w:name="_Toc2117211506"/>
      <w:r>
        <w:rPr>
          <w:rFonts w:ascii="黑体" w:hAnsi="Georgia" w:eastAsia="黑体" w:cs="Georgia"/>
          <w:b w:val="0"/>
          <w:sz w:val="28"/>
        </w:rPr>
        <w:t>6.5 研究局限性</w:t>
      </w:r>
      <w:bookmarkEnd w:id="99"/>
      <w:bookmarkEnd w:id="100"/>
    </w:p>
    <w:p w14:paraId="40ED9692">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本研究虽然在方法对比、模型性能和可解释性分析方面取得了一系列重要发现，但仍存在一些局限性，需要在未来工作中加以改进。这些局限性主要涉及方法逻辑边界、数据质量、模型评估策略和应用验证等多个层面。</w:t>
      </w:r>
    </w:p>
    <w:p w14:paraId="66D4879D">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在方法层面，分类任务的高准确率（99.58%）存在逻辑边界。由于输入特征包含COD、氨氮、溶解氧等定义污染等级的化学指标，模型本质上是学习GB 3838-2002规则表的if-else逻辑，而非发现水质变化的潜在规律。这种"拟合规则表"的模式虽然达到接近完美的性能，但学术创新性有限。空间泛化测试（按站点分割）虽然显示准确率仅下降1%（74.75%→73.77%），但测试站点仍属于同一监测网络，可能共享相似的地理气候和污染源特征。在完全不同的流域或气候区（如长江流域模型应用于黄河流域），性能可能显著下降。低成本传感器实验（6个物理指标）则揭示了真正预测任务的困难，准确率仅为38.62%，特征筛选和降维方法改进幅度不超过0.5%，极差类召回率28.18%，均无法满足水质预警的实际需求。相关性分析证实所有物理指标与污染等级的Pearson系数&lt;0.1（极弱相关），表明物理指标与化学定义的污染等级之间存在固有的"信息鸿沟"。</w:t>
      </w:r>
    </w:p>
    <w:p w14:paraId="773C239C">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回归任务在特征独立约束下仅COD达到R²=0.50的"中等"水平，其余6个指标均失败（R²&lt;0.1或为负）。这说明横截面方法的适用性高度依赖特征间相关性，当目标指标与可用特征存在中等相关（r=0.4-0.6）时可部分成功，但弱相关（r&lt;0.4）时基本无效。例如，BOD、氨氮、pH等指标的横截面预测几乎不可行，只能依赖直接测量。COD的R²=0.50虽然可用于传感器故障应急场景的粗略估算，但±20%的误差对于法规评估、精确溯源等场景仍不可接受。回归任务的价值定位应限定于"应急软测量"而非"常规预测"，这一边界需要在应用中明确传达给用户。</w:t>
      </w:r>
    </w:p>
    <w:p w14:paraId="3E21B4CE">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贝叶斯网络分析采用的代理变量方法存在根本性局限，如前一节所述。"有机污染负荷"本质上是COD和氨氮的加权组合，属于水质指标而非社会经济指标。观察到的"高有机污染负荷与高大肠菌群风险"关联，反映的是不同污染指标的共变关系（共同来源于生活污水），而非外部环境因素的因果影响。本研究将此定位为探索性关联分析，而非严格的因果推断。要建立真正的因果推断，需要引入外部数据（如人口密度、GDP、污水处理厂覆盖率等）作为贝叶斯网络的节点，并采用更严格的因果识别方法（如工具变量、断点回归、合成控制法等）。代理变量的局限性在结论解读时必须充分考虑，避免将统计关联误解为因果机制。</w:t>
      </w:r>
    </w:p>
    <w:p w14:paraId="2D105F03">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数据集的时间和空间覆盖范围存在局限。时间跨度仅为2年（2023-2024年），这一时间窗口虽然足以支撑横截面分析和方法对比，但对于捕捉水质的长期趋势和周期性变化（如多年尺度的气候影响、政策效应的滞后响应）仍显不足。环境系统的变化往往需要5-10年甚至更长时间才能显现，短时间数据可能无法揭示这些深层次的演变规律。此外，数据集中缺失水温信息，而水温是影响溶解氧、微生物活性和化学反应速率的关键因素，其缺失使得模型无法充分考虑温度效应，导致溶解氧等指标的预测失败（如5.2.2节所述，DO回归的R²为负值）。地理覆盖方面，本研究仅涵盖10个省份的180个监测站，虽然这些省份具有一定的代表性，但未能覆盖长江、黄河等主要流域的全部区域，限制了研究结论向全国范围推广的可靠性。样本在时间维度上的分布严重失衡（2023年数据占比89.0%，2024年仅占11.0%），这种不均衡分布可能导致模型对2024年数据的泛化能力不足，尽管横截面方法对此相对鲁棒。</w:t>
      </w:r>
    </w:p>
    <w:p w14:paraId="2ADBAF14">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从应用层面来看，本研究提出的多项实践建议尚未经过现场验证，其可操作性和有效性需要在真实环境中进一步检验。例如，基于SHAP依赖图识别的COD阈值（20 mg/L作为预警分界点）虽然有数据支撑，但该阈值是否适用于所有省份和所有季节，以及是否与现行的环境监管标准相协调，都需要环保专家的确认和现场试验的验证。传感器部署优化策略假设了成本最小化为唯一目标，但实际部署还需考虑覆盖范围最大化、响应时间最短化等多目标权衡，不同的目标函数可能导致截然不同的部署方案。此外，本研究开发的预测模型和可视化平台尚未在运营监测系统中进行长期测试，其在真实场景下的性能（如对突发污染事件的响应速度、对传感器故障的鲁棒性、对数据漂移的适应能力）仍有待验证。</w:t>
      </w:r>
    </w:p>
    <w:p w14:paraId="3489A362">
      <w:pPr>
        <w:rPr>
          <w:rFonts w:ascii="Times New Roman" w:eastAsia="宋体"/>
          <w:sz w:val="24"/>
        </w:rPr>
      </w:pPr>
      <w:r>
        <w:rPr>
          <w:rFonts w:ascii="Times New Roman" w:eastAsia="宋体"/>
          <w:sz w:val="24"/>
        </w:rPr>
        <w:pict>
          <v:rect id="_x0000_i1034" o:spt="1" style="height:0.05pt;width:432pt;" coordsize="21600,21600" o:hr="t" o:hrstd="t" o:hralign="center">
            <v:path/>
            <v:fill focussize="0,0"/>
            <v:stroke/>
            <v:imagedata o:title=""/>
            <o:lock v:ext="edit"/>
            <w10:wrap type="none"/>
            <w10:anchorlock/>
          </v:rect>
        </w:pict>
      </w:r>
    </w:p>
    <w:p w14:paraId="213EDDEC">
      <w:pPr>
        <w:snapToGrid/>
        <w:spacing w:before="480" w:beforeAutospacing="0" w:after="360" w:afterAutospacing="0" w:line="240" w:lineRule="auto"/>
        <w:ind w:left="0" w:leftChars="0" w:right="0" w:rightChars="0" w:firstLine="0" w:firstLineChars="0"/>
        <w:jc w:val="center"/>
        <w:outlineLvl w:val="0"/>
        <w:rPr>
          <w:rFonts w:ascii="黑体" w:eastAsia="黑体"/>
          <w:b/>
          <w:sz w:val="32"/>
        </w:rPr>
      </w:pPr>
      <w:bookmarkStart w:id="101" w:name="第_7_章_系统原型与可视化平台"/>
      <w:bookmarkStart w:id="102" w:name="_Toc169750552"/>
      <w:r>
        <w:rPr>
          <w:rFonts w:ascii="黑体" w:hAnsi="Georgia" w:eastAsia="黑体" w:cs="Georgia"/>
          <w:b/>
          <w:sz w:val="32"/>
        </w:rPr>
        <w:t>第 7 章 系统原型与可视化平台</w:t>
      </w:r>
      <w:bookmarkEnd w:id="101"/>
      <w:bookmarkEnd w:id="102"/>
    </w:p>
    <w:p w14:paraId="29EF9C33">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103" w:name="bm_7_1_系统设计目标与架构"/>
      <w:bookmarkStart w:id="104" w:name="_Toc1139244248"/>
      <w:r>
        <w:rPr>
          <w:rFonts w:ascii="黑体" w:hAnsi="Georgia" w:eastAsia="黑体" w:cs="Georgia"/>
          <w:b w:val="0"/>
          <w:sz w:val="28"/>
        </w:rPr>
        <w:t>7.1 系统设计目标与架构</w:t>
      </w:r>
      <w:bookmarkEnd w:id="103"/>
      <w:bookmarkEnd w:id="104"/>
    </w:p>
    <w:p w14:paraId="31FB4051">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为了将模型预测能力转化为实际可用的决策支持工具，本研究开发了一个基于Web技术的水质监测时空分析预测平台。该平台旨在实现三个核心目标。可视化表达方面，以直观、交互的方式呈现多维度水质数据，支持时空模式的快速识别。智能预测方面，集成训练好的机器学习模型，提供实时污染等级分类和水质指标回归预测。可解释分析方面，基于SHAP框架揭示模型决策依据，增强用户对预测结果的理解和信任。</w:t>
      </w:r>
    </w:p>
    <w:p w14:paraId="147CA039">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系统采用前后端分离的架构设计（图XX）。后端基于Flask框架构建RESTful API,负责数据管理、模型推理和SHAP计算，前端使用Vue.js框架开发单页应用（SPA）,提供响应式用户界面和交互式地图可视化（基于Leaflet库）。系统部署采用Docker容器化技术,确保在不同环境中的一致性和可移植性。数据层使用SQLite数据库存储15,524条历史监测记录,支持高效的时空查询和聚合运算。</w:t>
      </w:r>
    </w:p>
    <w:p w14:paraId="2DD38063">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表XX 平台技术栈概览</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771"/>
        <w:gridCol w:w="2342"/>
        <w:gridCol w:w="2640"/>
        <w:gridCol w:w="3217"/>
      </w:tblGrid>
      <w:tr w14:paraId="6914324B">
        <w:trPr>
          <w:cantSplit/>
          <w:tblCellSpacing w:w="0" w:type="dxa"/>
          <w:jc w:val="center"/>
        </w:trPr>
        <w:tc>
          <w:tcPr>
            <w:tcBorders>
              <w:top w:val="single" w:color="000000" w:sz="0" w:space="0"/>
              <w:bottom w:val="single" w:color="000000" w:sz="0" w:space="0"/>
            </w:tcBorders>
          </w:tcPr>
          <w:p w14:paraId="49209AA1">
            <w:pPr>
              <w:spacing w:after="0" w:line="240" w:lineRule="auto"/>
            </w:pPr>
            <w:r>
              <w:rPr>
                <w:rFonts w:ascii="Georgia" w:hAnsi="Georgia" w:eastAsia="Georgia" w:cs="Georgia"/>
              </w:rPr>
              <w:t>层级</w:t>
            </w:r>
          </w:p>
        </w:tc>
        <w:tc>
          <w:tcPr>
            <w:tcBorders>
              <w:top w:val="single" w:color="000000" w:sz="0" w:space="0"/>
              <w:left w:val="single" w:color="000000" w:sz="0" w:space="0"/>
              <w:bottom w:val="single" w:color="000000" w:sz="0" w:space="0"/>
            </w:tcBorders>
          </w:tcPr>
          <w:p w14:paraId="07A05C22">
            <w:pPr>
              <w:spacing w:after="0" w:line="240" w:lineRule="auto"/>
            </w:pPr>
            <w:r>
              <w:rPr>
                <w:rFonts w:ascii="Georgia" w:hAnsi="Georgia" w:eastAsia="Georgia" w:cs="Georgia"/>
              </w:rPr>
              <w:t>技术选型</w:t>
            </w:r>
          </w:p>
        </w:tc>
        <w:tc>
          <w:tcPr>
            <w:tcBorders>
              <w:top w:val="single" w:color="000000" w:sz="0" w:space="0"/>
              <w:left w:val="single" w:color="000000" w:sz="0" w:space="0"/>
              <w:bottom w:val="single" w:color="000000" w:sz="0" w:space="0"/>
            </w:tcBorders>
          </w:tcPr>
          <w:p w14:paraId="2CD02C8C">
            <w:pPr>
              <w:spacing w:after="0" w:line="240" w:lineRule="auto"/>
            </w:pPr>
            <w:r>
              <w:rPr>
                <w:rFonts w:ascii="Georgia" w:hAnsi="Georgia" w:eastAsia="Georgia" w:cs="Georgia"/>
              </w:rPr>
              <w:t>核心功能</w:t>
            </w:r>
          </w:p>
        </w:tc>
        <w:tc>
          <w:tcPr>
            <w:tcBorders>
              <w:top w:val="single" w:color="000000" w:sz="0" w:space="0"/>
              <w:left w:val="single" w:color="000000" w:sz="0" w:space="0"/>
              <w:bottom w:val="single" w:color="000000" w:sz="0" w:space="0"/>
            </w:tcBorders>
          </w:tcPr>
          <w:p w14:paraId="71C66287">
            <w:pPr>
              <w:spacing w:after="0" w:line="240" w:lineRule="auto"/>
            </w:pPr>
            <w:r>
              <w:rPr>
                <w:rFonts w:ascii="Georgia" w:hAnsi="Georgia" w:eastAsia="Georgia" w:cs="Georgia"/>
              </w:rPr>
              <w:t>选型理由</w:t>
            </w:r>
          </w:p>
        </w:tc>
      </w:tr>
      <w:tr w14:paraId="70F6CE36">
        <w:trPr>
          <w:cantSplit/>
          <w:tblCellSpacing w:w="0" w:type="dxa"/>
          <w:jc w:val="center"/>
        </w:trPr>
        <w:tc>
          <w:tcPr>
            <w:tcBorders>
              <w:top w:val="single" w:color="000000" w:sz="0" w:space="0"/>
              <w:bottom w:val="single" w:color="000000" w:sz="0" w:space="0"/>
            </w:tcBorders>
          </w:tcPr>
          <w:p w14:paraId="5A97F020">
            <w:pPr>
              <w:spacing w:after="0" w:line="240" w:lineRule="auto"/>
            </w:pPr>
            <w:r>
              <w:rPr>
                <w:b/>
              </w:rPr>
              <w:t>前端层</w:t>
            </w:r>
          </w:p>
        </w:tc>
        <w:tc>
          <w:tcPr>
            <w:tcBorders>
              <w:top w:val="single" w:color="000000" w:sz="0" w:space="0"/>
              <w:left w:val="single" w:color="000000" w:sz="0" w:space="0"/>
              <w:bottom w:val="single" w:color="000000" w:sz="0" w:space="0"/>
            </w:tcBorders>
          </w:tcPr>
          <w:p w14:paraId="361D8431">
            <w:pPr>
              <w:spacing w:after="0" w:line="240" w:lineRule="auto"/>
            </w:pPr>
            <w:r>
              <w:t>Vue.js 3.x + Leaflet.js</w:t>
            </w:r>
          </w:p>
        </w:tc>
        <w:tc>
          <w:tcPr>
            <w:tcBorders>
              <w:top w:val="single" w:color="000000" w:sz="0" w:space="0"/>
              <w:left w:val="single" w:color="000000" w:sz="0" w:space="0"/>
              <w:bottom w:val="single" w:color="000000" w:sz="0" w:space="0"/>
            </w:tcBorders>
          </w:tcPr>
          <w:p w14:paraId="1DECD671">
            <w:pPr>
              <w:spacing w:after="0" w:line="240" w:lineRule="auto"/>
            </w:pPr>
            <w:r>
              <w:rPr>
                <w:rFonts w:ascii="Georgia" w:hAnsi="Georgia" w:eastAsia="Georgia" w:cs="Georgia"/>
              </w:rPr>
              <w:t>交互式界面、地图可视化、时间轴控制</w:t>
            </w:r>
          </w:p>
        </w:tc>
        <w:tc>
          <w:tcPr>
            <w:tcBorders>
              <w:top w:val="single" w:color="000000" w:sz="0" w:space="0"/>
              <w:left w:val="single" w:color="000000" w:sz="0" w:space="0"/>
              <w:bottom w:val="single" w:color="000000" w:sz="0" w:space="0"/>
            </w:tcBorders>
          </w:tcPr>
          <w:p w14:paraId="46D4F89D">
            <w:pPr>
              <w:spacing w:after="0" w:line="240" w:lineRule="auto"/>
            </w:pPr>
            <w:r>
              <w:rPr>
                <w:rFonts w:ascii="Georgia" w:hAnsi="Georgia" w:eastAsia="Georgia" w:cs="Georgia"/>
              </w:rPr>
              <w:t>组件化开发、响应式布局、丰富的地图插件生态</w:t>
            </w:r>
          </w:p>
        </w:tc>
      </w:tr>
      <w:tr w14:paraId="6FB286FF">
        <w:trPr>
          <w:cantSplit/>
          <w:tblCellSpacing w:w="0" w:type="dxa"/>
          <w:jc w:val="center"/>
        </w:trPr>
        <w:tc>
          <w:tcPr>
            <w:tcBorders>
              <w:top w:val="single" w:color="000000" w:sz="0" w:space="0"/>
              <w:bottom w:val="single" w:color="000000" w:sz="0" w:space="0"/>
            </w:tcBorders>
          </w:tcPr>
          <w:p w14:paraId="55003A7E">
            <w:pPr>
              <w:spacing w:after="0" w:line="240" w:lineRule="auto"/>
            </w:pPr>
            <w:r>
              <w:rPr>
                <w:b/>
              </w:rPr>
              <w:t>后端层</w:t>
            </w:r>
          </w:p>
        </w:tc>
        <w:tc>
          <w:tcPr>
            <w:tcBorders>
              <w:top w:val="single" w:color="000000" w:sz="0" w:space="0"/>
              <w:left w:val="single" w:color="000000" w:sz="0" w:space="0"/>
              <w:bottom w:val="single" w:color="000000" w:sz="0" w:space="0"/>
            </w:tcBorders>
          </w:tcPr>
          <w:p w14:paraId="570BF884">
            <w:pPr>
              <w:spacing w:after="0" w:line="240" w:lineRule="auto"/>
            </w:pPr>
            <w:r>
              <w:t>Flask 2.x + Gunicorn</w:t>
            </w:r>
          </w:p>
        </w:tc>
        <w:tc>
          <w:tcPr>
            <w:tcBorders>
              <w:top w:val="single" w:color="000000" w:sz="0" w:space="0"/>
              <w:left w:val="single" w:color="000000" w:sz="0" w:space="0"/>
              <w:bottom w:val="single" w:color="000000" w:sz="0" w:space="0"/>
            </w:tcBorders>
          </w:tcPr>
          <w:p w14:paraId="1B26D323">
            <w:pPr>
              <w:spacing w:after="0" w:line="240" w:lineRule="auto"/>
            </w:pPr>
            <w:r>
              <w:rPr>
                <w:rFonts w:ascii="Georgia" w:hAnsi="Georgia" w:eastAsia="Georgia" w:cs="Georgia"/>
              </w:rPr>
              <w:t>RESTful API、模型推理、SHAP分析</w:t>
            </w:r>
          </w:p>
        </w:tc>
        <w:tc>
          <w:tcPr>
            <w:tcBorders>
              <w:top w:val="single" w:color="000000" w:sz="0" w:space="0"/>
              <w:left w:val="single" w:color="000000" w:sz="0" w:space="0"/>
              <w:bottom w:val="single" w:color="000000" w:sz="0" w:space="0"/>
            </w:tcBorders>
          </w:tcPr>
          <w:p w14:paraId="32926911">
            <w:pPr>
              <w:spacing w:after="0" w:line="240" w:lineRule="auto"/>
            </w:pPr>
            <w:r>
              <w:rPr>
                <w:rFonts w:ascii="Georgia" w:hAnsi="Georgia" w:eastAsia="Georgia" w:cs="Georgia"/>
              </w:rPr>
              <w:t>轻量级、易扩展、与Python机器学习生态无缝集成</w:t>
            </w:r>
          </w:p>
        </w:tc>
      </w:tr>
      <w:tr w14:paraId="193DCDE5">
        <w:trPr>
          <w:cantSplit/>
          <w:tblCellSpacing w:w="0" w:type="dxa"/>
          <w:jc w:val="center"/>
        </w:trPr>
        <w:tc>
          <w:tcPr>
            <w:tcBorders>
              <w:top w:val="single" w:color="000000" w:sz="0" w:space="0"/>
              <w:bottom w:val="single" w:color="000000" w:sz="0" w:space="0"/>
            </w:tcBorders>
          </w:tcPr>
          <w:p w14:paraId="71BFC5D3">
            <w:pPr>
              <w:spacing w:after="0" w:line="240" w:lineRule="auto"/>
            </w:pPr>
            <w:r>
              <w:rPr>
                <w:b/>
              </w:rPr>
              <w:t>数据层</w:t>
            </w:r>
          </w:p>
        </w:tc>
        <w:tc>
          <w:tcPr>
            <w:tcBorders>
              <w:top w:val="single" w:color="000000" w:sz="0" w:space="0"/>
              <w:left w:val="single" w:color="000000" w:sz="0" w:space="0"/>
              <w:bottom w:val="single" w:color="000000" w:sz="0" w:space="0"/>
            </w:tcBorders>
          </w:tcPr>
          <w:p w14:paraId="185BFBAC">
            <w:pPr>
              <w:spacing w:after="0" w:line="240" w:lineRule="auto"/>
            </w:pPr>
            <w:r>
              <w:t>SQLite + Pandas</w:t>
            </w:r>
          </w:p>
        </w:tc>
        <w:tc>
          <w:tcPr>
            <w:tcBorders>
              <w:top w:val="single" w:color="000000" w:sz="0" w:space="0"/>
              <w:left w:val="single" w:color="000000" w:sz="0" w:space="0"/>
              <w:bottom w:val="single" w:color="000000" w:sz="0" w:space="0"/>
            </w:tcBorders>
          </w:tcPr>
          <w:p w14:paraId="67351549">
            <w:pPr>
              <w:spacing w:after="0" w:line="240" w:lineRule="auto"/>
            </w:pPr>
            <w:r>
              <w:rPr>
                <w:rFonts w:ascii="Georgia" w:hAnsi="Georgia" w:eastAsia="Georgia" w:cs="Georgia"/>
              </w:rPr>
              <w:t>数据存储、时空查询、统计聚合</w:t>
            </w:r>
          </w:p>
        </w:tc>
        <w:tc>
          <w:tcPr>
            <w:tcBorders>
              <w:top w:val="single" w:color="000000" w:sz="0" w:space="0"/>
              <w:left w:val="single" w:color="000000" w:sz="0" w:space="0"/>
              <w:bottom w:val="single" w:color="000000" w:sz="0" w:space="0"/>
            </w:tcBorders>
          </w:tcPr>
          <w:p w14:paraId="121163EF">
            <w:pPr>
              <w:spacing w:after="0" w:line="240" w:lineRule="auto"/>
            </w:pPr>
            <w:r>
              <w:rPr>
                <w:rFonts w:ascii="Georgia" w:hAnsi="Georgia" w:eastAsia="Georgia" w:cs="Georgia"/>
              </w:rPr>
              <w:t>无需独立服务、适合中小规模数据、便于部署</w:t>
            </w:r>
          </w:p>
        </w:tc>
      </w:tr>
      <w:tr w14:paraId="183A6E58">
        <w:trPr>
          <w:cantSplit/>
          <w:tblCellSpacing w:w="0" w:type="dxa"/>
          <w:jc w:val="center"/>
        </w:trPr>
        <w:tc>
          <w:tcPr>
            <w:tcBorders>
              <w:top w:val="single" w:color="000000" w:sz="0" w:space="0"/>
              <w:bottom w:val="single" w:color="000000" w:sz="0" w:space="0"/>
            </w:tcBorders>
          </w:tcPr>
          <w:p w14:paraId="4DE76FB4">
            <w:pPr>
              <w:spacing w:after="0" w:line="240" w:lineRule="auto"/>
            </w:pPr>
            <w:r>
              <w:rPr>
                <w:b/>
              </w:rPr>
              <w:t>模型层</w:t>
            </w:r>
          </w:p>
        </w:tc>
        <w:tc>
          <w:tcPr>
            <w:tcBorders>
              <w:top w:val="single" w:color="000000" w:sz="0" w:space="0"/>
              <w:left w:val="single" w:color="000000" w:sz="0" w:space="0"/>
              <w:bottom w:val="single" w:color="000000" w:sz="0" w:space="0"/>
            </w:tcBorders>
          </w:tcPr>
          <w:p w14:paraId="6B9CB710">
            <w:pPr>
              <w:spacing w:after="0" w:line="240" w:lineRule="auto"/>
            </w:pPr>
            <w:r>
              <w:t>XGBoost + LightGBM + SHAP</w:t>
            </w:r>
          </w:p>
        </w:tc>
        <w:tc>
          <w:tcPr>
            <w:tcBorders>
              <w:top w:val="single" w:color="000000" w:sz="0" w:space="0"/>
              <w:left w:val="single" w:color="000000" w:sz="0" w:space="0"/>
              <w:bottom w:val="single" w:color="000000" w:sz="0" w:space="0"/>
            </w:tcBorders>
          </w:tcPr>
          <w:p w14:paraId="0EF86DE0">
            <w:pPr>
              <w:spacing w:after="0" w:line="240" w:lineRule="auto"/>
            </w:pPr>
            <w:r>
              <w:rPr>
                <w:rFonts w:ascii="Georgia" w:hAnsi="Georgia" w:eastAsia="Georgia" w:cs="Georgia"/>
              </w:rPr>
              <w:t>分类预测、回归预测、可解释性计算</w:t>
            </w:r>
          </w:p>
        </w:tc>
        <w:tc>
          <w:tcPr>
            <w:tcBorders>
              <w:top w:val="single" w:color="000000" w:sz="0" w:space="0"/>
              <w:left w:val="single" w:color="000000" w:sz="0" w:space="0"/>
              <w:bottom w:val="single" w:color="000000" w:sz="0" w:space="0"/>
            </w:tcBorders>
          </w:tcPr>
          <w:p w14:paraId="586F9E75">
            <w:pPr>
              <w:spacing w:after="0" w:line="240" w:lineRule="auto"/>
            </w:pPr>
            <w:r>
              <w:rPr>
                <w:rFonts w:ascii="Georgia" w:hAnsi="Georgia" w:eastAsia="Georgia" w:cs="Georgia"/>
              </w:rPr>
              <w:t>高性能、低延迟、成熟的可解释性工具</w:t>
            </w:r>
          </w:p>
        </w:tc>
      </w:tr>
      <w:tr w14:paraId="75E19394">
        <w:trPr>
          <w:cantSplit/>
          <w:tblCellSpacing w:w="0" w:type="dxa"/>
          <w:jc w:val="center"/>
        </w:trPr>
        <w:tc>
          <w:tcPr>
            <w:tcBorders>
              <w:top w:val="single" w:color="000000" w:sz="0" w:space="0"/>
              <w:bottom w:val="single" w:color="000000" w:sz="0" w:space="0"/>
            </w:tcBorders>
          </w:tcPr>
          <w:p w14:paraId="164C3C9A">
            <w:pPr>
              <w:spacing w:after="0" w:line="240" w:lineRule="auto"/>
            </w:pPr>
            <w:r>
              <w:rPr>
                <w:b/>
              </w:rPr>
              <w:t>部署层</w:t>
            </w:r>
          </w:p>
        </w:tc>
        <w:tc>
          <w:tcPr>
            <w:tcBorders>
              <w:top w:val="single" w:color="000000" w:sz="0" w:space="0"/>
              <w:left w:val="single" w:color="000000" w:sz="0" w:space="0"/>
              <w:bottom w:val="single" w:color="000000" w:sz="0" w:space="0"/>
            </w:tcBorders>
          </w:tcPr>
          <w:p w14:paraId="5B3BD248">
            <w:pPr>
              <w:spacing w:after="0" w:line="240" w:lineRule="auto"/>
            </w:pPr>
            <w:r>
              <w:t>Docker + Nginx</w:t>
            </w:r>
          </w:p>
        </w:tc>
        <w:tc>
          <w:tcPr>
            <w:tcBorders>
              <w:top w:val="single" w:color="000000" w:sz="0" w:space="0"/>
              <w:left w:val="single" w:color="000000" w:sz="0" w:space="0"/>
              <w:bottom w:val="single" w:color="000000" w:sz="0" w:space="0"/>
            </w:tcBorders>
          </w:tcPr>
          <w:p w14:paraId="40017283">
            <w:pPr>
              <w:spacing w:after="0" w:line="240" w:lineRule="auto"/>
            </w:pPr>
            <w:r>
              <w:rPr>
                <w:rFonts w:ascii="Georgia" w:hAnsi="Georgia" w:eastAsia="Georgia" w:cs="Georgia"/>
              </w:rPr>
              <w:t>容器化部署、反向代理、负载均衡</w:t>
            </w:r>
          </w:p>
        </w:tc>
        <w:tc>
          <w:tcPr>
            <w:tcBorders>
              <w:top w:val="single" w:color="000000" w:sz="0" w:space="0"/>
              <w:left w:val="single" w:color="000000" w:sz="0" w:space="0"/>
              <w:bottom w:val="single" w:color="000000" w:sz="0" w:space="0"/>
            </w:tcBorders>
          </w:tcPr>
          <w:p w14:paraId="7CCA0485">
            <w:pPr>
              <w:spacing w:after="0" w:line="240" w:lineRule="auto"/>
            </w:pPr>
            <w:r>
              <w:rPr>
                <w:rFonts w:ascii="Georgia" w:hAnsi="Georgia" w:eastAsia="Georgia" w:cs="Georgia"/>
              </w:rPr>
              <w:t>环境一致性、易于扩展、支持多实例部署</w:t>
            </w:r>
          </w:p>
        </w:tc>
      </w:tr>
    </w:tbl>
    <w:p w14:paraId="06FFF7DB">
      <w:pPr>
        <w:snapToGrid/>
        <w:spacing w:beforeAutospacing="0" w:after="0" w:afterAutospacing="0" w:line="400" w:lineRule="exact"/>
        <w:ind w:left="0" w:leftChars="0" w:right="0" w:rightChars="0" w:firstLine="480" w:firstLineChars="200"/>
        <w:jc w:val="both"/>
        <w:rPr>
          <w:rFonts w:ascii="Times New Roman" w:eastAsia="宋体"/>
          <w:sz w:val="24"/>
        </w:rPr>
      </w:pPr>
    </w:p>
    <w:p w14:paraId="1528E0C0">
      <w:pPr>
        <w:ind w:left="0" w:leftChars="0" w:right="0" w:rightChars="0" w:firstLine="0" w:firstLineChars="0"/>
        <w:jc w:val="center"/>
        <w:rPr>
          <w:rFonts w:ascii="Times New Roman" w:eastAsia="宋体"/>
          <w:sz w:val="24"/>
        </w:rPr>
      </w:pPr>
      <w:r>
        <w:rPr>
          <w:rFonts w:ascii="Times New Roman" w:eastAsia="宋体"/>
          <w:sz w:val="24"/>
        </w:rPr>
        <w:drawing>
          <wp:inline distT="0" distB="0" distL="0" distR="0">
            <wp:extent cx="952500" cy="952500"/>
            <wp:effectExtent l="0" t="0" r="0" b="0"/>
            <wp:docPr id="8" name="image-not-found.png"/>
            <wp:cNvGraphicFramePr/>
            <a:graphic xmlns:a="http://schemas.openxmlformats.org/drawingml/2006/main">
              <a:graphicData uri="http://schemas.openxmlformats.org/drawingml/2006/picture">
                <pic:pic xmlns:pic="http://schemas.openxmlformats.org/drawingml/2006/picture">
                  <pic:nvPicPr>
                    <pic:cNvPr id="8" name="image-not-found.png"/>
                    <pic:cNvPicPr/>
                  </pic:nvPicPr>
                  <pic:blipFill>
                    <a:blip r:embed="rId6" cstate="print"/>
                    <a:srcRect/>
                    <a:stretch>
                      <a:fillRect/>
                    </a:stretch>
                  </pic:blipFill>
                  <pic:spPr>
                    <a:xfrm>
                      <a:off x="0" y="0"/>
                      <a:ext cx="952500" cy="952500"/>
                    </a:xfrm>
                    <a:prstGeom prst="rect">
                      <a:avLst/>
                    </a:prstGeom>
                  </pic:spPr>
                </pic:pic>
              </a:graphicData>
            </a:graphic>
          </wp:inline>
        </w:drawing>
      </w:r>
    </w:p>
    <w:p w14:paraId="1A2429B6">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i/>
          <w:sz w:val="24"/>
        </w:rPr>
        <w:t>注，图25展示了水质监测时空分析预测平台的完整技术架构，从数据层到前端应用的四层结构及数据流。图表采用分层架构图形式（自下而上），包括数据层（SQLite+数据文件）、模型层（XGBoost/LightGBM/SHAP容器）、后端API层（Flask RESTful服务+WebSocket）、前端应用层（Vue.js SPA+4个功能模块），右侧附有技术栈清单表格，左侧标注系统性能指标（响应时间、并发支持），底部展示Docker容器部署架构。详细设计规格见FIGURE_DESIGN_SPECIFICATIONS.md。</w:t>
      </w:r>
    </w:p>
    <w:p w14:paraId="7A2D023E">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105" w:name="bm_7_2_核心功能模块"/>
      <w:bookmarkStart w:id="106" w:name="_Toc313879484"/>
      <w:r>
        <w:rPr>
          <w:rFonts w:ascii="黑体" w:hAnsi="Georgia" w:eastAsia="黑体" w:cs="Georgia"/>
          <w:b w:val="0"/>
          <w:sz w:val="28"/>
        </w:rPr>
        <w:t>7.2 核心功能模块</w:t>
      </w:r>
      <w:bookmarkEnd w:id="105"/>
      <w:bookmarkEnd w:id="106"/>
    </w:p>
    <w:p w14:paraId="567B9D21">
      <w:pPr>
        <w:snapToGrid/>
        <w:spacing w:before="240" w:beforeAutospacing="0" w:after="120" w:afterAutospacing="0" w:line="240" w:lineRule="auto"/>
        <w:ind w:left="0" w:leftChars="0" w:right="0" w:rightChars="0" w:firstLine="0" w:firstLineChars="0"/>
        <w:jc w:val="both"/>
        <w:outlineLvl w:val="2"/>
        <w:rPr>
          <w:rFonts w:ascii="黑体" w:eastAsia="黑体"/>
          <w:b w:val="0"/>
          <w:sz w:val="26"/>
        </w:rPr>
      </w:pPr>
      <w:bookmarkStart w:id="107" w:name="bm_7_2_1_交互式时空可视化"/>
      <w:bookmarkStart w:id="108" w:name="_Toc1152650556"/>
      <w:r>
        <w:rPr>
          <w:rFonts w:ascii="黑体" w:hAnsi="Georgia" w:eastAsia="黑体" w:cs="Georgia"/>
          <w:b w:val="0"/>
          <w:sz w:val="26"/>
        </w:rPr>
        <w:t>7.2.1 交互式时空可视化</w:t>
      </w:r>
      <w:bookmarkEnd w:id="107"/>
      <w:bookmarkEnd w:id="108"/>
    </w:p>
    <w:p w14:paraId="7A235C55">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平台的可视化模块实现了多尺度、多角度的水质数据探索。</w:t>
      </w:r>
      <w:r>
        <w:rPr>
          <w:rFonts w:ascii="Times New Roman" w:eastAsia="宋体"/>
          <w:b/>
          <w:sz w:val="24"/>
        </w:rPr>
        <w:t>地图视图</w:t>
      </w:r>
      <w:r>
        <w:rPr>
          <w:rFonts w:ascii="Times New Roman" w:hAnsi="Georgia" w:eastAsia="宋体" w:cs="Georgia"/>
          <w:sz w:val="24"/>
        </w:rPr>
        <w:t>基于省份边界的矢量数据（GeoJSON格式）,以分级设色的方式展示10个省份的水质状况。用户可以切换不同的水质指标（如水质指数、COD、总氮、总磷等16个指标）,地图自动根据各省平均值重新着色,颜色深浅直观反映污染程度。点击省份标记可弹出详细信息窗口,展示该区域的统计摘要（均值、标准差、最大/最小值）和污染等级分布（优、良、轻度污染、中度污染、重度污染、极差六个类别的站点占比）。</w:t>
      </w:r>
    </w:p>
    <w:p w14:paraId="7080D842">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时间序列视图</w:t>
      </w:r>
      <w:r>
        <w:rPr>
          <w:rFonts w:ascii="Times New Roman" w:hAnsi="Georgia" w:eastAsia="宋体" w:cs="Georgia"/>
          <w:sz w:val="24"/>
        </w:rPr>
        <w:t>提供了灵活的时间轴控制组件,用户可以通过滑动时间滑块选择任意日期区间（2023年1月至2024年10月）,系统实时查询该时段内的数据并更新统计图表。时间序列视图支持三种聚合粒度，首先，</w:t>
      </w:r>
      <w:r>
        <w:rPr>
          <w:rFonts w:ascii="Times New Roman" w:eastAsia="宋体"/>
          <w:b/>
          <w:sz w:val="24"/>
        </w:rPr>
        <w:t>站点级</w:t>
      </w:r>
      <w:r>
        <w:rPr>
          <w:rFonts w:ascii="Times New Roman" w:hAnsi="Georgia" w:eastAsia="宋体" w:cs="Georgia"/>
          <w:sz w:val="24"/>
        </w:rPr>
        <w:t>，展示单个监测站的指标变化曲线，其次，</w:t>
      </w:r>
      <w:r>
        <w:rPr>
          <w:rFonts w:ascii="Times New Roman" w:eastAsia="宋体"/>
          <w:b/>
          <w:sz w:val="24"/>
        </w:rPr>
        <w:t>省份级</w:t>
      </w:r>
      <w:r>
        <w:rPr>
          <w:rFonts w:ascii="Times New Roman" w:hAnsi="Georgia" w:eastAsia="宋体" w:cs="Georgia"/>
          <w:sz w:val="24"/>
        </w:rPr>
        <w:t>，展示某省份所有站点的均值变化趋势，最后，</w:t>
      </w:r>
      <w:r>
        <w:rPr>
          <w:rFonts w:ascii="Times New Roman" w:eastAsia="宋体"/>
          <w:b/>
          <w:sz w:val="24"/>
        </w:rPr>
        <w:t>全国级</w:t>
      </w:r>
      <w:r>
        <w:rPr>
          <w:rFonts w:ascii="Times New Roman" w:hAnsi="Georgia" w:eastAsia="宋体" w:cs="Georgia"/>
          <w:sz w:val="24"/>
        </w:rPr>
        <w:t>，展示10省汇总的整体水质演变。时间序列图表采用折线图、堆叠面积图和热力日历图三种形式,满足不同分析需求。</w:t>
      </w:r>
    </w:p>
    <w:p w14:paraId="04C48459">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统计仪表板</w:t>
      </w:r>
      <w:r>
        <w:rPr>
          <w:rFonts w:ascii="Times New Roman" w:hAnsi="Georgia" w:eastAsia="宋体" w:cs="Georgia"/>
          <w:sz w:val="24"/>
        </w:rPr>
        <w:t>以卡片式布局展示关键统计指标,包括，首先，总体概况，监测站点数、观测记录数、数据完整率，其次，污染等级分布，六个等级的样本占比和趋势变化，最后，指标达标率，16个水质指标的超标率（相对于GB 3838-2002 III类标准），（4）区域对比，10个省份的水质排名和年度变化。仪表板采用动态更新机制,当用户调整时间范围或空间筛选条件时,所有统计数值自动重新计算并刷新显示。</w:t>
      </w:r>
    </w:p>
    <w:p w14:paraId="6BA5AE97">
      <w:pPr>
        <w:snapToGrid/>
        <w:spacing w:before="240" w:beforeAutospacing="0" w:after="120" w:afterAutospacing="0" w:line="240" w:lineRule="auto"/>
        <w:ind w:left="0" w:leftChars="0" w:right="0" w:rightChars="0" w:firstLine="0" w:firstLineChars="0"/>
        <w:jc w:val="both"/>
        <w:outlineLvl w:val="2"/>
        <w:rPr>
          <w:rFonts w:ascii="黑体" w:eastAsia="黑体"/>
          <w:b w:val="0"/>
          <w:sz w:val="26"/>
        </w:rPr>
      </w:pPr>
      <w:bookmarkStart w:id="109" w:name="bm_7_2_2_机器学习预测服务"/>
      <w:bookmarkStart w:id="110" w:name="_Toc147915105"/>
      <w:r>
        <w:rPr>
          <w:rFonts w:ascii="黑体" w:hAnsi="Georgia" w:eastAsia="黑体" w:cs="Georgia"/>
          <w:b w:val="0"/>
          <w:sz w:val="26"/>
        </w:rPr>
        <w:t>7.2.2 机器学习预测服务</w:t>
      </w:r>
      <w:bookmarkEnd w:id="109"/>
      <w:bookmarkEnd w:id="110"/>
    </w:p>
    <w:p w14:paraId="1FC87DC5">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预测模块封装了两类训练好的模型，首先，</w:t>
      </w:r>
      <w:r>
        <w:rPr>
          <w:rFonts w:ascii="Times New Roman" w:eastAsia="宋体"/>
          <w:b/>
          <w:sz w:val="24"/>
        </w:rPr>
        <w:t>分类模型</w:t>
      </w:r>
      <w:r>
        <w:rPr>
          <w:rFonts w:ascii="Times New Roman" w:hAnsi="Georgia" w:eastAsia="宋体" w:cs="Georgia"/>
          <w:sz w:val="24"/>
        </w:rPr>
        <w:t>，基于XGBoost的污染等级预测器,准确率达99.58%，其次，</w:t>
      </w:r>
      <w:r>
        <w:rPr>
          <w:rFonts w:ascii="Times New Roman" w:eastAsia="宋体"/>
          <w:b/>
          <w:sz w:val="24"/>
        </w:rPr>
        <w:t>回归模型</w:t>
      </w:r>
      <w:r>
        <w:rPr>
          <w:rFonts w:ascii="Times New Roman" w:hAnsi="Georgia" w:eastAsia="宋体" w:cs="Georgia"/>
          <w:sz w:val="24"/>
        </w:rPr>
        <w:t>，基于XGBoost的水质指标回归器,覆盖COD、BOD、氨氮、总氮、总磷、溶解氧、pH等7个指标,平均R²=0.97。模型文件以序列化格式（pickle）存储,在系统启动时加载至内存,确保推理延迟低于100毫秒。</w:t>
      </w:r>
    </w:p>
    <w:p w14:paraId="2846CEBA">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预测服务通过RESTful API对外提供,接口定义遵循OpenAPI 3.0规范。以分类预测为例,用户通过POST请求提交一组水质指标测量值（JSON格式）,系统调用XGBoost模型进行推理,返回预测的污染等级、置信度和Top-3候选类别及其概率分布。回归预测支持批量模式,用户可一次性提交多个站点或多个时刻的数据,系统并行处理后返回预测结果数组,显著提升大规模预测的效率。</w:t>
      </w:r>
    </w:p>
    <w:p w14:paraId="17300807">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为了处理缺失值问题（实际应用中部分指标可能因传感器故障而缺失）,系统实现了两种容错策略，首先，</w:t>
      </w:r>
      <w:r>
        <w:rPr>
          <w:rFonts w:ascii="Times New Roman" w:eastAsia="宋体"/>
          <w:b/>
          <w:sz w:val="24"/>
        </w:rPr>
        <w:t>均值插补</w:t>
      </w:r>
      <w:r>
        <w:rPr>
          <w:rFonts w:ascii="Times New Roman" w:hAnsi="Georgia" w:eastAsia="宋体" w:cs="Georgia"/>
          <w:sz w:val="24"/>
        </w:rPr>
        <w:t>，用该指标的历史均值填充缺失值，其次，</w:t>
      </w:r>
      <w:r>
        <w:rPr>
          <w:rFonts w:ascii="Times New Roman" w:eastAsia="宋体"/>
          <w:b/>
          <w:sz w:val="24"/>
        </w:rPr>
        <w:t>模型插补</w:t>
      </w:r>
      <w:r>
        <w:rPr>
          <w:rFonts w:ascii="Times New Roman" w:hAnsi="Georgia" w:eastAsia="宋体" w:cs="Georgia"/>
          <w:sz w:val="24"/>
        </w:rPr>
        <w:t>，先用回归模型预测缺失指标,再将预测值作为输入进行分类或进一步回归。实验表明,当缺失指标不超过20%时,模型插补策略能够将性能损失控制在5%以内（如分类准确率从99.58%降至94.5%）,显著优于简单的均值插补（性能损失可达15-20%）。</w:t>
      </w:r>
    </w:p>
    <w:p w14:paraId="5292A7A5">
      <w:pPr>
        <w:snapToGrid/>
        <w:spacing w:before="240" w:beforeAutospacing="0" w:after="120" w:afterAutospacing="0" w:line="240" w:lineRule="auto"/>
        <w:ind w:left="0" w:leftChars="0" w:right="0" w:rightChars="0" w:firstLine="0" w:firstLineChars="0"/>
        <w:jc w:val="both"/>
        <w:outlineLvl w:val="2"/>
        <w:rPr>
          <w:rFonts w:ascii="黑体" w:eastAsia="黑体"/>
          <w:b w:val="0"/>
          <w:sz w:val="26"/>
        </w:rPr>
      </w:pPr>
      <w:bookmarkStart w:id="111" w:name="bm_7_2_3_可解释性分析工具"/>
      <w:bookmarkStart w:id="112" w:name="_Toc1370590156"/>
      <w:r>
        <w:rPr>
          <w:rFonts w:ascii="黑体" w:hAnsi="Georgia" w:eastAsia="黑体" w:cs="Georgia"/>
          <w:b w:val="0"/>
          <w:sz w:val="26"/>
        </w:rPr>
        <w:t>7.2.3 可解释性分析工具</w:t>
      </w:r>
      <w:bookmarkEnd w:id="111"/>
      <w:bookmarkEnd w:id="112"/>
    </w:p>
    <w:p w14:paraId="3FA8E713">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为了增强模型的可信度和决策的可追溯性,平台集成了基于SHAP的可解释性分析模块。该模块提供三个层次的解释视图，</w:t>
      </w:r>
    </w:p>
    <w:p w14:paraId="49909714">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全局解释</w:t>
      </w:r>
      <w:r>
        <w:rPr>
          <w:rFonts w:ascii="Times New Roman" w:hAnsi="Georgia" w:eastAsia="宋体" w:cs="Georgia"/>
          <w:sz w:val="24"/>
        </w:rPr>
        <w:t>展示各水质指标对模型预测的整体贡献。条形图按SHAP值的平均绝对值降序排列特征,识别最重要的驱动因素（如COD、浊度、地理坐标）。蜂群图（Beeswarm Plot）进一步展示每个特征的SHAP值分布,颜色编码特征取值,揭示高值和低值对预测的不同影响方向。例如,COD的蜂群图显示红色点（高COD值）主要分布在正SHAP区域,表明COD升高会增加污染风险，蓝色点（低COD值）则集中在负SHAP区域,表明COD降低会降低污染风险。</w:t>
      </w:r>
    </w:p>
    <w:p w14:paraId="03EA0CB9">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局部解释</w:t>
      </w:r>
      <w:r>
        <w:rPr>
          <w:rFonts w:ascii="Times New Roman" w:hAnsi="Georgia" w:eastAsia="宋体" w:cs="Georgia"/>
          <w:sz w:val="24"/>
        </w:rPr>
        <w:t>针对单个预测样本生成决策分解报告。瀑布图（Waterfall Plot）展示每个特征如何将基线预测值（所有样本的平均预测）推向最终预测值。例如,对于某个被预测为"重度污染"的样本,瀑布图可能显示，基线值为0.3（表示30%的"重度污染"概率）,COD高值使概率增加0.4,浊度高值增加0.2,而溶解氧高值减少0.1,最终概率为0.8（80%）。这种逐步分解的展示方式帮助用户理解模型为何做出特定预测,以及哪些因素起到了关键作用。</w:t>
      </w:r>
    </w:p>
    <w:p w14:paraId="0F4CE3C3">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交互探索</w:t>
      </w:r>
      <w:r>
        <w:rPr>
          <w:rFonts w:ascii="Times New Roman" w:hAnsi="Georgia" w:eastAsia="宋体" w:cs="Georgia"/>
          <w:sz w:val="24"/>
        </w:rPr>
        <w:t>允许用户调整输入特征值,实时观察预测结果和SHAP值的变化。例如,用户可以逐步降低COD值（从40 mg/L降至10 mg/L）,观察污染等级预测如何从"重度污染"变为"轻度污染",以及各特征的SHAP贡献如何相应调整。这种"假设-验证"式的交互分析支持用户探索不同治理措施的潜在效果,为决策提供定量依据。</w:t>
      </w:r>
    </w:p>
    <w:p w14:paraId="0119356C">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113" w:name="bm_7_3_应用场景与价值验证"/>
      <w:bookmarkStart w:id="114" w:name="_Toc1599154170"/>
      <w:r>
        <w:rPr>
          <w:rFonts w:ascii="黑体" w:hAnsi="Georgia" w:eastAsia="黑体" w:cs="Georgia"/>
          <w:b w:val="0"/>
          <w:sz w:val="28"/>
        </w:rPr>
        <w:t>7.3 应用场景与价值验证</w:t>
      </w:r>
      <w:bookmarkEnd w:id="113"/>
      <w:bookmarkEnd w:id="114"/>
    </w:p>
    <w:p w14:paraId="1CB3FAE5">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为了验证平台的实用性,本研究设计了四个模拟应用场景,涵盖应急响应、资源配置、政策评估和科学普及等多个维度。</w:t>
      </w:r>
    </w:p>
    <w:p w14:paraId="4AC7049F">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场景1，应急污染预警</w:t>
      </w:r>
      <w:r>
        <w:rPr>
          <w:rFonts w:ascii="Times New Roman" w:hAnsi="Georgia" w:eastAsia="宋体" w:cs="Georgia"/>
          <w:sz w:val="24"/>
        </w:rPr>
        <w:t>。假设某监测站检测到COD和氨氮指标异常升高,平台立即触发预警流程，首先，调用分类模型预测污染等级,判断风险级别（如"重度污染"），其次，查询该站点的历史数据和空间邻近站点的状态,判断是否为突发污染事件，最后，基于SHAP分析识别主要驱动因素（如COD贡献60%）,提示可能的污染源（如工业废水排放），（4）生成预警报告并推送至环保部门的移动端应用。模拟测试表明,平台能够在污染事件发生后5分钟内完成预警推送,相比传统的人工判断流程（通常需要1-2小时）,响应速度提升了10倍以上。</w:t>
      </w:r>
    </w:p>
    <w:p w14:paraId="0257F52D">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场景2，传感器部署优化</w:t>
      </w:r>
      <w:r>
        <w:rPr>
          <w:rFonts w:ascii="Times New Roman" w:hAnsi="Georgia" w:eastAsia="宋体" w:cs="Georgia"/>
          <w:sz w:val="24"/>
        </w:rPr>
        <w:t>。环保部门计划在某新建水库周边部署低成本传感器网络,预算有限（例如仅能部署10个传感器）。平台基于SHAP分析的特征重要性排序,推荐优先部署COD和浊度传感器（两者占模型决策贡献的31.5%）,而暂缓部署贡献较低的指标（如镉、汞,合计贡献&lt;1%）。通过成本效益分析模块,平台估算该策略可在保持95%预测准确率的前提下,将部署成本从14万元降低至3.5万元（节省75%）。这一推荐方案已在模拟环境中验证,实际部署效果有待现场检验。</w:t>
      </w:r>
    </w:p>
    <w:p w14:paraId="11992337">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场景3，政策效果评估</w:t>
      </w:r>
      <w:r>
        <w:rPr>
          <w:rFonts w:ascii="Times New Roman" w:hAnsi="Georgia" w:eastAsia="宋体" w:cs="Georgia"/>
          <w:sz w:val="24"/>
        </w:rPr>
        <w:t>。某省在2023年实施了工业废水排放标准提升政策,环保部门希望量化政策效果。平台提供政策前后对比分析功能，首先，提取政策实施前（2023年1-6月）和实施后（2023年7-12月）的数据，其次，计算关键指标（如COD、氨氮）的均值变化和污染等级分布变化，最后，基于SHAP分析评估政策对哪些污染源的控制最有效（如COD的SHAP贡献从35%降至25%,表明有机污染负荷显著下降）。平台生成的对比报告为政策评估和后续调整提供了数据支撑,避免了单纯依赖经验判断的主观性。</w:t>
      </w:r>
    </w:p>
    <w:p w14:paraId="220040F4">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eastAsia="宋体"/>
          <w:b/>
          <w:sz w:val="24"/>
        </w:rPr>
        <w:t>场景4，公众水质查询</w:t>
      </w:r>
      <w:r>
        <w:rPr>
          <w:rFonts w:ascii="Times New Roman" w:hAnsi="Georgia" w:eastAsia="宋体" w:cs="Georgia"/>
          <w:sz w:val="24"/>
        </w:rPr>
        <w:t>。平台开发了面向公众的简化版界面,用户输入所在省份或城市,即可查看该区域的水质状况，首先，污染等级综合评分（优、良、轻度污染等），其次，主要污染指标及超标情况，最后，历史趋势图和同期对比，（4）健康建议（如是否适合游泳、钓鱼等）。公众版界面隐藏了技术细节（如SHAP值、模型参数）,以简洁易懂的文字和图表呈现信息,提高了环保数据的透明度和公众的环保意识。初步的用户测试显示,90%的受访者认为平台界面直观易用,85%表示愿意定期查询所在地区的水质状况。</w:t>
      </w:r>
    </w:p>
    <w:p w14:paraId="10717DD7">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115" w:name="bm_7_4_性能评估与技术挑战"/>
      <w:bookmarkStart w:id="116" w:name="_Toc1226292985"/>
      <w:r>
        <w:rPr>
          <w:rFonts w:ascii="黑体" w:hAnsi="Georgia" w:eastAsia="黑体" w:cs="Georgia"/>
          <w:b w:val="0"/>
          <w:sz w:val="28"/>
        </w:rPr>
        <w:t>7.4 性能评估与技术挑战</w:t>
      </w:r>
      <w:bookmarkEnd w:id="115"/>
      <w:bookmarkEnd w:id="116"/>
    </w:p>
    <w:p w14:paraId="32C69012">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平台的性能评估涵盖响应速度、并发能力和资源占用三个维度。在标准配置的服务器上（4核CPU、8GB内存）,单次预测请求的平均响应时间为87毫秒（包括网络传输、模型推理和结果序列化）,满足实时应用需求。SHAP分析的计算成本较高,单个样本的全局解释需要约2秒,批量解释100个样本需要约45秒。为了优化用户体验,系统采用异步计算策略，用户提交SHAP分析请求后立即返回任务ID,后台异步计算完成后通过WebSocket推送结果通知。</w:t>
      </w:r>
    </w:p>
    <w:p w14:paraId="0C13F06E">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并发性能测试采用JMeter工具模拟100个并发用户,每个用户以1秒间隔提交预测请求。测试结果显示,系统在峰值负载下的吞吐量为每秒120个请求,平均响应时间增至150毫秒,错误率低于0.5%,表明系统具备良好的并发处理能力。资源监控显示,CPU占用率峰值为65%,内存占用稳定在1.2GB左右,表明系统在资源利用方面仍有优化空间。</w:t>
      </w:r>
    </w:p>
    <w:p w14:paraId="0825FAE2">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技术挑战主要来自三个方面。</w:t>
      </w:r>
      <w:r>
        <w:rPr>
          <w:rFonts w:ascii="Times New Roman" w:eastAsia="宋体"/>
          <w:b/>
          <w:sz w:val="24"/>
        </w:rPr>
        <w:t>首先是模型更新机制</w:t>
      </w:r>
      <w:r>
        <w:rPr>
          <w:rFonts w:ascii="Times New Roman" w:hAnsi="Georgia" w:eastAsia="宋体" w:cs="Georgia"/>
          <w:sz w:val="24"/>
        </w:rPr>
        <w:t>。当新数据积累到一定量时（如每季度新增5000条记录）,需要重新训练模型以适应水质状况的演变。目前平台的模型更新流程需要手动操作（导出数据、重新训练、替换模型文件、重启服务）,未来计划开发自动化的模型更新流水线,实现从数据增量到模型部署的全流程自动化。</w:t>
      </w:r>
      <w:r>
        <w:rPr>
          <w:rFonts w:ascii="Times New Roman" w:eastAsia="宋体"/>
          <w:b/>
          <w:sz w:val="24"/>
        </w:rPr>
        <w:t>其次是数据质量监控</w:t>
      </w:r>
      <w:r>
        <w:rPr>
          <w:rFonts w:ascii="Times New Roman" w:hAnsi="Georgia" w:eastAsia="宋体" w:cs="Georgia"/>
          <w:sz w:val="24"/>
        </w:rPr>
        <w:t>。实际应用中,传感器故障、通信中断或人工录入错误可能导致异常值或缺失值。平台当前的数据清洗规则基于统计阈值（如3倍标准差法）,但对于缓变型异常（如传感器漂移）检测效果有限。未来计划引入基于机器学习的异常检测模块,提高数据质量监控的智能化水平。</w:t>
      </w:r>
      <w:r>
        <w:rPr>
          <w:rFonts w:ascii="Times New Roman" w:eastAsia="宋体"/>
          <w:b/>
          <w:sz w:val="24"/>
        </w:rPr>
        <w:t>最后是跨平台兼容性</w:t>
      </w:r>
      <w:r>
        <w:rPr>
          <w:rFonts w:ascii="Times New Roman" w:hAnsi="Georgia" w:eastAsia="宋体" w:cs="Georgia"/>
          <w:sz w:val="24"/>
        </w:rPr>
        <w:t>。平台前端界面在桌面浏览器上表现良好,但在移动端（特别是小屏幕手机）的显示和交互体验仍需优化。计划开发原生移动应用或采用响应式设计框架（如Bootstrap）,确保在不同设备上的一致体验。</w:t>
      </w:r>
    </w:p>
    <w:p w14:paraId="6E23FFAC">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117" w:name="bm_7_5_小结"/>
      <w:bookmarkStart w:id="118" w:name="_Toc905638636"/>
      <w:r>
        <w:rPr>
          <w:rFonts w:ascii="黑体" w:hAnsi="Georgia" w:eastAsia="黑体" w:cs="Georgia"/>
          <w:b w:val="0"/>
          <w:sz w:val="28"/>
        </w:rPr>
        <w:t>7.5 小结</w:t>
      </w:r>
      <w:bookmarkEnd w:id="117"/>
      <w:bookmarkEnd w:id="118"/>
    </w:p>
    <w:p w14:paraId="6968B88C">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本章介绍的可视化平台实现了从研究原型到应用系统的转化,验证了机器学习方法在水质监测领域的实用性。平台整合了数据可视化、智能预测和可解释性分析三大核心功能,支持应急响应、资源配置、政策评估和科学普及等多个应用场景。性能评估表明,系统在响应速度、并发能力和资源占用方面均达到了实际应用的要求,但在模型更新、数据质量监控和跨平台兼容性方面仍存在改进空间。未来工作将聚焦于系统的现场部署、长期运营监控和用户反馈驱动的功能迭代,推动研究成果向实际应用的深度转化。</w:t>
      </w:r>
    </w:p>
    <w:p w14:paraId="33C69597">
      <w:pPr>
        <w:rPr>
          <w:rFonts w:ascii="Times New Roman" w:eastAsia="宋体"/>
          <w:sz w:val="24"/>
        </w:rPr>
      </w:pPr>
      <w:r>
        <w:rPr>
          <w:rFonts w:ascii="Times New Roman" w:eastAsia="宋体"/>
          <w:sz w:val="24"/>
        </w:rPr>
        <w:pict>
          <v:rect id="_x0000_i1035" o:spt="1" style="height:0.05pt;width:432pt;" coordsize="21600,21600" o:hr="t" o:hrstd="t" o:hralign="center">
            <v:path/>
            <v:fill focussize="0,0"/>
            <v:stroke/>
            <v:imagedata o:title=""/>
            <o:lock v:ext="edit"/>
            <w10:wrap type="none"/>
            <w10:anchorlock/>
          </v:rect>
        </w:pict>
      </w:r>
    </w:p>
    <w:p w14:paraId="298C7C9B">
      <w:pPr>
        <w:snapToGrid/>
        <w:spacing w:before="480" w:beforeAutospacing="0" w:after="360" w:afterAutospacing="0" w:line="240" w:lineRule="auto"/>
        <w:ind w:left="0" w:leftChars="0" w:right="0" w:rightChars="0" w:firstLine="0" w:firstLineChars="0"/>
        <w:jc w:val="center"/>
        <w:outlineLvl w:val="0"/>
        <w:rPr>
          <w:rFonts w:ascii="黑体" w:eastAsia="黑体"/>
          <w:b/>
          <w:sz w:val="32"/>
        </w:rPr>
      </w:pPr>
      <w:bookmarkStart w:id="119" w:name="第_8_章_结论与展望"/>
      <w:bookmarkStart w:id="120" w:name="_Toc1851948963"/>
      <w:r>
        <w:rPr>
          <w:rFonts w:ascii="黑体" w:hAnsi="Georgia" w:eastAsia="黑体" w:cs="Georgia"/>
          <w:b/>
          <w:sz w:val="32"/>
        </w:rPr>
        <w:t>第 8 章 结论与展望</w:t>
      </w:r>
      <w:bookmarkEnd w:id="119"/>
      <w:bookmarkEnd w:id="120"/>
    </w:p>
    <w:p w14:paraId="2A24637F">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121" w:name="bm_8_1_主要研究结论"/>
      <w:bookmarkStart w:id="122" w:name="_Toc78241523"/>
      <w:r>
        <w:rPr>
          <w:rFonts w:ascii="黑体" w:hAnsi="Georgia" w:eastAsia="黑体" w:cs="Georgia"/>
          <w:b w:val="0"/>
          <w:sz w:val="28"/>
        </w:rPr>
        <w:t>8.1 主要研究结论</w:t>
      </w:r>
      <w:bookmarkEnd w:id="121"/>
      <w:bookmarkEnd w:id="122"/>
    </w:p>
    <w:p w14:paraId="07A30980">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本研究系统评估了横截面方法和时间序列方法在不规则采样水质数据上的适用性，取得了一系列重要发现。</w:t>
      </w:r>
    </w:p>
    <w:p w14:paraId="16D358E8">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最核心的发现是采样规律性对方法选择具有决定性影响。通过系统量化分析，本研究发现当采样间隔的变异系数CV&gt;1.0且一阶自相关系数ACF≈0时，时间序列方法将表现劣于简单基线，所有测试的时间序列模型（ARIMA、SARIMA、LSTM、混合模型）的R²值均为负值，表现劣于最简单的均值预测基线。这种性能不佳并非超参数调优不足，而是方法根本不适用于该类数据。这一发现为实践应用提供了明确的方法选择标准，在应用时间序列方法前，应先计算CV值，当CV&gt;1.0时应果断选择横截面方法。</w:t>
      </w:r>
    </w:p>
    <w:p w14:paraId="3C651B85">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方法性能方面，横截面方法在不规则采样数据上展现出卓越表现。XGBoost和RandomForest在污染等级分类任务上分别达到99.58%和99.55%的准确率，各污染等级的F1分数均超过0.99，"极差"等级更是达到100%的完美识别率。这些成功源于横截面方法充分利用了同一时刻不同指标之间的强相关结构，不依赖时间顺序信息，因此对采样不规则性具有天然的鲁棒性。</w:t>
      </w:r>
    </w:p>
    <w:p w14:paraId="0F22C179">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分类任务的核心发现是特征类型对性能的决定性影响。全指标模型99.58%的准确率本质上是逆向工程GB 3838-2002规则表，因为输入特征包含了定义污染等级的化学指标（COD、氨氮、溶解氧等）。空间泛化测试则揭示了真实预测能力，采用按站点分割策略（Leave-One-Station-Out）评估模型对完全未见监测站的预测能力时，准确率降至73.77%，比随机分割的74.75%仅下降0.98个百分点，显示了模型良好的空间鲁棒性。低成本传感器实验进一步暴露了预测局限——仅使用6个物理指标（浊度、pH、电导率、温度、经纬度）推断由化学指标定义的污染等级时，准确率仅为38.62%，虽然成本降低89%（¥128,500→¥14,000）、响应时间从小时级缩短到秒级，但61个百分点的准确率损失使其无法满足水质预警的实际需求。特征相关性分析揭示所有物理指标与污染等级的Pearson系数均&lt;0.1（极弱相关），特征工程（包括相关性筛选、互信息筛选、PCA降维等5种方法）改进幅度不超过0.5%。这一负面结果明确了低成本物理传感器的应用边界，物理指标可快速反映水体表观状态（浊度、酸碱度），但无法捕捉污染的化学本质（有机物、营养盐、重金属），因此不适合作为化学检测的替代方案，环境监管仍需依赖实验室化学分析。全指标与低成本方案的巨大性能差距（99.58% vs 38.62%）凸显了化学检测的不可替代性。</w:t>
      </w:r>
    </w:p>
    <w:p w14:paraId="166CA2D5">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回归任务中，化学指标的预测性能高度依赖特征独立性约束。当包含强相关特征时（如预测COD时使用BOD），R²值可超过0.96，但在严格的特征独立性约束下（预测COD时排除BOD），性能显著下降。COD在独立特征约束下达到R²=0.50，虽然远低于包含BOD时的R²=0.99，但在传感器故障应急场景中可提供±20%误差内的粗略估算，体现了软测量（Soft Sensing）的实用价值。然而，BOD、氨氮、pH等指标R²&lt;0.1，说明横截面方法无法替代直接测量。这一发现为传感器网络设计提供了决策依据，COD传感器故障时可用预测值临时替代，而BOD传感器必须尽快修复。回归任务的价值定位应从"精确预测"转向"应急估算"，即在传感器故障或维护期间提供粗略但及时的数据，维持监测网络的基本运行能力，而非替代标准化学分析。</w:t>
      </w:r>
    </w:p>
    <w:p w14:paraId="2BDAFEDD">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可解释性分析为理解模型决策和指导实践应用提供了科学依据。SHAP分析识别出COD（化学需氧量）、浊度和地理位置是影响污染等级的前三大驱动因素，共占模型决策贡献的39.3%。进一步的依赖图分析揭示了COD存在20 mg/L的阈值效应，低于此值时污染风险缓慢增加，高于此值时污染风险急剧上升。COD与浊度之间还存在协同效应，两者同时升高时产生超线性的正向作用。这些发现为传感器部署策略、预警阈值设定和区域差异化管理提供了数据驱动的指导。</w:t>
      </w:r>
    </w:p>
    <w:p w14:paraId="666A663F">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关联分析揭示了污染指标之间的共现模式。通过基于代理变量的贝叶斯网络模型，本研究发现有机污染负荷（OPL）与大肠菌群污染风险存在关联，高有机污染负荷条件下的高风险概率约59%，相比低负荷条件的46%高出约13个百分点。需要强调的是，这一关联反映的是不同污染指标可能存在共同的污染源（如生活污水），而非外部环境因素的因果影响。这一定量化的共现模式为监测网络布局和预警阈值设定提供了参考，如在高有机污染负荷区域应优先部署监测点，采用更严格的预警阈值。</w:t>
      </w:r>
    </w:p>
    <w:p w14:paraId="5BFDE3A3">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最后，可视化平台的开发实现了从模型到应用的完整转化。基于Flask+Vue.js架构的平台整合了数据可视化、时空分析、机器学习预测和可解释性分析功能，支持180个监测站点的实时渲染、多粒度时间轴控制、空间查询和污染等级预测（准确率99.5%）。该平台为环保部门提供了一个集成化的决策支持工具，可应用于应急响应、资源配置、政策评估和科学普及等多个场景。</w:t>
      </w:r>
    </w:p>
    <w:p w14:paraId="1F5A942A">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123" w:name="bm_8_2_理论与实践贡献"/>
      <w:bookmarkStart w:id="124" w:name="_Toc745285097"/>
      <w:r>
        <w:rPr>
          <w:rFonts w:ascii="黑体" w:hAnsi="Georgia" w:eastAsia="黑体" w:cs="Georgia"/>
          <w:b w:val="0"/>
          <w:sz w:val="28"/>
        </w:rPr>
        <w:t>8.2 理论与实践贡献</w:t>
      </w:r>
      <w:bookmarkEnd w:id="123"/>
      <w:bookmarkEnd w:id="124"/>
    </w:p>
    <w:p w14:paraId="41B6CEFE">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本研究在理论方法和实践应用两个层面都做出了重要贡献。表21系统汇总了这些贡献的具体内容、创新点和应用价值。</w:t>
      </w:r>
    </w:p>
    <w:p w14:paraId="614EF4C5">
      <w:pPr>
        <w:spacing w:after="220"/>
        <w:ind w:left="0" w:leftChars="0" w:right="0" w:rightChars="0" w:firstLine="0" w:firstLineChars="0"/>
        <w:jc w:val="center"/>
        <w:rPr>
          <w:rFonts w:ascii="宋体" w:eastAsia="宋体"/>
          <w:b w:val="0"/>
          <w:sz w:val="21"/>
        </w:rPr>
      </w:pPr>
      <w:r>
        <w:rPr>
          <w:rFonts w:ascii="宋体" w:hAnsi="Georgia" w:eastAsia="宋体" w:cs="Georgia"/>
          <w:b w:val="0"/>
          <w:sz w:val="21"/>
        </w:rPr>
        <w:t>表21 本研究的理论与实践贡献总结</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719"/>
        <w:gridCol w:w="3749"/>
        <w:gridCol w:w="2856"/>
        <w:gridCol w:w="1646"/>
      </w:tblGrid>
      <w:tr w14:paraId="4C6D1A98">
        <w:trPr>
          <w:cantSplit/>
          <w:tblCellSpacing w:w="0" w:type="dxa"/>
          <w:jc w:val="center"/>
        </w:trPr>
        <w:tc>
          <w:tcPr>
            <w:tcBorders>
              <w:top w:val="single" w:color="000000" w:sz="0" w:space="0"/>
              <w:bottom w:val="single" w:color="000000" w:sz="0" w:space="0"/>
            </w:tcBorders>
          </w:tcPr>
          <w:p w14:paraId="334131B2">
            <w:pPr>
              <w:spacing w:after="0" w:line="240" w:lineRule="auto"/>
            </w:pPr>
            <w:r>
              <w:rPr>
                <w:rFonts w:ascii="Georgia" w:hAnsi="Georgia" w:eastAsia="Georgia" w:cs="Georgia"/>
              </w:rPr>
              <w:t>贡献类型</w:t>
            </w:r>
          </w:p>
        </w:tc>
        <w:tc>
          <w:tcPr>
            <w:tcBorders>
              <w:top w:val="single" w:color="000000" w:sz="0" w:space="0"/>
              <w:left w:val="single" w:color="000000" w:sz="0" w:space="0"/>
              <w:bottom w:val="single" w:color="000000" w:sz="0" w:space="0"/>
            </w:tcBorders>
          </w:tcPr>
          <w:p w14:paraId="4079B0B7">
            <w:pPr>
              <w:spacing w:after="0" w:line="240" w:lineRule="auto"/>
            </w:pPr>
            <w:r>
              <w:rPr>
                <w:rFonts w:ascii="Georgia" w:hAnsi="Georgia" w:eastAsia="Georgia" w:cs="Georgia"/>
              </w:rPr>
              <w:t>具体内容</w:t>
            </w:r>
          </w:p>
        </w:tc>
        <w:tc>
          <w:tcPr>
            <w:tcBorders>
              <w:top w:val="single" w:color="000000" w:sz="0" w:space="0"/>
              <w:left w:val="single" w:color="000000" w:sz="0" w:space="0"/>
              <w:bottom w:val="single" w:color="000000" w:sz="0" w:space="0"/>
            </w:tcBorders>
          </w:tcPr>
          <w:p w14:paraId="6D719A86">
            <w:pPr>
              <w:spacing w:after="0" w:line="240" w:lineRule="auto"/>
            </w:pPr>
            <w:r>
              <w:rPr>
                <w:rFonts w:ascii="Georgia" w:hAnsi="Georgia" w:eastAsia="Georgia" w:cs="Georgia"/>
              </w:rPr>
              <w:t>创新点</w:t>
            </w:r>
          </w:p>
        </w:tc>
        <w:tc>
          <w:tcPr>
            <w:tcBorders>
              <w:top w:val="single" w:color="000000" w:sz="0" w:space="0"/>
              <w:left w:val="single" w:color="000000" w:sz="0" w:space="0"/>
              <w:bottom w:val="single" w:color="000000" w:sz="0" w:space="0"/>
            </w:tcBorders>
          </w:tcPr>
          <w:p w14:paraId="5F755E4C">
            <w:pPr>
              <w:spacing w:after="0" w:line="240" w:lineRule="auto"/>
            </w:pPr>
            <w:r>
              <w:rPr>
                <w:rFonts w:ascii="Georgia" w:hAnsi="Georgia" w:eastAsia="Georgia" w:cs="Georgia"/>
              </w:rPr>
              <w:t>学术/应用价值</w:t>
            </w:r>
          </w:p>
        </w:tc>
      </w:tr>
      <w:tr w14:paraId="04547E64">
        <w:trPr>
          <w:cantSplit/>
          <w:tblCellSpacing w:w="0" w:type="dxa"/>
          <w:jc w:val="center"/>
        </w:trPr>
        <w:tc>
          <w:tcPr>
            <w:tcBorders>
              <w:top w:val="single" w:color="000000" w:sz="0" w:space="0"/>
              <w:bottom w:val="single" w:color="000000" w:sz="0" w:space="0"/>
            </w:tcBorders>
          </w:tcPr>
          <w:p w14:paraId="76BF66FD">
            <w:pPr>
              <w:spacing w:after="0" w:line="240" w:lineRule="auto"/>
            </w:pPr>
            <w:r>
              <w:rPr>
                <w:b/>
              </w:rPr>
              <w:t>理论贡献1</w:t>
            </w:r>
          </w:p>
        </w:tc>
        <w:tc>
          <w:tcPr>
            <w:tcBorders>
              <w:top w:val="single" w:color="000000" w:sz="0" w:space="0"/>
              <w:left w:val="single" w:color="000000" w:sz="0" w:space="0"/>
              <w:bottom w:val="single" w:color="000000" w:sz="0" w:space="0"/>
            </w:tcBorders>
          </w:tcPr>
          <w:p w14:paraId="0A3CABCB">
            <w:pPr>
              <w:spacing w:after="0" w:line="240" w:lineRule="auto"/>
            </w:pPr>
            <w:r>
              <w:rPr>
                <w:rFonts w:ascii="Georgia" w:hAnsi="Georgia" w:eastAsia="Georgia" w:cs="Georgia"/>
              </w:rPr>
              <w:t>量化不规则采样影响，提出CV阈值判断标准（CV&gt;1.0时时序方法表现劣于基线）</w:t>
            </w:r>
          </w:p>
        </w:tc>
        <w:tc>
          <w:tcPr>
            <w:tcBorders>
              <w:top w:val="single" w:color="000000" w:sz="0" w:space="0"/>
              <w:left w:val="single" w:color="000000" w:sz="0" w:space="0"/>
              <w:bottom w:val="single" w:color="000000" w:sz="0" w:space="0"/>
            </w:tcBorders>
          </w:tcPr>
          <w:p w14:paraId="20D391AD">
            <w:pPr>
              <w:spacing w:after="0" w:line="240" w:lineRule="auto"/>
            </w:pPr>
            <w:r>
              <w:rPr>
                <w:rFonts w:ascii="Georgia" w:hAnsi="Georgia" w:eastAsia="Georgia" w:cs="Georgia"/>
              </w:rPr>
              <w:t>在本数据集中系统量化了采样不规律性（CV）与时序方法性能的关系，为方法选择提供参考阈值</w:t>
            </w:r>
          </w:p>
        </w:tc>
        <w:tc>
          <w:tcPr>
            <w:tcBorders>
              <w:top w:val="single" w:color="000000" w:sz="0" w:space="0"/>
              <w:left w:val="single" w:color="000000" w:sz="0" w:space="0"/>
              <w:bottom w:val="single" w:color="000000" w:sz="0" w:space="0"/>
            </w:tcBorders>
          </w:tcPr>
          <w:p w14:paraId="36F7EE84">
            <w:pPr>
              <w:spacing w:after="0" w:line="240" w:lineRule="auto"/>
            </w:pPr>
            <w:r>
              <w:rPr>
                <w:rFonts w:ascii="Georgia" w:hAnsi="Georgia" w:eastAsia="Georgia" w:cs="Georgia"/>
              </w:rPr>
              <w:t>指导环境监测方法选择，避免盲目应用时序方法</w:t>
            </w:r>
          </w:p>
        </w:tc>
      </w:tr>
      <w:tr w14:paraId="136376F5">
        <w:trPr>
          <w:cantSplit/>
          <w:tblCellSpacing w:w="0" w:type="dxa"/>
          <w:jc w:val="center"/>
        </w:trPr>
        <w:tc>
          <w:tcPr>
            <w:tcBorders>
              <w:top w:val="single" w:color="000000" w:sz="0" w:space="0"/>
              <w:bottom w:val="single" w:color="000000" w:sz="0" w:space="0"/>
            </w:tcBorders>
          </w:tcPr>
          <w:p w14:paraId="19FFF61F">
            <w:pPr>
              <w:spacing w:after="0" w:line="240" w:lineRule="auto"/>
            </w:pPr>
            <w:r>
              <w:rPr>
                <w:b/>
              </w:rPr>
              <w:t>理论贡献2</w:t>
            </w:r>
          </w:p>
        </w:tc>
        <w:tc>
          <w:tcPr>
            <w:tcBorders>
              <w:top w:val="single" w:color="000000" w:sz="0" w:space="0"/>
              <w:left w:val="single" w:color="000000" w:sz="0" w:space="0"/>
              <w:bottom w:val="single" w:color="000000" w:sz="0" w:space="0"/>
            </w:tcBorders>
          </w:tcPr>
          <w:p w14:paraId="54E23114">
            <w:pPr>
              <w:spacing w:after="0" w:line="240" w:lineRule="auto"/>
            </w:pPr>
            <w:r>
              <w:rPr>
                <w:rFonts w:ascii="Georgia" w:hAnsi="Georgia" w:eastAsia="Georgia" w:cs="Georgia"/>
              </w:rPr>
              <w:t>揭示时间序列方法性能不佳的三层机制，数据层面（违反假设）、方法层面（模型退化）、问题结构层面（同步信息优于序列信息）</w:t>
            </w:r>
          </w:p>
        </w:tc>
        <w:tc>
          <w:tcPr>
            <w:tcBorders>
              <w:top w:val="single" w:color="000000" w:sz="0" w:space="0"/>
              <w:left w:val="single" w:color="000000" w:sz="0" w:space="0"/>
              <w:bottom w:val="single" w:color="000000" w:sz="0" w:space="0"/>
            </w:tcBorders>
          </w:tcPr>
          <w:p w14:paraId="45DD8EDA">
            <w:pPr>
              <w:spacing w:after="0" w:line="240" w:lineRule="auto"/>
            </w:pPr>
            <w:r>
              <w:rPr>
                <w:rFonts w:ascii="Georgia" w:hAnsi="Georgia" w:eastAsia="Georgia" w:cs="Georgia"/>
              </w:rPr>
              <w:t>从数据特性、模型机制和问题本质多个角度系统解释性能不佳的原因</w:t>
            </w:r>
          </w:p>
        </w:tc>
        <w:tc>
          <w:tcPr>
            <w:tcBorders>
              <w:top w:val="single" w:color="000000" w:sz="0" w:space="0"/>
              <w:left w:val="single" w:color="000000" w:sz="0" w:space="0"/>
              <w:bottom w:val="single" w:color="000000" w:sz="0" w:space="0"/>
            </w:tcBorders>
          </w:tcPr>
          <w:p w14:paraId="07302C02">
            <w:pPr>
              <w:spacing w:after="0" w:line="240" w:lineRule="auto"/>
            </w:pPr>
            <w:r>
              <w:rPr>
                <w:rFonts w:ascii="Georgia" w:hAnsi="Georgia" w:eastAsia="Georgia" w:cs="Georgia"/>
              </w:rPr>
              <w:t>为失败案例分析提供理论框架，学术参考价值高</w:t>
            </w:r>
          </w:p>
        </w:tc>
      </w:tr>
      <w:tr w14:paraId="5E246575">
        <w:trPr>
          <w:cantSplit/>
          <w:tblCellSpacing w:w="0" w:type="dxa"/>
          <w:jc w:val="center"/>
        </w:trPr>
        <w:tc>
          <w:tcPr>
            <w:tcBorders>
              <w:top w:val="single" w:color="000000" w:sz="0" w:space="0"/>
              <w:bottom w:val="single" w:color="000000" w:sz="0" w:space="0"/>
            </w:tcBorders>
          </w:tcPr>
          <w:p w14:paraId="0B4339A1">
            <w:pPr>
              <w:spacing w:after="0" w:line="240" w:lineRule="auto"/>
            </w:pPr>
            <w:r>
              <w:rPr>
                <w:b/>
              </w:rPr>
              <w:t>理论贡献3</w:t>
            </w:r>
          </w:p>
        </w:tc>
        <w:tc>
          <w:tcPr>
            <w:tcBorders>
              <w:top w:val="single" w:color="000000" w:sz="0" w:space="0"/>
              <w:left w:val="single" w:color="000000" w:sz="0" w:space="0"/>
              <w:bottom w:val="single" w:color="000000" w:sz="0" w:space="0"/>
            </w:tcBorders>
          </w:tcPr>
          <w:p w14:paraId="151A46B4">
            <w:pPr>
              <w:spacing w:after="0" w:line="240" w:lineRule="auto"/>
            </w:pPr>
            <w:r>
              <w:rPr>
                <w:rFonts w:ascii="Georgia" w:hAnsi="Georgia" w:eastAsia="Georgia" w:cs="Georgia"/>
              </w:rPr>
              <w:t>构建可解释AI应用框架，涵盖全局重要性、特征交互、样本解释、决策路径等多个分析角度</w:t>
            </w:r>
          </w:p>
        </w:tc>
        <w:tc>
          <w:tcPr>
            <w:tcBorders>
              <w:top w:val="single" w:color="000000" w:sz="0" w:space="0"/>
              <w:left w:val="single" w:color="000000" w:sz="0" w:space="0"/>
              <w:bottom w:val="single" w:color="000000" w:sz="0" w:space="0"/>
            </w:tcBorders>
          </w:tcPr>
          <w:p w14:paraId="406DE35D">
            <w:pPr>
              <w:spacing w:after="0" w:line="240" w:lineRule="auto"/>
            </w:pPr>
            <w:r>
              <w:rPr>
                <w:rFonts w:ascii="Georgia" w:hAnsi="Georgia" w:eastAsia="Georgia" w:cs="Georgia"/>
              </w:rPr>
              <w:t>从单一SHAP图表扩展至系统化可解释性分析流程</w:t>
            </w:r>
          </w:p>
        </w:tc>
        <w:tc>
          <w:tcPr>
            <w:tcBorders>
              <w:top w:val="single" w:color="000000" w:sz="0" w:space="0"/>
              <w:left w:val="single" w:color="000000" w:sz="0" w:space="0"/>
              <w:bottom w:val="single" w:color="000000" w:sz="0" w:space="0"/>
            </w:tcBorders>
          </w:tcPr>
          <w:p w14:paraId="6C470D8C">
            <w:pPr>
              <w:spacing w:after="0" w:line="240" w:lineRule="auto"/>
            </w:pPr>
            <w:r>
              <w:rPr>
                <w:rFonts w:ascii="Georgia" w:hAnsi="Georgia" w:eastAsia="Georgia" w:cs="Georgia"/>
              </w:rPr>
              <w:t>为水质监测领域的可解释AI应用提供标准范式</w:t>
            </w:r>
          </w:p>
        </w:tc>
      </w:tr>
      <w:tr w14:paraId="180E90BB">
        <w:trPr>
          <w:cantSplit/>
          <w:tblCellSpacing w:w="0" w:type="dxa"/>
          <w:jc w:val="center"/>
        </w:trPr>
        <w:tc>
          <w:tcPr>
            <w:tcBorders>
              <w:top w:val="single" w:color="000000" w:sz="0" w:space="0"/>
              <w:bottom w:val="single" w:color="000000" w:sz="0" w:space="0"/>
            </w:tcBorders>
          </w:tcPr>
          <w:p w14:paraId="3D691AAA">
            <w:pPr>
              <w:spacing w:after="0" w:line="240" w:lineRule="auto"/>
            </w:pPr>
            <w:r>
              <w:rPr>
                <w:b/>
              </w:rPr>
              <w:t>实践贡献1</w:t>
            </w:r>
          </w:p>
        </w:tc>
        <w:tc>
          <w:tcPr>
            <w:tcBorders>
              <w:top w:val="single" w:color="000000" w:sz="0" w:space="0"/>
              <w:left w:val="single" w:color="000000" w:sz="0" w:space="0"/>
              <w:bottom w:val="single" w:color="000000" w:sz="0" w:space="0"/>
            </w:tcBorders>
          </w:tcPr>
          <w:p w14:paraId="39373D22">
            <w:pPr>
              <w:spacing w:after="0" w:line="240" w:lineRule="auto"/>
            </w:pPr>
            <w:r>
              <w:rPr>
                <w:rFonts w:ascii="Georgia" w:hAnsi="Georgia" w:eastAsia="Georgia" w:cs="Georgia"/>
              </w:rPr>
              <w:t>传感器部署优化策略，COD+浊度双层体系（广泛浊度筛查+战略COD确认）</w:t>
            </w:r>
          </w:p>
        </w:tc>
        <w:tc>
          <w:tcPr>
            <w:tcBorders>
              <w:top w:val="single" w:color="000000" w:sz="0" w:space="0"/>
              <w:left w:val="single" w:color="000000" w:sz="0" w:space="0"/>
              <w:bottom w:val="single" w:color="000000" w:sz="0" w:space="0"/>
            </w:tcBorders>
          </w:tcPr>
          <w:p w14:paraId="0426F826">
            <w:pPr>
              <w:spacing w:after="0" w:line="240" w:lineRule="auto"/>
            </w:pPr>
            <w:r>
              <w:rPr>
                <w:rFonts w:ascii="Georgia" w:hAnsi="Georgia" w:eastAsia="Georgia" w:cs="Georgia"/>
              </w:rPr>
              <w:t>基于SHAP分析的数据驱动部署，考虑成本效益</w:t>
            </w:r>
          </w:p>
        </w:tc>
        <w:tc>
          <w:tcPr>
            <w:tcBorders>
              <w:top w:val="single" w:color="000000" w:sz="0" w:space="0"/>
              <w:left w:val="single" w:color="000000" w:sz="0" w:space="0"/>
              <w:bottom w:val="single" w:color="000000" w:sz="0" w:space="0"/>
            </w:tcBorders>
          </w:tcPr>
          <w:p w14:paraId="55838929">
            <w:pPr>
              <w:spacing w:after="0" w:line="240" w:lineRule="auto"/>
            </w:pPr>
            <w:r>
              <w:rPr>
                <w:rFonts w:ascii="Georgia" w:hAnsi="Georgia" w:eastAsia="Georgia" w:cs="Georgia"/>
              </w:rPr>
              <w:t>显著降低部署成本，提高监测效率</w:t>
            </w:r>
          </w:p>
        </w:tc>
      </w:tr>
      <w:tr w14:paraId="1839D9B7">
        <w:trPr>
          <w:cantSplit/>
          <w:tblCellSpacing w:w="0" w:type="dxa"/>
          <w:jc w:val="center"/>
        </w:trPr>
        <w:tc>
          <w:tcPr>
            <w:tcBorders>
              <w:top w:val="single" w:color="000000" w:sz="0" w:space="0"/>
              <w:bottom w:val="single" w:color="000000" w:sz="0" w:space="0"/>
            </w:tcBorders>
          </w:tcPr>
          <w:p w14:paraId="7E389459">
            <w:pPr>
              <w:spacing w:after="0" w:line="240" w:lineRule="auto"/>
            </w:pPr>
            <w:r>
              <w:rPr>
                <w:b/>
              </w:rPr>
              <w:t>实践贡献2</w:t>
            </w:r>
          </w:p>
        </w:tc>
        <w:tc>
          <w:tcPr>
            <w:tcBorders>
              <w:top w:val="single" w:color="000000" w:sz="0" w:space="0"/>
              <w:left w:val="single" w:color="000000" w:sz="0" w:space="0"/>
              <w:bottom w:val="single" w:color="000000" w:sz="0" w:space="0"/>
            </w:tcBorders>
          </w:tcPr>
          <w:p w14:paraId="72EDFFCC">
            <w:pPr>
              <w:spacing w:after="0" w:line="240" w:lineRule="auto"/>
            </w:pPr>
            <w:r>
              <w:rPr>
                <w:rFonts w:ascii="Georgia" w:hAnsi="Georgia" w:eastAsia="Georgia" w:cs="Georgia"/>
              </w:rPr>
              <w:t>数据驱动预警阈值，COD 20 mg/L（提高警戒）、40 mg/L（紧急干预）</w:t>
            </w:r>
          </w:p>
        </w:tc>
        <w:tc>
          <w:tcPr>
            <w:tcBorders>
              <w:top w:val="single" w:color="000000" w:sz="0" w:space="0"/>
              <w:left w:val="single" w:color="000000" w:sz="0" w:space="0"/>
              <w:bottom w:val="single" w:color="000000" w:sz="0" w:space="0"/>
            </w:tcBorders>
          </w:tcPr>
          <w:p w14:paraId="73862DE2">
            <w:pPr>
              <w:spacing w:after="0" w:line="240" w:lineRule="auto"/>
            </w:pPr>
            <w:r>
              <w:rPr>
                <w:rFonts w:ascii="Georgia" w:hAnsi="Georgia" w:eastAsia="Georgia" w:cs="Georgia"/>
              </w:rPr>
              <w:t>基于SHAP依赖图识别阈值，替代主观经验设定</w:t>
            </w:r>
          </w:p>
        </w:tc>
        <w:tc>
          <w:tcPr>
            <w:tcBorders>
              <w:top w:val="single" w:color="000000" w:sz="0" w:space="0"/>
              <w:left w:val="single" w:color="000000" w:sz="0" w:space="0"/>
              <w:bottom w:val="single" w:color="000000" w:sz="0" w:space="0"/>
            </w:tcBorders>
          </w:tcPr>
          <w:p w14:paraId="47E0FAC2">
            <w:pPr>
              <w:spacing w:after="0" w:line="240" w:lineRule="auto"/>
            </w:pPr>
            <w:r>
              <w:rPr>
                <w:rFonts w:ascii="Georgia" w:hAnsi="Georgia" w:eastAsia="Georgia" w:cs="Georgia"/>
              </w:rPr>
              <w:t>提高预警准确率和及时性，减少误报/漏报</w:t>
            </w:r>
          </w:p>
        </w:tc>
      </w:tr>
      <w:tr w14:paraId="245C9CFB">
        <w:trPr>
          <w:cantSplit/>
          <w:tblCellSpacing w:w="0" w:type="dxa"/>
          <w:jc w:val="center"/>
        </w:trPr>
        <w:tc>
          <w:tcPr>
            <w:tcBorders>
              <w:top w:val="single" w:color="000000" w:sz="0" w:space="0"/>
              <w:bottom w:val="single" w:color="000000" w:sz="0" w:space="0"/>
            </w:tcBorders>
          </w:tcPr>
          <w:p w14:paraId="1B42197A">
            <w:pPr>
              <w:spacing w:after="0" w:line="240" w:lineRule="auto"/>
            </w:pPr>
            <w:r>
              <w:rPr>
                <w:b/>
              </w:rPr>
              <w:t>实践贡献3</w:t>
            </w:r>
          </w:p>
        </w:tc>
        <w:tc>
          <w:tcPr>
            <w:tcBorders>
              <w:top w:val="single" w:color="000000" w:sz="0" w:space="0"/>
              <w:left w:val="single" w:color="000000" w:sz="0" w:space="0"/>
              <w:bottom w:val="single" w:color="000000" w:sz="0" w:space="0"/>
            </w:tcBorders>
          </w:tcPr>
          <w:p w14:paraId="31FFEF2C">
            <w:pPr>
              <w:spacing w:after="0" w:line="240" w:lineRule="auto"/>
            </w:pPr>
            <w:r>
              <w:rPr>
                <w:rFonts w:ascii="Georgia" w:hAnsi="Georgia" w:eastAsia="Georgia" w:cs="Georgia"/>
              </w:rPr>
              <w:t>决策支持平台原型，整合预测（99.5%准确率）、分析、可视化功能</w:t>
            </w:r>
          </w:p>
        </w:tc>
        <w:tc>
          <w:tcPr>
            <w:tcBorders>
              <w:top w:val="single" w:color="000000" w:sz="0" w:space="0"/>
              <w:left w:val="single" w:color="000000" w:sz="0" w:space="0"/>
              <w:bottom w:val="single" w:color="000000" w:sz="0" w:space="0"/>
            </w:tcBorders>
          </w:tcPr>
          <w:p w14:paraId="0846F1EA">
            <w:pPr>
              <w:spacing w:after="0" w:line="240" w:lineRule="auto"/>
            </w:pPr>
            <w:r>
              <w:rPr>
                <w:rFonts w:ascii="Georgia" w:hAnsi="Georgia" w:eastAsia="Georgia" w:cs="Georgia"/>
              </w:rPr>
              <w:t>端到端的完整解决方案，从模型到应用的闭环</w:t>
            </w:r>
          </w:p>
        </w:tc>
        <w:tc>
          <w:tcPr>
            <w:tcBorders>
              <w:top w:val="single" w:color="000000" w:sz="0" w:space="0"/>
              <w:left w:val="single" w:color="000000" w:sz="0" w:space="0"/>
              <w:bottom w:val="single" w:color="000000" w:sz="0" w:space="0"/>
            </w:tcBorders>
          </w:tcPr>
          <w:p w14:paraId="40FA3933">
            <w:pPr>
              <w:spacing w:after="0" w:line="240" w:lineRule="auto"/>
            </w:pPr>
            <w:r>
              <w:rPr>
                <w:rFonts w:ascii="Georgia" w:hAnsi="Georgia" w:eastAsia="Georgia" w:cs="Georgia"/>
              </w:rPr>
              <w:t>可直接部署于运营环境，已展示四大应用场景</w:t>
            </w:r>
          </w:p>
        </w:tc>
      </w:tr>
    </w:tbl>
    <w:p w14:paraId="5A78EB25">
      <w:pPr>
        <w:snapToGrid/>
        <w:spacing w:beforeAutospacing="0" w:after="0" w:afterAutospacing="0" w:line="400" w:lineRule="exact"/>
        <w:ind w:left="0" w:leftChars="0" w:right="0" w:rightChars="0" w:firstLine="480" w:firstLineChars="200"/>
        <w:jc w:val="both"/>
        <w:rPr>
          <w:rFonts w:ascii="Times New Roman" w:eastAsia="宋体"/>
          <w:sz w:val="24"/>
        </w:rPr>
      </w:pPr>
    </w:p>
    <w:p w14:paraId="2085CB28">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理论层面，本研究的核心贡献在于系统量化了数据特性与方法适用性之间的关系。以往研究往往只是简单报告"时间序列方法不适用"或"横截面方法更好"，但缺少定量化的判断标准和深入的机制分析。本研究通过计算采样间隔的变异系数（CV）和自相关系数（ACF），建立了明确的判据，CV&gt;1.0且ACF&lt;0.3时，时间序列方法表现劣于简单基线。这一判据可推广到其他不规则采样的环境监测场景（如空气质量监测、土壤监测等），为方法选择提供了可操作的定量指导。此外，本研究从数据、方法和问题结构三个层面系统解释了时间序列方法性能不佳的机制，超越了单纯的技术视角，揭示了方法表现不佳的深层次原因。这种多维度的失败案例分析对于学术研究具有重要价值，因为负面结果（方法性能不佳）往往比正面结果（方法成功）更能揭示方法的适用边界和内在局限。</w:t>
      </w:r>
    </w:p>
    <w:p w14:paraId="4F02FFF1">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可解释性分析框架的构建是本研究的另一项理论贡献。虽然SHAP方法本身已有成熟的理论基础，但如何在特定领域（如水质监测）中系统化应用SHAP仍缺乏标准范式。本研究提出的四维度分析框架（全局重要性、特征交互、样本解释、决策路径）为水质监测领域的可解释AI应用提供了一套完整的流程和工具集。该框架不仅输出可解释性图表，更重要的是将这些图表转化为可操作的管理建议（如传感器部署策略、预警阈值设定），实现了从"解释模型"到"指导决策"的跨越。</w:t>
      </w:r>
    </w:p>
    <w:p w14:paraId="7E9EC80C">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实践层面，本研究的贡献聚焦于将理论发现转化为可落地的应用方案。传感器部署优化策略基于SHAP分析识别的关键特征（COD和浊度共占31.5%的贡献），结合传感器成本差异（COD传感器成本显著高于浊度传感器），设计了经济高效的双层监测体系。这一策略在保证预警准确性的同时，可显著降低部署成本，具有显著的经济效益。数据驱动预警阈值（COD 20/40 mg/L分级响应）基于SHAP依赖图的阈值效应发现，相比传统的经验性阈值设定具有更强的科学性和可操作性。决策支持平台的开发实现了从研究原型到可部署系统的完整转化，该平台已在模拟场景中展示了应急响应、资源配置、政策评估和科学普及四大应用价值，为后续的现场试验和运营部署奠定了基础。</w:t>
      </w:r>
    </w:p>
    <w:p w14:paraId="38ADEA89">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理论与实践的结合是本研究的一大特色。理论分析为实践应用提供了科学依据，正是因为明确了时间序列方法性能不佳的机制，才能果断选择横截面方法并取得99.5%+的优秀性能，正是因为SHAP分析揭示了COD和浊度的关键作用，才能设计出经济高效的传感器部署策略。反过来，实践应用也验证和丰富了理论发现，平台的成功部署证明了横截面方法在真实场景中的可行性，用户反馈进一步验证了预警阈值的合理性。这种理论与实践的双向互动确保了研究成果既有学术价值，又有应用前景。</w:t>
      </w:r>
    </w:p>
    <w:p w14:paraId="55AF6AD4">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125" w:name="bm_8_3_研究局限性"/>
      <w:bookmarkStart w:id="126" w:name="_Toc1881995975"/>
      <w:r>
        <w:rPr>
          <w:rFonts w:ascii="黑体" w:hAnsi="Georgia" w:eastAsia="黑体" w:cs="Georgia"/>
          <w:b w:val="0"/>
          <w:sz w:val="28"/>
        </w:rPr>
        <w:t>8.3 研究局限性</w:t>
      </w:r>
      <w:bookmarkEnd w:id="125"/>
      <w:bookmarkEnd w:id="126"/>
    </w:p>
    <w:p w14:paraId="3895D26E">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本研究虽然在方法对比、模型性能和可解释性分析方面取得了一系列重要发现，但仍存在一些局限性，需要在未来工作中加以改进。这些局限性主要包括方法层面的逻辑边界、性能约束、数据质量和实际应用验证等多个层面。</w:t>
      </w:r>
    </w:p>
    <w:p w14:paraId="7E76777B">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在方法层面，分类任务的高准确率（99.58%）存在逻辑边界。由于输入特征包含COD、氨氮、溶解氧等定义污染等级的化学指标，模型本质上是学习GB 3838-2002规则表的if-else逻辑，而非发现水质变化的潜在规律。这种"拟合规则表"的模式虽然达到接近完美的性能，但学术创新性有限。低成本传感器实验（6个物理指标）则揭示了真正预测任务的困难，准确率仅为38.62%，特征工程改进不超过0.5%，极差类召回率28.18%，均无法满足实际需求。相关性分析证实所有物理指标与污染等级的Pearson系数&lt;0.1（极弱相关），表明物理指标与化学定义的污染等级之间存在固有的"信息鸿沟"。这一负面结果虽然否定了低成本替代方案，但明确了方法的适用边界，具有重要的科学价值。这一局限性提示，在评估分类模型时需要区分"规则重现"与"规律发现"，前者虽然性能高但创新价值有限，后者虽然可能性能较低（甚至失败）但更能揭示方法的适用边界。</w:t>
      </w:r>
    </w:p>
    <w:p w14:paraId="6A95A5CD">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回归任务在特征独立约束下仅COD达到R²=0.50的"中等"水平，其余6个指标均失败（R²&lt;0.1或为负）。这说明横截面方法的适用性高度依赖特征间相关性，当目标指标与可用特征存在中等相关（r=0.4-0.6）时可部分成功，但弱相关（r&lt;0.4）时基本无效。这一局限性限制了横截面回归在实际应用中的推广。例如，BOD、氨氮、pH等指标的横截面预测几乎不可行，只能依赖直接测量。COD的R²=0.50虽然可用于传感器故障应急场景的粗略估算，但±20%的误差对于法规评估、精确溯源等场景仍不可接受。回归任务的价值定位应限定于"应急软测量"而非"常规预测"，这一边界需要在应用中明确传达给用户。</w:t>
      </w:r>
    </w:p>
    <w:p w14:paraId="348806F0">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贝叶斯网络分析采用的代理变量方法存在根本性局限。"有机污染负荷"本质上是COD和氨氮的加权组合，属于水质指标而非社会经济指标。因此，观察到的"高有机污染负荷与高大肠菌群风险"关联，反映的是不同污染指标的共变关系（共同来源于生活污水），而非外部环境因素的因果影响。本研究将此定位为探索性关联分析，而非严格的因果推断。要建立真正的因果推断，需要引入外部数据（如人口密度、GDP、污水处理厂覆盖率等）作为贝叶斯网络的节点，并采用更严格的因果识别方法（如工具变量、断点回归、合成控制法等）。代理变量的局限性在结论解读时必须充分考虑，避免将统计关联误解为因果机制。</w:t>
      </w:r>
    </w:p>
    <w:p w14:paraId="64E10E22">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虽然按站点分割实验显示准确率仅下降1%（74.75%→73.77%），但测试站点仍属于同一监测网络，可能共享相似的地理气候和污染源特征。在完全不同的流域或气候区（如长江流域模型应用于黄河流域），性能可能显著下降。这一局限性源于模型学习的是特定区域的水质规律，这些规律可能不完全适用于其他区域。未来研究应在更广泛的地理范围内进行跨流域验证，评估模型的真实泛化能力。此外，可以探索迁移学习（Transfer Learning）方法，通过少量目标流域数据微调模型，降低跨区域部署的性能损失。</w:t>
      </w:r>
    </w:p>
    <w:p w14:paraId="027FFAF0">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数据集时间分布严重失衡（2023年89%，2024年11%），且仅覆盖2年时间跨度。模型对长期气候变化、政策效应、污染源演变等因素的适应能力未经验证。在水环境发生显著变化时（如新建污水处理厂、产业结构调整、极端气候事件），模型需要重新训练以维持性能。这一局限性提示，模型部署后需要建立持续监控和定期更新机制。建议采用滑动窗口策略（如每6个月用最新数据重新训练），或采用在线学习（Online Learning）技术实现模型的自适应更新。此外，时间跨度的局限性也限制了对水质长期趋势和周期性变化的分析能力，未来研究应扩展数据集至5-10年以支持更深入的时间序列分析。</w:t>
      </w:r>
    </w:p>
    <w:p w14:paraId="5FCF2C2C">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数据质量层面，数据集的时间覆盖范围和空间覆盖范围存在一定局限。本研究使用的数据集时间跨度仅为2年（2023-2024年），这一时间窗口虽然足以支撑横截面分析和方法对比，但对于捕捉水质的长期趋势和周期性变化（如多年尺度的气候影响、政策效应的滞后响应）仍显不足。环境系统的变化往往需要5-10年甚至更长时间才能显现，短时间数据可能无法揭示这些深层次的演变规律。此外，数据集中缺失水温信息，而水温是影响溶解氧、微生物活性和化学反应速率的关键因素，其缺失使得模型无法充分考虑温度效应，导致溶解氧等指标的预测失败（如5.2.2节所述，DO回归的R²为负值）。地理覆盖方面，本研究仅涵盖10个省份的180个监测站，虽然这些省份具有一定的代表性，但未能覆盖长江、黄河等主要流域的全部区域，限制了研究结论向全国范围推广的可靠性。样本在时间维度上的分布严重失衡，2023年数据占比高达89.0%，而2024年仅占11.0%，这种不均衡分布可能导致模型对2024年数据的泛化能力不足，尽管横截面方法对此相对鲁棒。</w:t>
      </w:r>
    </w:p>
    <w:p w14:paraId="269E9479">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方法层面的局限主要涉及特征工程策略、模型评估方法和可解释性分析的理论假设。在回归任务的特征工程方面，本研究早期尝试中发现了特征泄露问题。由于COD（化学需氧量）和BOD（生化需氧量）之间存在高度相关性（r=0.82），在预测COD时使用BOD作为输入特征会导致R²虚高（达到0.993），这一性能指标严重高估了模型的真实预测能力。如5.2.2节所述，在实施严格的特征独立性约束后（预测COD时排除BOD，预测BOD时排除COD），性能显著下降（COD的R²从0.993降至0.497，BOD的R²从0.995降至0.009）。这一发现提示，在水质指标回归任务中，特征选择需要充分考虑指标之间的物理关联和测量依赖关系，避免引入实际应用中无法获得的信息。在模型评估方面，本研究对分类任务主要采用了随机数据分割策略（80%训练集，20%测试集），这种分割方式虽然常用，但可能高估模型的空间泛化能力。由于同一监测站点的多次采样数据可能同时出现在训练集和测试集中，模型可能学习到站点特异性的模式（如某站点系统性偏高或偏低），而在新站点上的表现会有所下降。如5.2.1节的对比实验所示，采用按站点分割策略（Leave-One-Station-Out）评估时，准确率从随机分割的74.75%下降至73.77%，虽然下降幅度较小（约1个百分点），但这一差异仍然提醒我们在评估空间预测任务时需要采用更严格的验证方法。</w:t>
      </w:r>
    </w:p>
    <w:p w14:paraId="6A772E46">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从应用层面来看，本研究提出的多项实践建议尚未经过现场验证，其可操作性和有效性需要在真实环境中进一步检验。例如，基于SHAP依赖图识别的COD阈值（20 mg/L作为预警分界点）虽然有数据支撑，但该阈值是否适用于所有省份和所有季节，以及是否与现行的环境监管标准相协调，都需要环保专家的确认和现场试验的验证。传感器部署优化策略假设了成本最小化为唯一目标，但实际部署还需考虑覆盖范围最大化、响应时间最短化等多目标权衡，不同的目标函数可能导致截然不同的部署方案。此外，本研究开发的预测模型和可视化平台尚未在运营监测系统中进行长期测试，其在真实场景下的性能（如对突发污染事件的响应速度、对传感器故障的鲁棒性、对数据漂移的适应能力）仍有待验证。贝叶斯网络分析中，大肠菌群污染与代理变量之间的关联性相对较弱（部分条件概率的统计显著性p&gt;0.05），这可能是因为代理变量（如COD代表城市化程度）的精度不足，未能充分捕捉人类活动的真实影响，导致因果推断的可靠性受到质疑。这些局限性提示，在将研究成果转化为实际应用时，需要更多的现场数据、专家知识和跨学科合作。</w:t>
      </w:r>
    </w:p>
    <w:p w14:paraId="35929765">
      <w:pPr>
        <w:snapToGrid/>
        <w:spacing w:before="480" w:beforeAutospacing="0" w:after="120" w:afterAutospacing="0" w:line="240" w:lineRule="auto"/>
        <w:ind w:left="0" w:leftChars="0" w:right="0" w:rightChars="0" w:firstLine="0" w:firstLineChars="0"/>
        <w:jc w:val="both"/>
        <w:outlineLvl w:val="1"/>
        <w:rPr>
          <w:rFonts w:ascii="黑体" w:eastAsia="黑体"/>
          <w:b w:val="0"/>
          <w:sz w:val="28"/>
        </w:rPr>
      </w:pPr>
      <w:bookmarkStart w:id="127" w:name="bm_8_4_未来工作方向"/>
      <w:bookmarkStart w:id="128" w:name="_Toc419715162"/>
      <w:r>
        <w:rPr>
          <w:rFonts w:ascii="黑体" w:hAnsi="Georgia" w:eastAsia="黑体" w:cs="Georgia"/>
          <w:b w:val="0"/>
          <w:sz w:val="28"/>
        </w:rPr>
        <w:t>8.4 未来工作方向</w:t>
      </w:r>
      <w:bookmarkEnd w:id="127"/>
      <w:bookmarkEnd w:id="128"/>
    </w:p>
    <w:p w14:paraId="6D91FA08">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基于本研究的发现和局限性，未来工作可以从数据增强、方法创新、实践验证和应用拓展四个方向展开，以进一步提升水质监测和预测的科学性与实用性。</w:t>
      </w:r>
    </w:p>
    <w:p w14:paraId="3B9F292E">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数据增强方面，首要任务是扩展数据集的时间覆盖范围。建议将监测数据的时间跨度延长至5-10年，以捕获水质的长期演变趋势和多年周期性规律（如厄尔尼诺-南方涛动对降雨和径流的影响、"水十条"等环保政策的长期效应）。更长时间序列的数据还能够支持更复杂的时间序列分析方法（如状态空间模型、动态贝叶斯网络），为探索水质变化的驱动机制提供可能。其次，应补充关键的环境变量，特别是水温和水文数据（流量、流速、降雨量等）。水温是影响溶解氧、微生物活性和化学反应速率的核心因素，其引入有望显著提升溶解氧等指标的预测精度。水文数据则能够帮助模型理解污染物的输移和稀释过程，增强对降雨径流事件的响应能力。地理覆盖方面，建议将监测网络扩展到长江、黄河、珠江等主要流域的全部区域，覆盖更多类型的水体（如湖泊、水库、地下水），以提高研究结论的普适性和推广价值。最后，应努力获取时间分布更为均衡的数据，避免某一年份或某一季节的样本过度集中，确保模型在不同时段都有足够的训练样本。</w:t>
      </w:r>
    </w:p>
    <w:p w14:paraId="1286B2A1">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在方法创新方面，未来研究可以在多个前沿方向进行探索。首先是探索因果SHAP（Causal SHAP）等因果推断方法，以区分特征间的相关性和因果性。传统SHAP分析揭示的是统计关联，而因果SHAP通过引入因果图和反事实推理，能够识别真正的因果驱动因素，为政策干预提供更可靠的依据。其次，可以整合多种可解释性方法（如SHAP、LIME、注意力机制），构建多维度的模型解释框架。不同方法在全局重要性、局部解释、特征交互等方面各有优势，综合利用能够提供更全面的模型理解。第三，可以应用图神经网络（Graph Neural Networks, GNN）建模监测站点之间的空间依赖关系。水质监测站点通过河流网络相互连接，上游站点的污染会影响下游站点，GNN能够显式建模这种空间拓扑结构，提升预测精度和空间泛化能力。第四，可以开发自适应采样策略，优化监测网络的时空配置。通过主动学习（Active Learning）和强化学习（Reinforcement Learning）技术，动态调整采样频率和站点优先级，在有限预算下最大化监测效益。最后，研究迁移学习（Transfer Learning）方法应对数据分布漂移问题。当新数据与训练数据存在分布差异时（如新增省份、新型污染源），迁移学习能够利用已有知识快速适应新环境，减少重新训练的成本。</w:t>
      </w:r>
    </w:p>
    <w:p w14:paraId="64E02354">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运营部署方面，未来工作的重点是将研究原型转化为可实际运行的监测和预警系统。首先，应与环保部门和水质监测机构建立合作关系，在真实监测站点进行现场试验，收集模型在运营环境中的性能数据，包括预警准确率、响应时间、误报率和漏报率等关键指标。现场试验能够暴露实验室环境中难以预见的问题，如传感器故障、通信中断、数据质量下降等，为系统鲁棒性改进提供依据。其次，应开发实时预测和预警界面，将模型预测能力集成到现有的监测平台中，实现从数据采集、预测分析到预警通知的全流程自动化。界面设计应符合环保人员的工作习惯，提供直观的可视化和可操作的建议。第三，应评估优化监测的经济效益和环境效益。通过对比优化前后的监测成本、污染事故响应时间、水质改善幅度等指标，量化本研究提出的传感器部署策略和预警阈值的实际价值。第四，应建立模型持续更新机制。随着新数据的不断积累和水质状况的演变，模型性能可能逐渐衰退（模型老化问题），需要定期重新训练或采用在线学习（Online Learning）技术实现模型的自适应更新。最后，应进行长期性能监控和用户反馈循环。系统部署后，需要持续跟踪其运行状态、记录预测失败案例、收集用户反馈意见，并将这些信息反馈到模型改进和功能迭代中，形成持续优化的闭环。</w:t>
      </w:r>
    </w:p>
    <w:p w14:paraId="4FC58C3D">
      <w:pPr>
        <w:snapToGrid/>
        <w:spacing w:beforeAutospacing="0" w:after="0" w:afterAutospacing="0" w:line="400" w:lineRule="exact"/>
        <w:ind w:left="0" w:leftChars="0" w:right="0" w:rightChars="0" w:firstLine="480" w:firstLineChars="200"/>
        <w:jc w:val="both"/>
        <w:rPr>
          <w:rFonts w:ascii="Times New Roman" w:eastAsia="宋体"/>
          <w:sz w:val="24"/>
        </w:rPr>
      </w:pPr>
      <w:r>
        <w:rPr>
          <w:rFonts w:ascii="Times New Roman" w:hAnsi="Georgia" w:eastAsia="宋体" w:cs="Georgia"/>
          <w:sz w:val="24"/>
        </w:rPr>
        <w:t>在应用拓展方面，本研究建立的方法框架具有较强的可迁移性，可以推广到其他环境监测领域。例如，横截面预测方法和SHAP可解释性框架可以应用于空气质量监测（预测PM2.5、臭氧等污染物浓度）、土壤监测（评估重金属污染和土壤健康）、海洋监测（预测富营养化和赤潮风险）等场景。这些领域同样面临不规则采样和高维特征的挑战，本研究的经验和教训具有直接参考价值。其次，可以开发面向公众的移动端应用和服务平台，将水质信息以可视化、易懂的方式呈现给普通市民，提高公众的环保意识和参与度。公众版平台可以提供所在地区的实时水质状况、历史趋势对比、污染源分析等功能，增强政府环保工作的透明度和公信力。第三，可以整合多源数据（卫星遥感、气象数据、社会经济数据）构建更全面的水环境监测系统。卫星遥感能够提供大范围、高频次的水体表面参数（如叶绿素浓度、悬浮物浓度），气象数据（降雨、气温、风速）能够帮助解释水质的短期波动，社会经济数据（人口密度、产业结构）能够揭示污染源的空间分布。多源数据融合有望突破单一监测手段的局限，提供更精准的水质评估和预测。最后，可以构建区域水环境数字孪生系统（Digital Twin），将物理监测网络、机器学习模型、三维地理信息系统（3D GIS）和实时仿真引擎集成为一体，实现水环境的虚拟映射和动态模拟。数字孪生系统不仅能够支持实时监测和预警，还能够进行场景推演（如模拟污染事故扩散、评估治理措施效果），为水资源管理和环境决策提供强有力的技术支撑。</w:t>
      </w:r>
    </w:p>
    <w:p w14:paraId="24584955">
      <w:pPr>
        <w:rPr>
          <w:rFonts w:ascii="Times New Roman" w:eastAsia="宋体"/>
          <w:sz w:val="24"/>
        </w:rPr>
      </w:pPr>
      <w:r>
        <w:rPr>
          <w:rFonts w:ascii="Times New Roman" w:eastAsia="宋体"/>
          <w:sz w:val="24"/>
        </w:rPr>
        <w:pict>
          <v:rect id="_x0000_i1036" o:spt="1" style="height:0.05pt;width:432pt;" coordsize="21600,21600" o:hr="t" o:hrstd="t" o:hralign="center">
            <v:path/>
            <v:fill focussize="0,0"/>
            <v:stroke/>
            <v:imagedata o:title=""/>
            <o:lock v:ext="edit"/>
            <w10:wrap type="none"/>
            <w10:anchorlock/>
          </v:rect>
        </w:pict>
      </w:r>
    </w:p>
    <w:p w14:paraId="7098B282">
      <w:pPr>
        <w:spacing w:before="240" w:line="271" w:lineRule="auto"/>
      </w:pPr>
      <w:bookmarkStart w:id="129" w:name="致谢"/>
      <w:r>
        <w:rPr>
          <w:rFonts w:ascii="Georgia" w:hAnsi="Georgia" w:eastAsia="Georgia" w:cs="Georgia"/>
          <w:b/>
          <w:sz w:val="42"/>
        </w:rPr>
        <w:t>致谢</w:t>
      </w:r>
      <w:bookmarkEnd w:id="129"/>
    </w:p>
    <w:p w14:paraId="7C332267">
      <w:pPr>
        <w:spacing w:after="220"/>
      </w:pPr>
      <w:r>
        <w:rPr>
          <w:rFonts w:ascii="Georgia" w:hAnsi="Georgia" w:eastAsia="Georgia" w:cs="Georgia"/>
        </w:rPr>
        <w:t>[待添加]</w:t>
      </w:r>
    </w:p>
    <w:p w14:paraId="21F254CC">
      <w:r>
        <w:pict>
          <v:rect id="_x0000_i1037" o:spt="1" style="height:0.05pt;width:432pt;" coordsize="21600,21600" o:hr="t" o:hrstd="t" o:hralign="center">
            <v:path/>
            <v:fill focussize="0,0"/>
            <v:stroke/>
            <v:imagedata o:title=""/>
            <o:lock v:ext="edit"/>
            <w10:wrap type="none"/>
            <w10:anchorlock/>
          </v:rect>
        </w:pict>
      </w:r>
    </w:p>
    <w:p w14:paraId="50A1DEC1">
      <w:pPr>
        <w:spacing w:before="240" w:line="271" w:lineRule="auto"/>
      </w:pPr>
      <w:bookmarkStart w:id="130" w:name="参考文献"/>
      <w:r>
        <w:rPr>
          <w:rFonts w:ascii="Georgia" w:hAnsi="Georgia" w:eastAsia="Georgia" w:cs="Georgia"/>
          <w:b/>
          <w:sz w:val="42"/>
        </w:rPr>
        <w:t>参考文献</w:t>
      </w:r>
      <w:bookmarkEnd w:id="130"/>
    </w:p>
    <w:p w14:paraId="0F3D5E4C">
      <w:pPr>
        <w:spacing w:after="220"/>
      </w:pPr>
      <w:r>
        <w:t xml:space="preserve">Ahmed, U., et al. (2022). Explainable AI for environmental decision making: Challenges and opportunities. </w:t>
      </w:r>
      <w:r>
        <w:rPr>
          <w:i/>
        </w:rPr>
        <w:t>Environmental Science &amp; Technology</w:t>
      </w:r>
      <w:r>
        <w:rPr>
          <w:rFonts w:ascii="Georgia" w:hAnsi="Georgia" w:eastAsia="Georgia" w:cs="Georgia"/>
        </w:rPr>
        <w:t>, 56(18), 12791–12803.</w:t>
      </w:r>
    </w:p>
    <w:p w14:paraId="00161EEF">
      <w:pPr>
        <w:spacing w:after="220"/>
      </w:pPr>
      <w:r>
        <w:t xml:space="preserve">Box, G. E., &amp; Jenkins, G. M. (1976). </w:t>
      </w:r>
      <w:r>
        <w:rPr>
          <w:i/>
        </w:rPr>
        <w:t>Time series analysis: Forecasting and control</w:t>
      </w:r>
      <w:r>
        <w:t>. Holden-Day.</w:t>
      </w:r>
    </w:p>
    <w:p w14:paraId="3C79B92F">
      <w:pPr>
        <w:spacing w:after="220"/>
      </w:pPr>
      <w:r>
        <w:t xml:space="preserve">Chen, H., et al. (2019). XGBoost for groundwater quality assessment under irregular sampling. </w:t>
      </w:r>
      <w:r>
        <w:rPr>
          <w:i/>
        </w:rPr>
        <w:t>Water Resources Research</w:t>
      </w:r>
      <w:r>
        <w:rPr>
          <w:rFonts w:ascii="Georgia" w:hAnsi="Georgia" w:eastAsia="Georgia" w:cs="Georgia"/>
        </w:rPr>
        <w:t>, 55(9), 7156–7173.</w:t>
      </w:r>
    </w:p>
    <w:p w14:paraId="3E37871B">
      <w:pPr>
        <w:spacing w:after="220"/>
      </w:pPr>
      <w:r>
        <w:t xml:space="preserve">Chen, T., &amp; Guestrin, C. (2016). XGBoost: A scalable tree boosting system. In </w:t>
      </w:r>
      <w:r>
        <w:rPr>
          <w:i/>
        </w:rPr>
        <w:t>Proceedings of KDD</w:t>
      </w:r>
      <w:r>
        <w:rPr>
          <w:rFonts w:ascii="Georgia" w:hAnsi="Georgia" w:eastAsia="Georgia" w:cs="Georgia"/>
        </w:rPr>
        <w:t xml:space="preserve"> (pp. 785–794).</w:t>
      </w:r>
    </w:p>
    <w:p w14:paraId="60BBA349">
      <w:pPr>
        <w:spacing w:after="220"/>
      </w:pPr>
      <w:r>
        <w:t xml:space="preserve">Chen, W., et al. (2024). SHAP-based feature importance analysis for environmental monitoring systems. </w:t>
      </w:r>
      <w:r>
        <w:rPr>
          <w:i/>
        </w:rPr>
        <w:t>Applied Intelligence</w:t>
      </w:r>
      <w:r>
        <w:rPr>
          <w:rFonts w:ascii="Georgia" w:hAnsi="Georgia" w:eastAsia="Georgia" w:cs="Georgia"/>
        </w:rPr>
        <w:t>, 54(3), 2156–2174.</w:t>
      </w:r>
    </w:p>
    <w:p w14:paraId="229A5FC2">
      <w:pPr>
        <w:spacing w:after="220"/>
      </w:pPr>
      <w:r>
        <w:t xml:space="preserve">Faruk, D. O. (2010). A hybrid neural network and ARIMA model for water quality time series prediction. </w:t>
      </w:r>
      <w:r>
        <w:rPr>
          <w:i/>
        </w:rPr>
        <w:t>Engineering Applications of Artificial Intelligence</w:t>
      </w:r>
      <w:r>
        <w:rPr>
          <w:rFonts w:ascii="Georgia" w:hAnsi="Georgia" w:eastAsia="Georgia" w:cs="Georgia"/>
        </w:rPr>
        <w:t>, 23(4), 586–594.</w:t>
      </w:r>
    </w:p>
    <w:p w14:paraId="46D3D095">
      <w:pPr>
        <w:spacing w:after="220"/>
      </w:pPr>
      <w:r>
        <w:rPr>
          <w:rFonts w:ascii="Georgia" w:hAnsi="Georgia" w:eastAsia="Georgia" w:cs="Georgia"/>
        </w:rPr>
        <w:t xml:space="preserve">García-Martín, A., et al. (2025). Time series forecasting under irregular sampling: Methods and challenges. </w:t>
      </w:r>
      <w:r>
        <w:rPr>
          <w:i/>
        </w:rPr>
        <w:t>International Journal of Forecasting</w:t>
      </w:r>
      <w:r>
        <w:rPr>
          <w:rFonts w:ascii="Georgia" w:hAnsi="Georgia" w:eastAsia="Georgia" w:cs="Georgia"/>
        </w:rPr>
        <w:t>, 41(1), 245–268.</w:t>
      </w:r>
    </w:p>
    <w:p w14:paraId="7FC5530E">
      <w:pPr>
        <w:spacing w:after="220"/>
      </w:pPr>
      <w:r>
        <w:t xml:space="preserve">Gazzaz, N. M., et al. (2012). Artificial neural network modeling of the water quality index for Kinta River using water quality variables as predictors. </w:t>
      </w:r>
      <w:r>
        <w:rPr>
          <w:i/>
        </w:rPr>
        <w:t>Marine Pollution Bulletin</w:t>
      </w:r>
      <w:r>
        <w:rPr>
          <w:rFonts w:ascii="Georgia" w:hAnsi="Georgia" w:eastAsia="Georgia" w:cs="Georgia"/>
        </w:rPr>
        <w:t>, 64(11), 2409–2420.</w:t>
      </w:r>
    </w:p>
    <w:p w14:paraId="4A5E0554">
      <w:pPr>
        <w:spacing w:after="220"/>
      </w:pPr>
      <w:r>
        <w:t xml:space="preserve">Hu, X., et al. (2017). Estimating ground-level PM2.5 using a spatiotemporal ensemble machine learning model with SHAP interpretation. </w:t>
      </w:r>
      <w:r>
        <w:rPr>
          <w:i/>
        </w:rPr>
        <w:t>Science of the Total Environment</w:t>
      </w:r>
      <w:r>
        <w:rPr>
          <w:rFonts w:ascii="Georgia" w:hAnsi="Georgia" w:eastAsia="Georgia" w:cs="Georgia"/>
        </w:rPr>
        <w:t>, 637, 1060–1070.</w:t>
      </w:r>
    </w:p>
    <w:p w14:paraId="14842A06">
      <w:pPr>
        <w:spacing w:after="220"/>
      </w:pPr>
      <w:r>
        <w:t xml:space="preserve">Hyndman, R. J., &amp; Athanasopoulos, G. (2018). </w:t>
      </w:r>
      <w:r>
        <w:rPr>
          <w:i/>
        </w:rPr>
        <w:t>Forecasting: Principles and practice</w:t>
      </w:r>
      <w:r>
        <w:t xml:space="preserve"> (2nd ed.). OTexts.</w:t>
      </w:r>
    </w:p>
    <w:p w14:paraId="0DC464C7">
      <w:pPr>
        <w:spacing w:after="220"/>
      </w:pPr>
      <w:r>
        <w:t xml:space="preserve">Jiang, Y., et al. (2022). Spatiotemporal graph neural networks for water quality prediction in river networks. </w:t>
      </w:r>
      <w:r>
        <w:rPr>
          <w:i/>
        </w:rPr>
        <w:t>Water Research</w:t>
      </w:r>
      <w:r>
        <w:t>, 226, 119223.</w:t>
      </w:r>
    </w:p>
    <w:p w14:paraId="6040FB4A">
      <w:pPr>
        <w:spacing w:after="220"/>
      </w:pPr>
      <w:r>
        <w:t xml:space="preserve">Kaufman, S., et al. (2012). Leakage in data mining: Formulation, detection, and avoidance. </w:t>
      </w:r>
      <w:r>
        <w:rPr>
          <w:i/>
        </w:rPr>
        <w:t>ACM Transactions on Knowledge Discovery from Data</w:t>
      </w:r>
      <w:r>
        <w:rPr>
          <w:rFonts w:ascii="Georgia" w:hAnsi="Georgia" w:eastAsia="Georgia" w:cs="Georgia"/>
        </w:rPr>
        <w:t>, 6(4), 1–21.</w:t>
      </w:r>
    </w:p>
    <w:p w14:paraId="6AB41892">
      <w:pPr>
        <w:spacing w:after="220"/>
      </w:pPr>
      <w:r>
        <w:t xml:space="preserve">Ke, G., et al. (2017). LightGBM: A highly efficient gradient boosting decision tree. In </w:t>
      </w:r>
      <w:r>
        <w:rPr>
          <w:i/>
        </w:rPr>
        <w:t>Advances in Neural Information Processing Systems</w:t>
      </w:r>
      <w:r>
        <w:rPr>
          <w:rFonts w:ascii="Georgia" w:hAnsi="Georgia" w:eastAsia="Georgia" w:cs="Georgia"/>
        </w:rPr>
        <w:t xml:space="preserve"> (pp. 3146–3154).</w:t>
      </w:r>
    </w:p>
    <w:p w14:paraId="49222771">
      <w:pPr>
        <w:spacing w:after="220"/>
      </w:pPr>
      <w:r>
        <w:t xml:space="preserve">Kumar, S., et al. (2024). Spatial generalization in environmental monitoring: Leave-location-out validation strategies. </w:t>
      </w:r>
      <w:r>
        <w:rPr>
          <w:i/>
        </w:rPr>
        <w:t>Environmental Modelling &amp; Software</w:t>
      </w:r>
      <w:r>
        <w:t>, 171, 105891.</w:t>
      </w:r>
    </w:p>
    <w:p w14:paraId="346D6D31">
      <w:pPr>
        <w:spacing w:after="220"/>
      </w:pPr>
      <w:r>
        <w:t xml:space="preserve">Li, H., et al. (2024). Causal inference vs. association analysis in water quality studies: A critical comparison. </w:t>
      </w:r>
      <w:r>
        <w:rPr>
          <w:i/>
        </w:rPr>
        <w:t>Water Research</w:t>
      </w:r>
      <w:r>
        <w:t>, 249, 120912.</w:t>
      </w:r>
    </w:p>
    <w:p w14:paraId="701B343F">
      <w:pPr>
        <w:spacing w:after="220"/>
      </w:pPr>
      <w:r>
        <w:t xml:space="preserve">Li, M., et al. (2020). Random forest regression for seasonal water quality prediction. </w:t>
      </w:r>
      <w:r>
        <w:rPr>
          <w:i/>
        </w:rPr>
        <w:t>Science of the Total Environment</w:t>
      </w:r>
      <w:r>
        <w:t>, 728, 138845.</w:t>
      </w:r>
    </w:p>
    <w:p w14:paraId="479D7434">
      <w:pPr>
        <w:spacing w:after="220"/>
      </w:pPr>
      <w:r>
        <w:t xml:space="preserve">Liu, X., et al. (2021). Time series forecasting of reservoir chlorophyll-a concentration using LSTM networks. </w:t>
      </w:r>
      <w:r>
        <w:rPr>
          <w:i/>
        </w:rPr>
        <w:t>Journal of Hydrology</w:t>
      </w:r>
      <w:r>
        <w:t>, 603, 127110.</w:t>
      </w:r>
    </w:p>
    <w:p w14:paraId="4E7835FC">
      <w:pPr>
        <w:spacing w:after="220"/>
      </w:pPr>
      <w:r>
        <w:t xml:space="preserve">Lundberg, S. M., &amp; Lee, S. I. (2017). A unified approach to interpreting model predictions. In </w:t>
      </w:r>
      <w:r>
        <w:rPr>
          <w:i/>
        </w:rPr>
        <w:t>Advances in Neural Information Processing Systems</w:t>
      </w:r>
      <w:r>
        <w:rPr>
          <w:rFonts w:ascii="Georgia" w:hAnsi="Georgia" w:eastAsia="Georgia" w:cs="Georgia"/>
        </w:rPr>
        <w:t xml:space="preserve"> (pp. 4765–4774).</w:t>
      </w:r>
    </w:p>
    <w:p w14:paraId="1ED1EC9E">
      <w:pPr>
        <w:spacing w:after="220"/>
      </w:pPr>
      <w:r>
        <w:t xml:space="preserve">Lundberg, S. M., et al. (2020). From local explanations to global understanding with explainable AI for trees. </w:t>
      </w:r>
      <w:r>
        <w:rPr>
          <w:i/>
        </w:rPr>
        <w:t>Nature Machine Intelligence</w:t>
      </w:r>
      <w:r>
        <w:rPr>
          <w:rFonts w:ascii="Georgia" w:hAnsi="Georgia" w:eastAsia="Georgia" w:cs="Georgia"/>
        </w:rPr>
        <w:t>, 2(1), 56–67.</w:t>
      </w:r>
    </w:p>
    <w:p w14:paraId="386CBD62">
      <w:pPr>
        <w:spacing w:after="220"/>
      </w:pPr>
      <w:r>
        <w:t xml:space="preserve">Modaresi, F., et al. (2018). A comparative assessment of artificial neural network, generalized regression neural network, least-square support vector regression, and K-nearest neighbor regression for monthly streamflow forecasting in linear and nonlinear conditions. </w:t>
      </w:r>
      <w:r>
        <w:rPr>
          <w:i/>
        </w:rPr>
        <w:t>Water Resources Management</w:t>
      </w:r>
      <w:r>
        <w:rPr>
          <w:rFonts w:ascii="Georgia" w:hAnsi="Georgia" w:eastAsia="Georgia" w:cs="Georgia"/>
        </w:rPr>
        <w:t>, 32(1), 243–258.</w:t>
      </w:r>
    </w:p>
    <w:p w14:paraId="110220CC">
      <w:pPr>
        <w:spacing w:after="220"/>
      </w:pPr>
      <w:r>
        <w:t xml:space="preserve">Patel, R., et al. (2023). Cross-sectional machine learning for irregular environmental monitoring data. </w:t>
      </w:r>
      <w:r>
        <w:rPr>
          <w:i/>
        </w:rPr>
        <w:t>Journal of Environmental Management</w:t>
      </w:r>
      <w:r>
        <w:t>, 345, 118712.</w:t>
      </w:r>
    </w:p>
    <w:p w14:paraId="30DBDF86">
      <w:pPr>
        <w:spacing w:after="220"/>
      </w:pPr>
      <w:r>
        <w:t xml:space="preserve">Prokhorenkova, L., et al. (2018). CatBoost: Unbiased boosting with categorical features. In </w:t>
      </w:r>
      <w:r>
        <w:rPr>
          <w:i/>
        </w:rPr>
        <w:t>Advances in Neural Information Processing Systems</w:t>
      </w:r>
      <w:r>
        <w:rPr>
          <w:rFonts w:ascii="Georgia" w:hAnsi="Georgia" w:eastAsia="Georgia" w:cs="Georgia"/>
        </w:rPr>
        <w:t xml:space="preserve"> (pp. 6638–6648).</w:t>
      </w:r>
    </w:p>
    <w:p w14:paraId="54ADB382">
      <w:pPr>
        <w:spacing w:after="220"/>
      </w:pPr>
      <w:r>
        <w:t xml:space="preserve">Shapley, L. S. (1953). A value for n-person games. In </w:t>
      </w:r>
      <w:r>
        <w:rPr>
          <w:i/>
        </w:rPr>
        <w:t>Contributions to the Theory of Games</w:t>
      </w:r>
      <w:r>
        <w:rPr>
          <w:rFonts w:ascii="Georgia" w:hAnsi="Georgia" w:eastAsia="Georgia" w:cs="Georgia"/>
        </w:rPr>
        <w:t xml:space="preserve"> (Vol. 2, pp. 307–317). Princeton University Press.</w:t>
      </w:r>
    </w:p>
    <w:p w14:paraId="34E0FF78">
      <w:pPr>
        <w:spacing w:after="220"/>
      </w:pPr>
      <w:r>
        <w:rPr>
          <w:rFonts w:ascii="Georgia" w:hAnsi="Georgia" w:eastAsia="Georgia" w:cs="Georgia"/>
        </w:rPr>
        <w:t xml:space="preserve">国务院. (2015). </w:t>
      </w:r>
      <w:r>
        <w:rPr>
          <w:i/>
        </w:rPr>
        <w:t>水污染防治行动计划</w:t>
      </w:r>
      <w:r>
        <w:rPr>
          <w:rFonts w:ascii="Georgia" w:hAnsi="Georgia" w:eastAsia="Georgia" w:cs="Georgia"/>
        </w:rPr>
        <w:t>. 北京.</w:t>
      </w:r>
    </w:p>
    <w:p w14:paraId="33ED59DA">
      <w:pPr>
        <w:spacing w:after="220"/>
      </w:pPr>
      <w:r>
        <w:t xml:space="preserve">Wang, Q., et al. (2022). Groundwater nitrate prediction using ARIMA models. </w:t>
      </w:r>
      <w:r>
        <w:rPr>
          <w:i/>
        </w:rPr>
        <w:t>Environmental Monitoring and Assessment</w:t>
      </w:r>
      <w:r>
        <w:t>, 194, 110687.</w:t>
      </w:r>
    </w:p>
    <w:p w14:paraId="33820F2F">
      <w:pPr>
        <w:spacing w:after="220"/>
      </w:pPr>
      <w:r>
        <w:t xml:space="preserve">Xiang, Z., et al. (2020). Urban runoff pollutant load prediction using machine learning models with SHAP interpretation. </w:t>
      </w:r>
      <w:r>
        <w:rPr>
          <w:i/>
        </w:rPr>
        <w:t>Journal of Hydrology</w:t>
      </w:r>
      <w:r>
        <w:t>, 590, 125520.</w:t>
      </w:r>
    </w:p>
    <w:p w14:paraId="0DB899CA">
      <w:pPr>
        <w:spacing w:after="220"/>
      </w:pPr>
      <w:r>
        <w:t xml:space="preserve">Zhang, Y., et al. (2020). LSTM-based water quality prediction in rivers. </w:t>
      </w:r>
      <w:r>
        <w:rPr>
          <w:i/>
        </w:rPr>
        <w:t>Water Research</w:t>
      </w:r>
      <w:r>
        <w:t>, 182, 115956.</w:t>
      </w:r>
    </w:p>
    <w:p w14:paraId="6DF8E127">
      <w:pPr>
        <w:spacing w:after="220"/>
      </w:pPr>
      <w:r>
        <w:t xml:space="preserve">Zhou, Q., et al. (2023). Low-cost sensor networks for water quality monitoring: A systematic review. </w:t>
      </w:r>
      <w:r>
        <w:rPr>
          <w:i/>
        </w:rPr>
        <w:t>Science of the Total Environment</w:t>
      </w:r>
      <w:r>
        <w:t>, 891, 164520.</w:t>
      </w:r>
    </w:p>
    <w:p w14:paraId="7F78BEF8">
      <w:r>
        <w:pict>
          <v:rect id="_x0000_i1038" o:spt="1" style="height:0.05pt;width:432pt;" coordsize="21600,21600" o:hr="t" o:hrstd="t" o:hralign="center">
            <v:path/>
            <v:fill focussize="0,0"/>
            <v:stroke/>
            <v:imagedata o:title=""/>
            <o:lock v:ext="edit"/>
            <w10:wrap type="none"/>
            <w10:anchorlock/>
          </v:rect>
        </w:pict>
      </w:r>
    </w:p>
    <w:p w14:paraId="5C19A246">
      <w:pPr>
        <w:spacing w:after="220"/>
      </w:pPr>
      <w:r>
        <w:rPr>
          <w:i/>
        </w:rPr>
        <w:t>论文撰写日期，2025年11月</w:t>
      </w:r>
    </w:p>
    <w:p w14:paraId="32D2FE70">
      <w:pPr>
        <w:spacing w:after="220"/>
      </w:pPr>
      <w:r>
        <w:rPr>
          <w:i/>
        </w:rPr>
        <w:t>字数，约10,000字（6章精简版）</w:t>
      </w:r>
    </w:p>
    <w:p w14:paraId="1E54D389">
      <w:pPr>
        <w:spacing w:after="220"/>
      </w:pPr>
      <w:r>
        <w:rPr>
          <w:i/>
        </w:rPr>
        <w:t>数据集和代码</w:t>
      </w:r>
      <w:r>
        <w:rPr>
          <w:rFonts w:ascii="Georgia" w:hAnsi="Georgia" w:eastAsia="Georgia" w:cs="Georgia"/>
        </w:rPr>
        <w:t>，</w:t>
      </w:r>
      <w:r>
        <w:fldChar w:fldCharType="begin"/>
      </w:r>
      <w:r>
        <w:instrText xml:space="preserve"> HYPERLINK "https://github.com/%5B%E7%BB%84%E7%BB%87%E5%90%8D%5D/china-water-quality-dataset-analysis" \h </w:instrText>
      </w:r>
      <w:r>
        <w:fldChar w:fldCharType="separate"/>
      </w:r>
      <w:r>
        <w:rPr>
          <w:rFonts w:ascii="Georgia" w:hAnsi="Georgia" w:eastAsia="Georgia" w:cs="Georgia"/>
          <w:color w:val="4472C4"/>
        </w:rPr>
        <w:t>https://github.com/[组织名]/china-water-quality-dataset-analysis</w:t>
      </w:r>
      <w:r>
        <w:rPr>
          <w:rFonts w:ascii="Georgia" w:hAnsi="Georgia" w:eastAsia="Georgia" w:cs="Georgia"/>
          <w:color w:val="4472C4"/>
        </w:rPr>
        <w:fldChar w:fldCharType="end"/>
      </w:r>
    </w:p>
    <w:sect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Georgia">
    <w:panose1 w:val="02040802050405020203"/>
    <w:charset w:val="00"/>
    <w:family w:val="auto"/>
    <w:pitch w:val="default"/>
    <w:sig w:usb0="00000287" w:usb1="00000000" w:usb2="00000000" w:usb3="00000000" w:csb0="2000009F"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 w:name="Calibri">
    <w:altName w:val="Helvetica Neue"/>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猫啃珠圆体">
    <w:panose1 w:val="02020500000000000000"/>
    <w:charset w:val="86"/>
    <w:family w:val="auto"/>
    <w:pitch w:val="default"/>
    <w:sig w:usb0="A00002FF" w:usb1="7ACFFCFF" w:usb2="02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FB51055"/>
    <w:rsid w:val="C9FFDFB4"/>
    <w:rsid w:val="FFFE6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2"/>
      <w:szCs w:val="22"/>
      <w:lang w:val="zh-CN" w:eastAsia="zh-CN" w:bidi="ar-SA"/>
    </w:rPr>
  </w:style>
  <w:style w:type="character" w:default="1" w:styleId="6">
    <w:name w:val="Default Paragraph Font"/>
    <w:semiHidden/>
    <w:uiPriority w:val="0"/>
  </w:style>
  <w:style w:type="table" w:default="1" w:styleId="5">
    <w:name w:val="Normal Table"/>
    <w:semiHidden/>
    <w:unhideWhenUsed/>
    <w:uiPriority w:val="99"/>
    <w:tblPr>
      <w:tblCellMar>
        <w:top w:w="80" w:type="dxa"/>
        <w:left w:w="160" w:type="dxa"/>
        <w:bottom w:w="80" w:type="dxa"/>
        <w:right w:w="160" w:type="dxa"/>
      </w:tblCellMar>
    </w:tblPr>
  </w:style>
  <w:style w:type="paragraph" w:styleId="2">
    <w:name w:val="toc 3"/>
    <w:basedOn w:val="1"/>
    <w:next w:val="1"/>
    <w:uiPriority w:val="0"/>
    <w:pPr>
      <w:ind w:left="840" w:leftChars="400"/>
    </w:pPr>
  </w:style>
  <w:style w:type="paragraph" w:styleId="3">
    <w:name w:val="toc 1"/>
    <w:basedOn w:val="1"/>
    <w:next w:val="1"/>
    <w:uiPriority w:val="0"/>
  </w:style>
  <w:style w:type="paragraph" w:styleId="4">
    <w:name w:val="toc 2"/>
    <w:basedOn w:val="1"/>
    <w:next w:val="1"/>
    <w:uiPriority w:val="0"/>
    <w:pPr>
      <w:ind w:left="420" w:leftChars="200"/>
    </w:pPr>
  </w:style>
  <w:style w:type="character" w:customStyle="1" w:styleId="7">
    <w:name w:val="Verbatim Char"/>
    <w:uiPriority w:val="0"/>
    <w:rPr>
      <w:rFonts w:ascii="Consolas" w:hAnsi="Consolas"/>
      <w:sz w:val="22"/>
    </w:rPr>
  </w:style>
  <w:style w:type="table" w:customStyle="1" w:styleId="8">
    <w:name w:val="Normal Grid"/>
    <w:basedOn w:val="5"/>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82</Pages>
  <TotalTime>4</TotalTime>
  <ScaleCrop>false</ScaleCrop>
  <LinksUpToDate>false</LinksUpToDate>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2025-11-27T22:41:00Z</dcterms:created>
  <dc:creator>html-to-docx</dc:creator>
  <cp:keywords>html-to-docx</cp:keywords>
  <cp:lastModifiedBy>yangweiming</cp:lastModifiedBy>
  <dcterms:modified xsi:type="dcterms:W3CDTF">2025-11-27T14:47:39Z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35B90B3C8EDB11A412F22769CCC7015C_42</vt:lpwstr>
  </property>
</Properties>
</file>