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1D55B" w14:textId="77777777" w:rsidR="00133A7A" w:rsidRDefault="00F541BE">
      <w:pPr>
        <w:pStyle w:val="Title"/>
      </w:pPr>
      <w:r>
        <w:t>CLM Q3 Investment Plan &amp; Execution Framework</w:t>
      </w:r>
    </w:p>
    <w:p w14:paraId="2CE2DCB3" w14:textId="77777777" w:rsidR="00133A7A" w:rsidRDefault="00F541BE">
      <w:pPr>
        <w:pStyle w:val="Heading1"/>
      </w:pPr>
      <w:r>
        <w:t>Objective</w:t>
      </w:r>
    </w:p>
    <w:p w14:paraId="2CE66BBF" w14:textId="77777777" w:rsidR="00077A09" w:rsidRDefault="00077A09">
      <w:pPr>
        <w:rPr>
          <w:lang w:bidi="he-IL"/>
        </w:rPr>
      </w:pPr>
      <w:r>
        <w:t>This document defines the CLM Q3 investment priorities, focusing on measurable outcomes across approval CVR, activation (FFT), and platform modernization. The plan is designed to maximize compliant conversion globally, with focused emphasis on Tier 1 and Tier 2 companies while advancing modernization and license- or regulation-driven opportunities.</w:t>
      </w:r>
    </w:p>
    <w:p w14:paraId="64091FF1" w14:textId="6A75E42C" w:rsidR="0082741F" w:rsidRPr="0082741F" w:rsidRDefault="00F541BE" w:rsidP="0082741F">
      <w:pPr>
        <w:pStyle w:val="Heading1"/>
      </w:pPr>
      <w:r>
        <w:t>Impact Areas</w:t>
      </w:r>
      <w:r w:rsidR="0082741F">
        <w:t xml:space="preserve"> (Prioritized)</w:t>
      </w:r>
    </w:p>
    <w:p w14:paraId="65B0F002" w14:textId="66C25CBA" w:rsidR="00A87009" w:rsidRDefault="00A87009">
      <w:pPr>
        <w:divId w:val="2124571569"/>
        <w:rPr>
          <w:lang w:bidi="he-IL"/>
        </w:rPr>
      </w:pPr>
      <w:r>
        <w:rPr>
          <w:b/>
          <w:bCs/>
        </w:rPr>
        <w:t>1. India License / PACB Compliance</w:t>
      </w:r>
      <w:r w:rsidR="00F5423E">
        <w:rPr>
          <w:b/>
          <w:bCs/>
        </w:rPr>
        <w:t xml:space="preserve"> – Priority 0</w:t>
      </w:r>
      <w:r w:rsidR="0034435E">
        <w:rPr>
          <w:b/>
          <w:bCs/>
        </w:rPr>
        <w:t xml:space="preserve"> (Mei/</w:t>
      </w:r>
      <w:proofErr w:type="spellStart"/>
      <w:r w:rsidR="0034435E">
        <w:rPr>
          <w:b/>
          <w:bCs/>
        </w:rPr>
        <w:t>ytal</w:t>
      </w:r>
      <w:proofErr w:type="spellEnd"/>
      <w:r w:rsidR="0034435E">
        <w:rPr>
          <w:b/>
          <w:bCs/>
        </w:rPr>
        <w:t>)</w:t>
      </w:r>
      <w:r>
        <w:br/>
        <w:t>Primary objective: ensure full compliance with PACB regulation in India as the highest-priority item.</w:t>
      </w:r>
      <w:r>
        <w:br/>
        <w:t>Secondary objective: leverage the required onboarding and UX adaptations to improve approval CVR in India flows.</w:t>
      </w:r>
      <w:r>
        <w:br/>
        <w:t>Tertiary objective: improve activation performance and FFT rates for India-based journeys once compliance is in place.</w:t>
      </w:r>
      <w:r>
        <w:br/>
      </w:r>
      <w:r>
        <w:rPr>
          <w:b/>
          <w:bCs/>
        </w:rPr>
        <w:t>Outcome:</w:t>
      </w:r>
      <w:r>
        <w:t xml:space="preserve"> PACB-compliant India journeys, followed by stronger approval CVR and improved FFT performance.</w:t>
      </w:r>
      <w:r>
        <w:br/>
      </w:r>
      <w:r>
        <w:rPr>
          <w:b/>
          <w:bCs/>
        </w:rPr>
        <w:t>Success Metric:</w:t>
      </w:r>
      <w:r>
        <w:t xml:space="preserve"> Compliance readiness and delivery first, followed by approval CVR uplift and FFT rate improvement in India.</w:t>
      </w:r>
    </w:p>
    <w:p w14:paraId="4FF472BD" w14:textId="6C3089ED" w:rsidR="00A87009" w:rsidRDefault="00A87009">
      <w:pPr>
        <w:divId w:val="2124571569"/>
      </w:pPr>
      <w:r>
        <w:rPr>
          <w:b/>
          <w:bCs/>
        </w:rPr>
        <w:t>2. Platform Modernization</w:t>
      </w:r>
      <w:r w:rsidR="008C030E">
        <w:rPr>
          <w:b/>
          <w:bCs/>
        </w:rPr>
        <w:t xml:space="preserve"> </w:t>
      </w:r>
      <w:r w:rsidR="00D93C72">
        <w:rPr>
          <w:b/>
          <w:bCs/>
        </w:rPr>
        <w:t>– 40%</w:t>
      </w:r>
      <w:r w:rsidR="00EA195C">
        <w:rPr>
          <w:b/>
          <w:bCs/>
        </w:rPr>
        <w:t xml:space="preserve"> </w:t>
      </w:r>
      <w:r w:rsidR="00E017C5">
        <w:rPr>
          <w:b/>
          <w:bCs/>
        </w:rPr>
        <w:t>Yonatan + Avital</w:t>
      </w:r>
      <w:r>
        <w:br/>
        <w:t>Elevate modernization to a top-priority investment to improve scalability, iteration speed, and platform reliability.</w:t>
      </w:r>
      <w:r w:rsidR="0082058F">
        <w:t xml:space="preserve"> This will enable us to </w:t>
      </w:r>
      <w:r w:rsidR="00B164D7">
        <w:t>..</w:t>
      </w:r>
      <w:r>
        <w:br/>
      </w:r>
      <w:r>
        <w:rPr>
          <w:b/>
          <w:bCs/>
        </w:rPr>
        <w:t>Outcome:</w:t>
      </w:r>
      <w:r>
        <w:t xml:space="preserve"> Reduced operational friction and improved execution velocity.</w:t>
      </w:r>
      <w:r>
        <w:br/>
      </w:r>
      <w:r>
        <w:rPr>
          <w:b/>
          <w:bCs/>
        </w:rPr>
        <w:t>Success Metric:</w:t>
      </w:r>
      <w:r>
        <w:t xml:space="preserve"> To be defined within Q3 OKRs (for example, latency reduction, system stability, and developer velocity).</w:t>
      </w:r>
    </w:p>
    <w:p w14:paraId="6FE299B8" w14:textId="679E9BAE" w:rsidR="00A87009" w:rsidRDefault="00A87009">
      <w:pPr>
        <w:divId w:val="2124571569"/>
      </w:pPr>
      <w:r>
        <w:rPr>
          <w:b/>
          <w:bCs/>
        </w:rPr>
        <w:t>3. Approval CVR Acceleration</w:t>
      </w:r>
      <w:r w:rsidR="001525ED">
        <w:rPr>
          <w:b/>
          <w:bCs/>
        </w:rPr>
        <w:t xml:space="preserve"> </w:t>
      </w:r>
      <w:r w:rsidR="00206203">
        <w:rPr>
          <w:b/>
          <w:bCs/>
        </w:rPr>
        <w:t>??</w:t>
      </w:r>
      <w:r>
        <w:br/>
        <w:t>Continue delivering sustained approval conversion improvements globally, with a concentrated focus on Tier 1 and Tier 2 companies.</w:t>
      </w:r>
      <w:r>
        <w:br/>
      </w:r>
      <w:r>
        <w:rPr>
          <w:b/>
          <w:bCs/>
        </w:rPr>
        <w:t>Outcome:</w:t>
      </w:r>
      <w:r>
        <w:t xml:space="preserve"> Measurable uplift in onboarding conversion across priority segments.</w:t>
      </w:r>
      <w:r>
        <w:br/>
      </w:r>
      <w:r>
        <w:rPr>
          <w:b/>
          <w:bCs/>
        </w:rPr>
        <w:t>Success Metric:</w:t>
      </w:r>
      <w:r>
        <w:t xml:space="preserve"> Approval CVR improvement across key geos and segments.</w:t>
      </w:r>
    </w:p>
    <w:p w14:paraId="6330189C" w14:textId="10C3BE36" w:rsidR="00A87009" w:rsidRDefault="00A87009">
      <w:pPr>
        <w:divId w:val="2124571569"/>
      </w:pPr>
      <w:r>
        <w:rPr>
          <w:b/>
          <w:bCs/>
        </w:rPr>
        <w:t>4. Activation Improvements (Approval to FFT)</w:t>
      </w:r>
      <w:r w:rsidR="00206203">
        <w:rPr>
          <w:b/>
          <w:bCs/>
        </w:rPr>
        <w:t xml:space="preserve"> </w:t>
      </w:r>
      <w:r>
        <w:br/>
        <w:t>Improve the path from approval to FFT by reducing friction in activation journeys, requirement completion, and early-life customer experience.</w:t>
      </w:r>
      <w:r w:rsidR="008B3D95">
        <w:t xml:space="preserve"> Tier 1+2 companies</w:t>
      </w:r>
      <w:r>
        <w:br/>
      </w:r>
      <w:r>
        <w:rPr>
          <w:b/>
          <w:bCs/>
        </w:rPr>
        <w:t>Outcome:</w:t>
      </w:r>
      <w:r>
        <w:t xml:space="preserve"> Higher activation rates and shorter time-to-first-transaction.</w:t>
      </w:r>
      <w:r>
        <w:br/>
      </w:r>
      <w:r>
        <w:rPr>
          <w:b/>
          <w:bCs/>
        </w:rPr>
        <w:t>Success Metric:</w:t>
      </w:r>
      <w:r>
        <w:t xml:space="preserve"> FFT rate uplift and reduction in time-to-first-transaction.</w:t>
      </w:r>
    </w:p>
    <w:p w14:paraId="62858B91" w14:textId="77777777" w:rsidR="00133A7A" w:rsidRDefault="00F541BE">
      <w:pPr>
        <w:pStyle w:val="Heading1"/>
      </w:pPr>
      <w:r>
        <w:lastRenderedPageBreak/>
        <w:t>Key Initiative Portfolio</w:t>
      </w:r>
    </w:p>
    <w:p w14:paraId="2CA5FB41" w14:textId="5960B0AD" w:rsidR="00A60A70" w:rsidRDefault="00A60A70" w:rsidP="00771422">
      <w:pPr>
        <w:divId w:val="1487480083"/>
        <w:rPr>
          <w:lang w:bidi="he-IL"/>
        </w:rPr>
      </w:pPr>
      <w:r>
        <w:rPr>
          <w:b/>
          <w:bCs/>
        </w:rPr>
        <w:t xml:space="preserve">A. </w:t>
      </w:r>
      <w:r w:rsidR="00F5423E">
        <w:rPr>
          <w:b/>
          <w:bCs/>
        </w:rPr>
        <w:t>Company</w:t>
      </w:r>
      <w:r>
        <w:rPr>
          <w:b/>
          <w:bCs/>
        </w:rPr>
        <w:t xml:space="preserve"> CVR Levers </w:t>
      </w:r>
    </w:p>
    <w:p w14:paraId="76A4C16E" w14:textId="6DCD1B8E" w:rsidR="00A60A70" w:rsidRDefault="00A60A70">
      <w:pPr>
        <w:divId w:val="1487480083"/>
      </w:pPr>
      <w:r>
        <w:rPr>
          <w:b/>
          <w:bCs/>
        </w:rPr>
        <w:t>1. CSP (Corporate Service Provider)</w:t>
      </w:r>
      <w:r w:rsidR="008A56FA">
        <w:rPr>
          <w:b/>
          <w:bCs/>
        </w:rPr>
        <w:t xml:space="preserve"> Meital</w:t>
      </w:r>
      <w:r>
        <w:br/>
        <w:t xml:space="preserve">Focus CSP efforts on Tier 1 incorporation hubs: US, UK, Singapore, and Hong Kong, </w:t>
      </w:r>
      <w:r w:rsidR="00D53211">
        <w:t xml:space="preserve">UAE </w:t>
      </w:r>
      <w:r>
        <w:t>optimizing onboarding flows for corporate service provider motions in these priority geographies.</w:t>
      </w:r>
      <w:r>
        <w:br/>
      </w:r>
      <w:r>
        <w:rPr>
          <w:b/>
          <w:bCs/>
        </w:rPr>
        <w:t>Key requirements:</w:t>
      </w:r>
      <w:r>
        <w:t xml:space="preserve"> ensure a proper handover from the CSP to the customer, and provide CSPs with clear onboarding status visibility and next-step guidance throughout the journey.</w:t>
      </w:r>
      <w:r>
        <w:br/>
      </w:r>
      <w:r>
        <w:rPr>
          <w:b/>
          <w:bCs/>
        </w:rPr>
        <w:t>Outcome:</w:t>
      </w:r>
      <w:r>
        <w:t xml:space="preserve"> Higher approval CVR and better CSP experience across key incorporation hubs, driven by smoother handover and improved process transparency.</w:t>
      </w:r>
      <w:r>
        <w:br/>
      </w:r>
      <w:r>
        <w:rPr>
          <w:b/>
          <w:bCs/>
        </w:rPr>
        <w:t>Key Hypothesis:</w:t>
      </w:r>
      <w:r>
        <w:t xml:space="preserve"> Better transition from CSP to customer, combined with clearer status and next-step visibility for CSPs, will reduce friction and improve conversion.</w:t>
      </w:r>
    </w:p>
    <w:p w14:paraId="299D8A7B" w14:textId="70A6FE0F" w:rsidR="00A60A70" w:rsidRDefault="00A60A70">
      <w:pPr>
        <w:divId w:val="1487480083"/>
      </w:pPr>
      <w:r>
        <w:rPr>
          <w:b/>
          <w:bCs/>
        </w:rPr>
        <w:t>2. Localization</w:t>
      </w:r>
      <w:r w:rsidR="008A56FA">
        <w:rPr>
          <w:b/>
          <w:bCs/>
        </w:rPr>
        <w:t xml:space="preserve"> </w:t>
      </w:r>
      <w:r>
        <w:br/>
        <w:t>Deepen localization across key markets through language, regulatory alignment, country-specific UX adaptations, and integration with local e-collection vendors where relevant.</w:t>
      </w:r>
      <w:r>
        <w:br/>
      </w:r>
      <w:r>
        <w:rPr>
          <w:b/>
          <w:bCs/>
        </w:rPr>
        <w:t>Outcome:</w:t>
      </w:r>
      <w:r>
        <w:t xml:space="preserve"> Reduced friction, stronger local relevance, and improved trust in onboarding flows.</w:t>
      </w:r>
      <w:r>
        <w:br/>
      </w:r>
      <w:r>
        <w:rPr>
          <w:b/>
          <w:bCs/>
        </w:rPr>
        <w:t>Key Metric:</w:t>
      </w:r>
      <w:r>
        <w:t xml:space="preserve"> Approval CVR uplift in localized markets.</w:t>
      </w:r>
    </w:p>
    <w:p w14:paraId="1BD64B5B" w14:textId="77777777" w:rsidR="00A60A70" w:rsidRDefault="00A60A70">
      <w:pPr>
        <w:divId w:val="1487480083"/>
      </w:pPr>
      <w:r>
        <w:rPr>
          <w:b/>
          <w:bCs/>
        </w:rPr>
        <w:t>3. Add Company / Multi-Entity Expansion</w:t>
      </w:r>
      <w:r>
        <w:br/>
        <w:t>Enable seamless addition of companies within existing customer relationships to support multi-entity business needs.</w:t>
      </w:r>
      <w:r>
        <w:br/>
      </w:r>
      <w:r>
        <w:rPr>
          <w:b/>
          <w:bCs/>
        </w:rPr>
        <w:t>Outcome:</w:t>
      </w:r>
      <w:r>
        <w:t xml:space="preserve"> Improved experience for multi-entity customers and stronger expansion potential.</w:t>
      </w:r>
      <w:r>
        <w:br/>
      </w:r>
      <w:r>
        <w:rPr>
          <w:b/>
          <w:bCs/>
        </w:rPr>
        <w:t>Key Metric:</w:t>
      </w:r>
      <w:r>
        <w:t xml:space="preserve"> Increased adoption of add-company flows and improved conversion for expansion journeys.</w:t>
      </w:r>
    </w:p>
    <w:p w14:paraId="41BF77DB" w14:textId="77777777" w:rsidR="00A60A70" w:rsidRDefault="00A60A70">
      <w:pPr>
        <w:divId w:val="1585601873"/>
        <w:rPr>
          <w:lang w:bidi="he-IL"/>
        </w:rPr>
      </w:pPr>
      <w:r>
        <w:rPr>
          <w:b/>
          <w:bCs/>
        </w:rPr>
        <w:t>B. Activation Improvements</w:t>
      </w:r>
    </w:p>
    <w:p w14:paraId="6965DBFB" w14:textId="77777777" w:rsidR="00A60A70" w:rsidRDefault="00A60A70">
      <w:pPr>
        <w:divId w:val="1585601873"/>
      </w:pPr>
      <w:r>
        <w:rPr>
          <w:b/>
          <w:bCs/>
        </w:rPr>
        <w:t>4. Approval to FFT Journey</w:t>
      </w:r>
      <w:r>
        <w:br/>
        <w:t>Improve the journey from approval to FFT for Tier 1 and Tier 2 companies, with emphasis on reducing early-life friction and accelerating first value realization.</w:t>
      </w:r>
      <w:r>
        <w:br/>
      </w:r>
      <w:r>
        <w:rPr>
          <w:b/>
          <w:bCs/>
        </w:rPr>
        <w:t>Outcome:</w:t>
      </w:r>
      <w:r>
        <w:t xml:space="preserve"> Reduced time-to-first-transaction and improved FFT rates.</w:t>
      </w:r>
      <w:r>
        <w:br/>
      </w:r>
      <w:r>
        <w:rPr>
          <w:b/>
          <w:bCs/>
        </w:rPr>
        <w:t>Key Metric:</w:t>
      </w:r>
      <w:r>
        <w:t xml:space="preserve"> FFT rate uplift and time-to-first-transaction reduction.</w:t>
      </w:r>
    </w:p>
    <w:p w14:paraId="03B51AB5" w14:textId="5148B03C" w:rsidR="00A60A70" w:rsidRDefault="00A60A70">
      <w:pPr>
        <w:divId w:val="1585601873"/>
      </w:pPr>
      <w:r>
        <w:rPr>
          <w:b/>
          <w:bCs/>
        </w:rPr>
        <w:t>5. FDC Optimization</w:t>
      </w:r>
      <w:r>
        <w:br/>
        <w:t>Improve the UX/UI of KY</w:t>
      </w:r>
      <w:r w:rsidR="00FD2BC4">
        <w:t xml:space="preserve">X and periodic </w:t>
      </w:r>
      <w:r w:rsidR="000663FE">
        <w:t>review</w:t>
      </w:r>
      <w:r>
        <w:t xml:space="preserve"> requirements and reopen reasons within FDC to reduce friction in requirement completion and support progression to FFT.</w:t>
      </w:r>
      <w:r>
        <w:br/>
      </w:r>
      <w:r>
        <w:rPr>
          <w:b/>
          <w:bCs/>
        </w:rPr>
        <w:t>Outcome:</w:t>
      </w:r>
      <w:r>
        <w:t xml:space="preserve"> Fewer customer blockers during requirement completion and smoother activation journeys.</w:t>
      </w:r>
      <w:r>
        <w:br/>
      </w:r>
      <w:r>
        <w:rPr>
          <w:b/>
          <w:bCs/>
        </w:rPr>
        <w:t>Key Metric:</w:t>
      </w:r>
      <w:r>
        <w:t xml:space="preserve"> Improved requirement completion and reopen performance, with downstream activation uplift.</w:t>
      </w:r>
    </w:p>
    <w:p w14:paraId="55CE4228" w14:textId="234E6A6C" w:rsidR="00A60A70" w:rsidRDefault="00A60A70">
      <w:pPr>
        <w:divId w:val="1585601873"/>
      </w:pPr>
      <w:r>
        <w:rPr>
          <w:b/>
          <w:bCs/>
        </w:rPr>
        <w:lastRenderedPageBreak/>
        <w:t xml:space="preserve">C. </w:t>
      </w:r>
      <w:r w:rsidR="00594424">
        <w:rPr>
          <w:b/>
          <w:bCs/>
        </w:rPr>
        <w:t>CVR improvement Bets</w:t>
      </w:r>
    </w:p>
    <w:p w14:paraId="68C2E22B" w14:textId="77777777" w:rsidR="00567A21" w:rsidRDefault="00567A21">
      <w:pPr>
        <w:divId w:val="1122117324"/>
        <w:rPr>
          <w:lang w:bidi="he-IL"/>
        </w:rPr>
      </w:pPr>
      <w:r>
        <w:rPr>
          <w:b/>
          <w:bCs/>
        </w:rPr>
        <w:t>6. Global Approval CVR Improvement</w:t>
      </w:r>
      <w:r>
        <w:br/>
        <w:t>Improve approval CVR globally through AI KYC agents, real-time vendor selection, and expansion of the vendor stack with redundancy for each KYX step.</w:t>
      </w:r>
      <w:r>
        <w:br/>
      </w:r>
      <w:r>
        <w:rPr>
          <w:b/>
          <w:bCs/>
        </w:rPr>
        <w:t>Outcome:</w:t>
      </w:r>
      <w:r>
        <w:t xml:space="preserve"> Better approval performance, reduced failure rates, and more resilient KYX operations across geographies.</w:t>
      </w:r>
      <w:r>
        <w:br/>
      </w:r>
      <w:r>
        <w:rPr>
          <w:b/>
          <w:bCs/>
        </w:rPr>
        <w:t>Key Metric:</w:t>
      </w:r>
      <w:r>
        <w:t xml:space="preserve"> Global approval CVR uplift, lower KYX drop-off, and improved vendor performance and resiliency.</w:t>
      </w:r>
    </w:p>
    <w:p w14:paraId="176B707A" w14:textId="77777777" w:rsidR="00567A21" w:rsidRDefault="00567A21">
      <w:pPr>
        <w:ind w:left="720"/>
        <w:divId w:val="1122117324"/>
      </w:pPr>
      <w:r>
        <w:rPr>
          <w:b/>
          <w:bCs/>
        </w:rPr>
        <w:t>a. Claude KYC Agent</w:t>
      </w:r>
      <w:r>
        <w:br/>
        <w:t>Build a KYC agent that combines AI document understanding, field extraction, and case-level support to reduce manual touch in document-heavy approval flows.</w:t>
      </w:r>
      <w:r>
        <w:br/>
      </w:r>
      <w:r>
        <w:rPr>
          <w:b/>
          <w:bCs/>
        </w:rPr>
        <w:t>Outcome:</w:t>
      </w:r>
      <w:r>
        <w:t xml:space="preserve"> Higher approval CVR, lower manual touch, and improved FFT performance.</w:t>
      </w:r>
      <w:r>
        <w:br/>
      </w:r>
      <w:r>
        <w:rPr>
          <w:b/>
          <w:bCs/>
        </w:rPr>
        <w:t>Key Metric:</w:t>
      </w:r>
      <w:r>
        <w:t xml:space="preserve"> Extraction accuracy and auto-resolution rate for relevant lead populations.</w:t>
      </w:r>
    </w:p>
    <w:p w14:paraId="0FC6BE88" w14:textId="77777777" w:rsidR="00567A21" w:rsidRDefault="00567A21">
      <w:pPr>
        <w:ind w:left="720"/>
        <w:divId w:val="1122117324"/>
      </w:pPr>
      <w:r>
        <w:rPr>
          <w:b/>
          <w:bCs/>
        </w:rPr>
        <w:t>b. Mobile Acquisition</w:t>
      </w:r>
      <w:r>
        <w:br/>
        <w:t>Improve mobile onboarding through a dedicated mobile-first track and better signup-to-submission conversion, reducing friction where mobile underperforms desktop.</w:t>
      </w:r>
      <w:r>
        <w:br/>
      </w:r>
      <w:r>
        <w:rPr>
          <w:b/>
          <w:bCs/>
        </w:rPr>
        <w:t>Outcome:</w:t>
      </w:r>
      <w:r>
        <w:t xml:space="preserve"> Higher submission and approval performance from mobile traffic, with lower early-funnel drop-off.</w:t>
      </w:r>
      <w:r>
        <w:br/>
      </w:r>
      <w:r>
        <w:rPr>
          <w:b/>
          <w:bCs/>
        </w:rPr>
        <w:t>Key Metric:</w:t>
      </w:r>
      <w:r>
        <w:t xml:space="preserve"> Improvement in mobile signup-to-submission conversion and mobile approval CVR.</w:t>
      </w:r>
    </w:p>
    <w:p w14:paraId="56882273" w14:textId="77777777" w:rsidR="00567A21" w:rsidRDefault="00567A21">
      <w:pPr>
        <w:ind w:left="720"/>
        <w:divId w:val="1122117324"/>
      </w:pPr>
      <w:r>
        <w:rPr>
          <w:b/>
          <w:bCs/>
        </w:rPr>
        <w:t>c. Unified KYC Flow</w:t>
      </w:r>
      <w:r>
        <w:br/>
        <w:t>Create a unified KYC flow that combines e-collection, contextual document collection, and streamlined requirement submission into one consistent onboarding experience.</w:t>
      </w:r>
      <w:r>
        <w:br/>
      </w:r>
      <w:r>
        <w:rPr>
          <w:b/>
          <w:bCs/>
        </w:rPr>
        <w:t>Outcome:</w:t>
      </w:r>
      <w:r>
        <w:t xml:space="preserve"> Lower customer friction, fewer disconnected requirement steps, and better reuse of approval capabilities across populations.</w:t>
      </w:r>
      <w:r>
        <w:br/>
      </w:r>
      <w:r>
        <w:rPr>
          <w:b/>
          <w:bCs/>
        </w:rPr>
        <w:t>Key Metric:</w:t>
      </w:r>
      <w:r>
        <w:t xml:space="preserve"> Reduced drop-off across KYC steps, improved requirement submission rates, and faster delivery of new onboarding variants.</w:t>
      </w:r>
    </w:p>
    <w:p w14:paraId="3F9E74B6" w14:textId="77777777" w:rsidR="00567A21" w:rsidRDefault="00567A21">
      <w:pPr>
        <w:ind w:left="720"/>
        <w:divId w:val="1122117324"/>
      </w:pPr>
      <w:r>
        <w:rPr>
          <w:b/>
          <w:bCs/>
        </w:rPr>
        <w:t>d. Vendor Orchestration &amp; QA Layers</w:t>
      </w:r>
      <w:r>
        <w:br/>
        <w:t>Complete the real-time vendor orchestration logic and redundancy for each KYX step, together with a stronger vendor QA framework and agentic-KYC QA benchmark. This should include performance-based routing, fallback handling, and cross-vendor quality measurement to improve both conversion and control.</w:t>
      </w:r>
      <w:r>
        <w:br/>
      </w:r>
      <w:r>
        <w:rPr>
          <w:b/>
          <w:bCs/>
        </w:rPr>
        <w:t>Outcome:</w:t>
      </w:r>
      <w:r>
        <w:t xml:space="preserve"> Better approval performance, stronger resiliency, and higher confidence in vendor decisions across geographies and document types.</w:t>
      </w:r>
      <w:r>
        <w:br/>
      </w:r>
      <w:r>
        <w:rPr>
          <w:b/>
          <w:bCs/>
        </w:rPr>
        <w:t>Key Metric:</w:t>
      </w:r>
      <w:r>
        <w:t xml:space="preserve"> Global match-rate improvement and increased KYX completion rate.</w:t>
      </w:r>
    </w:p>
    <w:p w14:paraId="4CCE24E9" w14:textId="77777777" w:rsidR="00BA4773" w:rsidRDefault="00BA4773" w:rsidP="00BA4773">
      <w:pPr>
        <w:divId w:val="1585601873"/>
        <w:rPr>
          <w:lang w:bidi="he-IL"/>
        </w:rPr>
      </w:pPr>
      <w:r>
        <w:rPr>
          <w:b/>
          <w:bCs/>
        </w:rPr>
        <w:lastRenderedPageBreak/>
        <w:t>7. Lead scoring</w:t>
      </w:r>
      <w:r>
        <w:br/>
        <w:t xml:space="preserve">Apply lead scoring as a core approval CVR lever for companies, focused on identifying high-potential leads earlier and allocating the right onboarding, sales, and operational treatment accordingly. This builds on </w:t>
      </w:r>
      <w:proofErr w:type="spellStart"/>
      <w:r>
        <w:t>Payoneer’s</w:t>
      </w:r>
      <w:proofErr w:type="spellEnd"/>
      <w:r>
        <w:t xml:space="preserve"> first ML lead-scoring model and planned next versions, including data enrichment, GTM feedback loops, and broader execution across Ops and Risk.</w:t>
      </w:r>
      <w:r>
        <w:br/>
      </w:r>
      <w:r>
        <w:rPr>
          <w:b/>
          <w:bCs/>
        </w:rPr>
        <w:t>Outcome:</w:t>
      </w:r>
      <w:r>
        <w:t xml:space="preserve"> Higher approval CVR for scored company leads, better prioritization of True ICPs, and reduced onboarding friction for high-value customers.</w:t>
      </w:r>
      <w:r>
        <w:br/>
      </w:r>
      <w:r>
        <w:rPr>
          <w:b/>
          <w:bCs/>
        </w:rPr>
        <w:t>Key Metric:</w:t>
      </w:r>
      <w:r>
        <w:t xml:space="preserve"> Approval CVR uplift for A-C scored company leads, improved precision of A-score targeting, and stronger conversion from registration to approval and FFT.</w:t>
      </w:r>
    </w:p>
    <w:p w14:paraId="1C4F89E0" w14:textId="77777777" w:rsidR="00BA4773" w:rsidRDefault="00BA4773" w:rsidP="00BA4773">
      <w:pPr>
        <w:divId w:val="1585601873"/>
        <w:rPr>
          <w:lang w:bidi="he-IL"/>
        </w:rPr>
      </w:pPr>
      <w:r>
        <w:rPr>
          <w:b/>
          <w:bCs/>
        </w:rPr>
        <w:t>8. Marketplaces and Strategic Enterprise Partners</w:t>
      </w:r>
      <w:r>
        <w:br/>
        <w:t>Strengthen onboarding and integration experiences for marketplace-driven and strategic-partner growth motions.</w:t>
      </w:r>
      <w:r>
        <w:br/>
      </w:r>
      <w:r>
        <w:rPr>
          <w:b/>
          <w:bCs/>
        </w:rPr>
        <w:t>Outcome:</w:t>
      </w:r>
      <w:r>
        <w:t xml:space="preserve"> Increased acquisition and better onboarding performance through partner-driven channels.</w:t>
      </w:r>
      <w:r>
        <w:br/>
      </w:r>
      <w:r>
        <w:rPr>
          <w:b/>
          <w:bCs/>
        </w:rPr>
        <w:t>Key Metric:</w:t>
      </w:r>
      <w:r>
        <w:t xml:space="preserve"> Marketplace- and partner-driven onboarding volume and approval CVR.</w:t>
      </w:r>
    </w:p>
    <w:p w14:paraId="3A415D85" w14:textId="77777777" w:rsidR="002E050C" w:rsidRDefault="002E050C" w:rsidP="002E050C">
      <w:pPr>
        <w:divId w:val="1585601873"/>
        <w:rPr>
          <w:lang w:bidi="he-IL"/>
        </w:rPr>
      </w:pPr>
      <w:r>
        <w:rPr>
          <w:b/>
          <w:bCs/>
        </w:rPr>
        <w:t>9. China Onboarding Enhancements</w:t>
      </w:r>
      <w:r>
        <w:br/>
        <w:t>Advance China-specific onboarding and compliance-related flow enhancements.</w:t>
      </w:r>
      <w:r>
        <w:br/>
      </w:r>
      <w:r>
        <w:rPr>
          <w:b/>
          <w:bCs/>
        </w:rPr>
        <w:t>Outcome:</w:t>
      </w:r>
      <w:r>
        <w:t xml:space="preserve"> Improved approval and onboarding performance in China-related journeys.</w:t>
      </w:r>
      <w:r>
        <w:br/>
      </w:r>
      <w:r>
        <w:rPr>
          <w:b/>
          <w:bCs/>
        </w:rPr>
        <w:t>Key Metric:</w:t>
      </w:r>
      <w:r>
        <w:t xml:space="preserve"> Approval rate and approval CVR for China-relevant populations.</w:t>
      </w:r>
    </w:p>
    <w:p w14:paraId="54A246A7" w14:textId="77777777" w:rsidR="00BA4773" w:rsidRDefault="47DE5AFC" w:rsidP="00BA4773">
      <w:pPr>
        <w:divId w:val="1585601873"/>
        <w:rPr>
          <w:lang w:bidi="he-IL"/>
        </w:rPr>
      </w:pPr>
      <w:r w:rsidRPr="48E3FACD">
        <w:rPr>
          <w:b/>
          <w:bCs/>
        </w:rPr>
        <w:t>10. Migrations</w:t>
      </w:r>
      <w:r w:rsidR="7FCAC461">
        <w:br/>
      </w:r>
      <w:r>
        <w:t>Continue mandatory migration efforts required to move customers and flows toward the target CLM and licensing model, including CLM migration, Australia migration, and other regulation- or infrastructure-driven transitions. These migrations should be treated as enablement work that reduces fragmentation and supports future scale, compliance readiness, and simpler operations.</w:t>
      </w:r>
      <w:r w:rsidR="7FCAC461">
        <w:br/>
      </w:r>
      <w:r w:rsidRPr="48E3FACD">
        <w:rPr>
          <w:b/>
          <w:bCs/>
        </w:rPr>
        <w:t>Outcome:</w:t>
      </w:r>
      <w:r>
        <w:t xml:space="preserve"> Reduced dependency on legacy onboarding paths and improved readiness for future regulatory and operational changes.</w:t>
      </w:r>
      <w:r w:rsidR="7FCAC461">
        <w:br/>
      </w:r>
      <w:r w:rsidRPr="48E3FACD">
        <w:rPr>
          <w:b/>
          <w:bCs/>
        </w:rPr>
        <w:t>Key Metric:</w:t>
      </w:r>
      <w:r>
        <w:t xml:space="preserve"> High revenue retention: 98%</w:t>
      </w:r>
    </w:p>
    <w:p w14:paraId="58A84CA9" w14:textId="28D7B5DC" w:rsidR="1A574633" w:rsidRDefault="6BAFE7B9" w:rsidP="48E3FACD">
      <w:pPr>
        <w:pStyle w:val="ListParagraph"/>
        <w:numPr>
          <w:ilvl w:val="0"/>
          <w:numId w:val="1"/>
        </w:numPr>
        <w:spacing w:after="0"/>
        <w:rPr>
          <w:rFonts w:ascii="Cambria" w:eastAsia="Cambria" w:hAnsi="Cambria" w:cs="Cambria"/>
        </w:rPr>
      </w:pPr>
      <w:r w:rsidRPr="48E3FACD">
        <w:rPr>
          <w:rFonts w:ascii="Cambria" w:eastAsia="Cambria" w:hAnsi="Cambria" w:cs="Cambria"/>
        </w:rPr>
        <w:t>Periodic Review Implementation</w:t>
      </w:r>
      <w:r w:rsidR="1A574633">
        <w:br/>
      </w:r>
      <w:r w:rsidRPr="48E3FACD">
        <w:rPr>
          <w:rFonts w:ascii="Cambria" w:eastAsia="Cambria" w:hAnsi="Cambria" w:cs="Cambria"/>
        </w:rPr>
        <w:t>Implement Periodic Review capabilities for PEL SDD, Canada</w:t>
      </w:r>
      <w:r w:rsidR="1AE07939" w:rsidRPr="48E3FACD">
        <w:rPr>
          <w:rFonts w:ascii="Cambria" w:eastAsia="Cambria" w:hAnsi="Cambria" w:cs="Cambria"/>
        </w:rPr>
        <w:t>, A</w:t>
      </w:r>
      <w:r w:rsidRPr="48E3FACD">
        <w:rPr>
          <w:rFonts w:ascii="Cambria" w:eastAsia="Cambria" w:hAnsi="Cambria" w:cs="Cambria"/>
        </w:rPr>
        <w:t>ustralia</w:t>
      </w:r>
      <w:r w:rsidR="2F9C7A96" w:rsidRPr="48E3FACD">
        <w:rPr>
          <w:rFonts w:ascii="Cambria" w:eastAsia="Cambria" w:hAnsi="Cambria" w:cs="Cambria"/>
        </w:rPr>
        <w:t>, Japan and INC</w:t>
      </w:r>
      <w:r w:rsidRPr="48E3FACD">
        <w:rPr>
          <w:rFonts w:ascii="Cambria" w:eastAsia="Cambria" w:hAnsi="Cambria" w:cs="Cambria"/>
        </w:rPr>
        <w:t xml:space="preserve"> to ensure customers are reviewed according to applicable regulatory expectations and license-specific requirements. This work should establish the required product, operational, and configuration foundations to support recurring customer reviews in a scalable, controlled, and auditable way, while minimizing unnecessary customer friction where possible.</w:t>
      </w:r>
    </w:p>
    <w:p w14:paraId="277FB5C1" w14:textId="1068F979" w:rsidR="1A574633" w:rsidRDefault="6BAFE7B9">
      <w:r w:rsidRPr="48E3FACD">
        <w:rPr>
          <w:rFonts w:ascii="Cambria" w:eastAsia="Cambria" w:hAnsi="Cambria" w:cs="Cambria"/>
        </w:rPr>
        <w:t>Outcome: Improved compliance readiness through structured, license-aligned periodic review processes, with reduced reliance on manual handling and better ability to support future review populations at scale.</w:t>
      </w:r>
    </w:p>
    <w:p w14:paraId="697AB7AD" w14:textId="0EFDA2DF" w:rsidR="00DD0903" w:rsidRDefault="00DD0903" w:rsidP="00DD0903">
      <w:pPr>
        <w:divId w:val="1585601873"/>
        <w:rPr>
          <w:b/>
          <w:bCs/>
        </w:rPr>
      </w:pPr>
      <w:r>
        <w:rPr>
          <w:b/>
          <w:bCs/>
        </w:rPr>
        <w:t xml:space="preserve">D. </w:t>
      </w:r>
      <w:r w:rsidR="00655A12">
        <w:rPr>
          <w:b/>
          <w:bCs/>
        </w:rPr>
        <w:t>Cost-to-serve</w:t>
      </w:r>
    </w:p>
    <w:p w14:paraId="7EA9F050" w14:textId="77777777" w:rsidR="00BA4773" w:rsidRDefault="00BA4773">
      <w:pPr>
        <w:rPr>
          <w:lang w:bidi="he-IL"/>
        </w:rPr>
      </w:pPr>
      <w:r>
        <w:rPr>
          <w:b/>
          <w:bCs/>
        </w:rPr>
        <w:lastRenderedPageBreak/>
        <w:t>11. Auto-Decisioning</w:t>
      </w:r>
      <w:r>
        <w:br/>
        <w:t>Reduce manual-review load through auto-approval and policy automation. This should focus on increasing automation for low-risk and clearly resolvable cases while preserving compliance quality and reducing operational cost-to-serve.</w:t>
      </w:r>
      <w:r>
        <w:br/>
      </w:r>
      <w:r>
        <w:rPr>
          <w:b/>
          <w:bCs/>
        </w:rPr>
        <w:t>Outcome:</w:t>
      </w:r>
      <w:r>
        <w:t xml:space="preserve"> Lower manual-review pressure, faster handling, and improved cost efficiency in approval flows.</w:t>
      </w:r>
      <w:r>
        <w:br/>
      </w:r>
      <w:r>
        <w:rPr>
          <w:b/>
          <w:bCs/>
        </w:rPr>
        <w:t>Key Metric:</w:t>
      </w:r>
      <w:r>
        <w:t xml:space="preserve"> Manual-review reduction and lower cost per onboarding.</w:t>
      </w:r>
    </w:p>
    <w:p w14:paraId="417A711B" w14:textId="77777777" w:rsidR="00133A7A" w:rsidRDefault="00F541BE">
      <w:pPr>
        <w:pStyle w:val="Heading1"/>
      </w:pPr>
      <w:r>
        <w:t>Execution Principles</w:t>
      </w:r>
    </w:p>
    <w:p w14:paraId="1151F666" w14:textId="77777777" w:rsidR="00133A7A" w:rsidRDefault="00F541BE">
      <w:r>
        <w:t>- Outcome-driven prioritization: Investments must be directly tied to measurable business outcomes.</w:t>
      </w:r>
      <w:r>
        <w:br/>
        <w:t>- Experimentation at scale: Each initiative should include clear hypotheses and success metrics.</w:t>
      </w:r>
      <w:r>
        <w:br/>
        <w:t>- Focus on T1 and T2 leverage: Prioritize initiatives that deliver disproportionate impact on high-value segments.</w:t>
      </w:r>
      <w:r>
        <w:br/>
        <w:t>- Iterative delivery: Rapid iteration based on performance data and feedback loops.</w:t>
      </w:r>
    </w:p>
    <w:p w14:paraId="10665583" w14:textId="77777777" w:rsidR="00133A7A" w:rsidRDefault="00F541BE">
      <w:pPr>
        <w:pStyle w:val="Heading1"/>
      </w:pPr>
      <w:r>
        <w:t>Dependencies &amp; Open Items</w:t>
      </w:r>
    </w:p>
    <w:p w14:paraId="40EB4DBE" w14:textId="77777777" w:rsidR="00133A7A" w:rsidRDefault="00F541BE">
      <w:r>
        <w:t>- Definition of modernization OKRs and success metrics.</w:t>
      </w:r>
      <w:r>
        <w:br/>
        <w:t>- Alignment with GTM and regional teams for localization and reseller execution.</w:t>
      </w:r>
      <w:r>
        <w:br/>
        <w:t>- Data instrumentation to accurately measure CVR and attribution across initiatives.</w:t>
      </w:r>
    </w:p>
    <w:sectPr w:rsidR="00133A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F69C83"/>
    <w:multiLevelType w:val="hybridMultilevel"/>
    <w:tmpl w:val="FFFFFFFF"/>
    <w:lvl w:ilvl="0" w:tplc="BE4E2662">
      <w:start w:val="11"/>
      <w:numFmt w:val="decimal"/>
      <w:lvlText w:val="%1."/>
      <w:lvlJc w:val="left"/>
      <w:pPr>
        <w:ind w:left="360" w:hanging="360"/>
      </w:pPr>
    </w:lvl>
    <w:lvl w:ilvl="1" w:tplc="068A456A">
      <w:start w:val="1"/>
      <w:numFmt w:val="lowerLetter"/>
      <w:lvlText w:val="%2."/>
      <w:lvlJc w:val="left"/>
      <w:pPr>
        <w:ind w:left="1080" w:hanging="360"/>
      </w:pPr>
    </w:lvl>
    <w:lvl w:ilvl="2" w:tplc="4EACAB7A">
      <w:start w:val="1"/>
      <w:numFmt w:val="lowerRoman"/>
      <w:lvlText w:val="%3."/>
      <w:lvlJc w:val="right"/>
      <w:pPr>
        <w:ind w:left="1800" w:hanging="180"/>
      </w:pPr>
    </w:lvl>
    <w:lvl w:ilvl="3" w:tplc="F05ED256">
      <w:start w:val="1"/>
      <w:numFmt w:val="decimal"/>
      <w:lvlText w:val="%4."/>
      <w:lvlJc w:val="left"/>
      <w:pPr>
        <w:ind w:left="2520" w:hanging="360"/>
      </w:pPr>
    </w:lvl>
    <w:lvl w:ilvl="4" w:tplc="BC408280">
      <w:start w:val="1"/>
      <w:numFmt w:val="lowerLetter"/>
      <w:lvlText w:val="%5."/>
      <w:lvlJc w:val="left"/>
      <w:pPr>
        <w:ind w:left="3240" w:hanging="360"/>
      </w:pPr>
    </w:lvl>
    <w:lvl w:ilvl="5" w:tplc="0B982B80">
      <w:start w:val="1"/>
      <w:numFmt w:val="lowerRoman"/>
      <w:lvlText w:val="%6."/>
      <w:lvlJc w:val="right"/>
      <w:pPr>
        <w:ind w:left="3960" w:hanging="180"/>
      </w:pPr>
    </w:lvl>
    <w:lvl w:ilvl="6" w:tplc="4BC673C6">
      <w:start w:val="1"/>
      <w:numFmt w:val="decimal"/>
      <w:lvlText w:val="%7."/>
      <w:lvlJc w:val="left"/>
      <w:pPr>
        <w:ind w:left="4680" w:hanging="360"/>
      </w:pPr>
    </w:lvl>
    <w:lvl w:ilvl="7" w:tplc="CFE86E5A">
      <w:start w:val="1"/>
      <w:numFmt w:val="lowerLetter"/>
      <w:lvlText w:val="%8."/>
      <w:lvlJc w:val="left"/>
      <w:pPr>
        <w:ind w:left="5400" w:hanging="360"/>
      </w:pPr>
    </w:lvl>
    <w:lvl w:ilvl="8" w:tplc="E9E4843C">
      <w:start w:val="1"/>
      <w:numFmt w:val="lowerRoman"/>
      <w:lvlText w:val="%9."/>
      <w:lvlJc w:val="right"/>
      <w:pPr>
        <w:ind w:left="6120" w:hanging="180"/>
      </w:pPr>
    </w:lvl>
  </w:abstractNum>
  <w:abstractNum w:abstractNumId="10" w15:restartNumberingAfterBreak="0">
    <w:nsid w:val="244A7315"/>
    <w:multiLevelType w:val="hybridMultilevel"/>
    <w:tmpl w:val="2DF80AE2"/>
    <w:lvl w:ilvl="0" w:tplc="0409000F">
      <w:start w:val="1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D1728"/>
    <w:multiLevelType w:val="hybridMultilevel"/>
    <w:tmpl w:val="2500E6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1C23FF"/>
    <w:multiLevelType w:val="hybridMultilevel"/>
    <w:tmpl w:val="2C4010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4A3F27"/>
    <w:multiLevelType w:val="hybridMultilevel"/>
    <w:tmpl w:val="AE76898E"/>
    <w:lvl w:ilvl="0" w:tplc="87C0647C">
      <w:start w:val="1"/>
      <w:numFmt w:val="decimal"/>
      <w:lvlText w:val="%1."/>
      <w:lvlJc w:val="left"/>
      <w:pPr>
        <w:ind w:left="720" w:hanging="360"/>
      </w:pPr>
    </w:lvl>
    <w:lvl w:ilvl="1" w:tplc="42460548">
      <w:start w:val="1"/>
      <w:numFmt w:val="lowerLetter"/>
      <w:lvlText w:val="%2."/>
      <w:lvlJc w:val="left"/>
      <w:pPr>
        <w:ind w:left="1440" w:hanging="360"/>
      </w:pPr>
    </w:lvl>
    <w:lvl w:ilvl="2" w:tplc="D6285264">
      <w:start w:val="1"/>
      <w:numFmt w:val="lowerRoman"/>
      <w:lvlText w:val="%3."/>
      <w:lvlJc w:val="left"/>
      <w:pPr>
        <w:ind w:left="2160" w:hanging="360"/>
      </w:pPr>
    </w:lvl>
    <w:lvl w:ilvl="3" w:tplc="23885BCC">
      <w:start w:val="1"/>
      <w:numFmt w:val="decimal"/>
      <w:lvlText w:val="%4."/>
      <w:lvlJc w:val="left"/>
      <w:pPr>
        <w:ind w:left="2880" w:hanging="360"/>
      </w:pPr>
    </w:lvl>
    <w:lvl w:ilvl="4" w:tplc="FA4A813A">
      <w:start w:val="1"/>
      <w:numFmt w:val="lowerLetter"/>
      <w:lvlText w:val="%5."/>
      <w:lvlJc w:val="left"/>
      <w:pPr>
        <w:ind w:left="3600" w:hanging="360"/>
      </w:pPr>
    </w:lvl>
    <w:lvl w:ilvl="5" w:tplc="1EFE43AC">
      <w:start w:val="1"/>
      <w:numFmt w:val="lowerRoman"/>
      <w:lvlText w:val="%6."/>
      <w:lvlJc w:val="left"/>
      <w:pPr>
        <w:ind w:left="4320" w:hanging="360"/>
      </w:pPr>
    </w:lvl>
    <w:lvl w:ilvl="6" w:tplc="84ECF7D4">
      <w:start w:val="1"/>
      <w:numFmt w:val="decimal"/>
      <w:lvlText w:val="%7."/>
      <w:lvlJc w:val="left"/>
      <w:pPr>
        <w:ind w:left="5040" w:hanging="360"/>
      </w:pPr>
    </w:lvl>
    <w:lvl w:ilvl="7" w:tplc="240E92E4">
      <w:start w:val="1"/>
      <w:numFmt w:val="lowerLetter"/>
      <w:lvlText w:val="%8."/>
      <w:lvlJc w:val="left"/>
      <w:pPr>
        <w:ind w:left="5760" w:hanging="360"/>
      </w:pPr>
    </w:lvl>
    <w:lvl w:ilvl="8" w:tplc="BE148D10">
      <w:start w:val="1"/>
      <w:numFmt w:val="lowerRoman"/>
      <w:lvlText w:val="%9."/>
      <w:lvlJc w:val="left"/>
      <w:pPr>
        <w:ind w:left="6480" w:hanging="360"/>
      </w:pPr>
    </w:lvl>
  </w:abstractNum>
  <w:num w:numId="1" w16cid:durableId="860168342">
    <w:abstractNumId w:val="9"/>
  </w:num>
  <w:num w:numId="2" w16cid:durableId="720135747">
    <w:abstractNumId w:val="8"/>
  </w:num>
  <w:num w:numId="3" w16cid:durableId="1604612332">
    <w:abstractNumId w:val="6"/>
  </w:num>
  <w:num w:numId="4" w16cid:durableId="2049865765">
    <w:abstractNumId w:val="5"/>
  </w:num>
  <w:num w:numId="5" w16cid:durableId="691031900">
    <w:abstractNumId w:val="4"/>
  </w:num>
  <w:num w:numId="6" w16cid:durableId="1400133053">
    <w:abstractNumId w:val="7"/>
  </w:num>
  <w:num w:numId="7" w16cid:durableId="1244022547">
    <w:abstractNumId w:val="3"/>
  </w:num>
  <w:num w:numId="8" w16cid:durableId="2083329115">
    <w:abstractNumId w:val="2"/>
  </w:num>
  <w:num w:numId="9" w16cid:durableId="1926570856">
    <w:abstractNumId w:val="1"/>
  </w:num>
  <w:num w:numId="10" w16cid:durableId="1752123454">
    <w:abstractNumId w:val="0"/>
  </w:num>
  <w:num w:numId="11" w16cid:durableId="1432166019">
    <w:abstractNumId w:val="11"/>
  </w:num>
  <w:num w:numId="12" w16cid:durableId="2122454011">
    <w:abstractNumId w:val="12"/>
  </w:num>
  <w:num w:numId="13" w16cid:durableId="316611974">
    <w:abstractNumId w:val="13"/>
  </w:num>
  <w:num w:numId="14" w16cid:durableId="6935792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AAE"/>
    <w:rsid w:val="00017B56"/>
    <w:rsid w:val="00034616"/>
    <w:rsid w:val="000466DD"/>
    <w:rsid w:val="0006063C"/>
    <w:rsid w:val="0006232C"/>
    <w:rsid w:val="000663FE"/>
    <w:rsid w:val="00077A09"/>
    <w:rsid w:val="000D785F"/>
    <w:rsid w:val="000F3431"/>
    <w:rsid w:val="00133A7A"/>
    <w:rsid w:val="001430A8"/>
    <w:rsid w:val="001431DB"/>
    <w:rsid w:val="0015074B"/>
    <w:rsid w:val="001525ED"/>
    <w:rsid w:val="001565CC"/>
    <w:rsid w:val="00171C1B"/>
    <w:rsid w:val="001766B4"/>
    <w:rsid w:val="00186445"/>
    <w:rsid w:val="0019076B"/>
    <w:rsid w:val="001D1AD1"/>
    <w:rsid w:val="00206203"/>
    <w:rsid w:val="00215C90"/>
    <w:rsid w:val="0021668F"/>
    <w:rsid w:val="0024642D"/>
    <w:rsid w:val="00287CA0"/>
    <w:rsid w:val="0029521B"/>
    <w:rsid w:val="0029639D"/>
    <w:rsid w:val="002E050C"/>
    <w:rsid w:val="002F2966"/>
    <w:rsid w:val="00320D3C"/>
    <w:rsid w:val="00326F90"/>
    <w:rsid w:val="003340E0"/>
    <w:rsid w:val="0034435E"/>
    <w:rsid w:val="00382EC4"/>
    <w:rsid w:val="00390172"/>
    <w:rsid w:val="0039592B"/>
    <w:rsid w:val="003C6E79"/>
    <w:rsid w:val="003D1CC3"/>
    <w:rsid w:val="003E526B"/>
    <w:rsid w:val="004333B1"/>
    <w:rsid w:val="00436C55"/>
    <w:rsid w:val="0046044E"/>
    <w:rsid w:val="004A45F2"/>
    <w:rsid w:val="004B6377"/>
    <w:rsid w:val="004D7DC0"/>
    <w:rsid w:val="004E12A8"/>
    <w:rsid w:val="004F609A"/>
    <w:rsid w:val="00512EB1"/>
    <w:rsid w:val="00567A21"/>
    <w:rsid w:val="00594424"/>
    <w:rsid w:val="005F5E70"/>
    <w:rsid w:val="006143E4"/>
    <w:rsid w:val="00621A8A"/>
    <w:rsid w:val="006346E1"/>
    <w:rsid w:val="0063472F"/>
    <w:rsid w:val="00644530"/>
    <w:rsid w:val="00645CC1"/>
    <w:rsid w:val="00645F08"/>
    <w:rsid w:val="006543E4"/>
    <w:rsid w:val="00655A12"/>
    <w:rsid w:val="00664B12"/>
    <w:rsid w:val="006F10F1"/>
    <w:rsid w:val="006F1F32"/>
    <w:rsid w:val="00716BC4"/>
    <w:rsid w:val="00730D87"/>
    <w:rsid w:val="00770F08"/>
    <w:rsid w:val="00771422"/>
    <w:rsid w:val="0077383D"/>
    <w:rsid w:val="007A4061"/>
    <w:rsid w:val="007E60C7"/>
    <w:rsid w:val="0082058F"/>
    <w:rsid w:val="0082741F"/>
    <w:rsid w:val="00861E17"/>
    <w:rsid w:val="008A56FA"/>
    <w:rsid w:val="008B3538"/>
    <w:rsid w:val="008B3D95"/>
    <w:rsid w:val="008C030E"/>
    <w:rsid w:val="008D02C9"/>
    <w:rsid w:val="008E747E"/>
    <w:rsid w:val="0090062E"/>
    <w:rsid w:val="0090115D"/>
    <w:rsid w:val="00905D6A"/>
    <w:rsid w:val="00947277"/>
    <w:rsid w:val="00961C3D"/>
    <w:rsid w:val="00991548"/>
    <w:rsid w:val="009D6904"/>
    <w:rsid w:val="009F2C59"/>
    <w:rsid w:val="00A24F12"/>
    <w:rsid w:val="00A31557"/>
    <w:rsid w:val="00A319B1"/>
    <w:rsid w:val="00A60A70"/>
    <w:rsid w:val="00A61235"/>
    <w:rsid w:val="00A6258D"/>
    <w:rsid w:val="00A87009"/>
    <w:rsid w:val="00AA01E5"/>
    <w:rsid w:val="00AA1D8D"/>
    <w:rsid w:val="00AD249B"/>
    <w:rsid w:val="00AD664A"/>
    <w:rsid w:val="00AF405E"/>
    <w:rsid w:val="00B164D7"/>
    <w:rsid w:val="00B47730"/>
    <w:rsid w:val="00B62D58"/>
    <w:rsid w:val="00B94975"/>
    <w:rsid w:val="00BA4773"/>
    <w:rsid w:val="00BC1A6B"/>
    <w:rsid w:val="00BD456C"/>
    <w:rsid w:val="00BF761C"/>
    <w:rsid w:val="00C32E11"/>
    <w:rsid w:val="00C3645D"/>
    <w:rsid w:val="00C42CEF"/>
    <w:rsid w:val="00C57A1A"/>
    <w:rsid w:val="00C6009A"/>
    <w:rsid w:val="00C658DE"/>
    <w:rsid w:val="00CA6BF7"/>
    <w:rsid w:val="00CB0664"/>
    <w:rsid w:val="00CD2431"/>
    <w:rsid w:val="00CD6A39"/>
    <w:rsid w:val="00CF7FF6"/>
    <w:rsid w:val="00D20833"/>
    <w:rsid w:val="00D27196"/>
    <w:rsid w:val="00D414EF"/>
    <w:rsid w:val="00D45F43"/>
    <w:rsid w:val="00D53211"/>
    <w:rsid w:val="00D81789"/>
    <w:rsid w:val="00D93C72"/>
    <w:rsid w:val="00D94B16"/>
    <w:rsid w:val="00DB7604"/>
    <w:rsid w:val="00DC59D8"/>
    <w:rsid w:val="00DD0903"/>
    <w:rsid w:val="00E017C5"/>
    <w:rsid w:val="00E03697"/>
    <w:rsid w:val="00E353B7"/>
    <w:rsid w:val="00E638A9"/>
    <w:rsid w:val="00E96403"/>
    <w:rsid w:val="00E96B92"/>
    <w:rsid w:val="00EA195C"/>
    <w:rsid w:val="00EA3B0C"/>
    <w:rsid w:val="00EB1D8C"/>
    <w:rsid w:val="00ED6F12"/>
    <w:rsid w:val="00F45C0E"/>
    <w:rsid w:val="00F4757B"/>
    <w:rsid w:val="00F541BE"/>
    <w:rsid w:val="00F5423E"/>
    <w:rsid w:val="00F601B0"/>
    <w:rsid w:val="00F73B18"/>
    <w:rsid w:val="00F8015E"/>
    <w:rsid w:val="00F85A64"/>
    <w:rsid w:val="00F9442D"/>
    <w:rsid w:val="00FB062F"/>
    <w:rsid w:val="00FC0B02"/>
    <w:rsid w:val="00FC3980"/>
    <w:rsid w:val="00FC693F"/>
    <w:rsid w:val="00FD2BC4"/>
    <w:rsid w:val="00FD52A2"/>
    <w:rsid w:val="1A574633"/>
    <w:rsid w:val="1AE07939"/>
    <w:rsid w:val="1E2815CC"/>
    <w:rsid w:val="2EC0F52A"/>
    <w:rsid w:val="2F9C7A96"/>
    <w:rsid w:val="42ABFBFF"/>
    <w:rsid w:val="46555F0F"/>
    <w:rsid w:val="47DE5AFC"/>
    <w:rsid w:val="48E3FACD"/>
    <w:rsid w:val="5AC97D48"/>
    <w:rsid w:val="6BAFE7B9"/>
    <w:rsid w:val="6BE65F7B"/>
    <w:rsid w:val="6D304DBB"/>
    <w:rsid w:val="75EB0466"/>
    <w:rsid w:val="77508BDE"/>
    <w:rsid w:val="7FCAC461"/>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46222E"/>
  <w14:defaultImageDpi w14:val="300"/>
  <w15:docId w15:val="{6C950293-550A-47DE-9019-2AEA80DCE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480083">
      <w:marLeft w:val="0"/>
      <w:marRight w:val="0"/>
      <w:marTop w:val="0"/>
      <w:marBottom w:val="0"/>
      <w:divBdr>
        <w:top w:val="none" w:sz="0" w:space="0" w:color="auto"/>
        <w:left w:val="none" w:sz="0" w:space="0" w:color="auto"/>
        <w:bottom w:val="none" w:sz="0" w:space="0" w:color="auto"/>
        <w:right w:val="none" w:sz="0" w:space="0" w:color="auto"/>
      </w:divBdr>
    </w:div>
    <w:div w:id="1585601873">
      <w:marLeft w:val="0"/>
      <w:marRight w:val="0"/>
      <w:marTop w:val="0"/>
      <w:marBottom w:val="0"/>
      <w:divBdr>
        <w:top w:val="none" w:sz="0" w:space="0" w:color="auto"/>
        <w:left w:val="none" w:sz="0" w:space="0" w:color="auto"/>
        <w:bottom w:val="none" w:sz="0" w:space="0" w:color="auto"/>
        <w:right w:val="none" w:sz="0" w:space="0" w:color="auto"/>
      </w:divBdr>
      <w:divsChild>
        <w:div w:id="1122117324">
          <w:marLeft w:val="0"/>
          <w:marRight w:val="0"/>
          <w:marTop w:val="0"/>
          <w:marBottom w:val="0"/>
          <w:divBdr>
            <w:top w:val="none" w:sz="0" w:space="0" w:color="auto"/>
            <w:left w:val="none" w:sz="0" w:space="0" w:color="auto"/>
            <w:bottom w:val="none" w:sz="0" w:space="0" w:color="auto"/>
            <w:right w:val="none" w:sz="0" w:space="0" w:color="auto"/>
          </w:divBdr>
        </w:div>
        <w:div w:id="2104833740">
          <w:marLeft w:val="0"/>
          <w:marRight w:val="0"/>
          <w:marTop w:val="0"/>
          <w:marBottom w:val="0"/>
          <w:divBdr>
            <w:top w:val="none" w:sz="0" w:space="0" w:color="auto"/>
            <w:left w:val="none" w:sz="0" w:space="0" w:color="auto"/>
            <w:bottom w:val="none" w:sz="0" w:space="0" w:color="auto"/>
            <w:right w:val="none" w:sz="0" w:space="0" w:color="auto"/>
          </w:divBdr>
        </w:div>
      </w:divsChild>
    </w:div>
    <w:div w:id="2124571569">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1b035b6-cb80-4ee8-995c-28a3d1e107cc}" enabled="1" method="Standard" siteId="{decee90c-ce03-461e-8c21-dd538e181c75}"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1658</Words>
  <Characters>8457</Characters>
  <Application>Microsoft Office Word</Application>
  <DocSecurity>0</DocSecurity>
  <Lines>153</Lines>
  <Paragraphs>52</Paragraphs>
  <ScaleCrop>false</ScaleCrop>
  <Manager/>
  <Company/>
  <LinksUpToDate>false</LinksUpToDate>
  <CharactersWithSpaces>10063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Yonatan Orpeli</cp:lastModifiedBy>
  <cp:revision>2</cp:revision>
  <dcterms:created xsi:type="dcterms:W3CDTF">2026-06-20T12:57:00Z</dcterms:created>
  <dcterms:modified xsi:type="dcterms:W3CDTF">2026-06-20T12:57:00Z</dcterms:modified>
  <cp:category/>
</cp:coreProperties>
</file>