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rFonts w:ascii="Courier New" w:cs="Courier New" w:eastAsia="Courier New" w:hAnsi="Courier New"/>
          <w:color w:val="888899"/>
          <w:spacing w:val="60"/>
          <w:sz w:val="18"/>
          <w:szCs w:val="18"/>
        </w:rPr>
        <w:t xml:space="preserve">FOR IMMEDIATE RELEASE</w:t>
      </w:r>
    </w:p>
    <w:p>
      <w:pPr>
        <w:spacing w:after="200"/>
      </w:pPr>
      <w:r>
        <w:rPr>
          <w:rFonts w:ascii="Arial" w:cs="Arial" w:eastAsia="Arial" w:hAnsi="Arial"/>
          <w:b/>
          <w:bCs/>
          <w:color w:val="1E1E28"/>
          <w:sz w:val="40"/>
          <w:szCs w:val="40"/>
        </w:rPr>
        <w:t xml:space="preserve">Payoneer Becomes the First Regulated Fintech to Expose Its Financial Stack as Native MCP Tools for AI Agents</w:t>
      </w:r>
    </w:p>
    <w:p>
      <w:pPr>
        <w:pBdr>
          <w:bottom w:val="single" w:color="EEEEF2" w:sz="4" w:space="12"/>
        </w:pBdr>
        <w:spacing w:after="320"/>
      </w:pPr>
      <w:r>
        <w:rPr>
          <w:rFonts w:ascii="Arial" w:cs="Arial" w:eastAsia="Arial" w:hAnsi="Arial"/>
          <w:i/>
          <w:iCs/>
          <w:color w:val="2D2D3A"/>
          <w:sz w:val="22"/>
          <w:szCs w:val="22"/>
        </w:rPr>
        <w:t xml:space="preserve">Agents can now open accounts, monitor transactions, and move money on behalf of SMBs across 190+ countries — natively, through Model Context Protocol, the open standard adopted by leading AI model providers.</w:t>
      </w:r>
    </w:p>
    <w:p>
      <w:pPr>
        <w:spacing w:after="180" w:line="300"/>
        <w:jc w:val="left"/>
      </w:pPr>
      <w:r>
        <w:rPr>
          <w:rFonts w:ascii="Arial" w:cs="Arial" w:eastAsia="Arial" w:hAnsi="Arial"/>
          <w:b/>
          <w:bCs/>
          <w:color w:val="1E1E28"/>
          <w:sz w:val="22"/>
          <w:szCs w:val="22"/>
        </w:rPr>
        <w:t xml:space="preserve">New York, [Date] — </w:t>
      </w:r>
      <w:r>
        <w:rPr>
          <w:rFonts w:ascii="Arial" w:cs="Arial" w:eastAsia="Arial" w:hAnsi="Arial"/>
          <w:color w:val="2D2D3A"/>
          <w:sz w:val="22"/>
          <w:szCs w:val="22"/>
        </w:rPr>
        <w:t xml:space="preserve">Payoneer (NASDAQ: PAYO) today announced the </w:t>
      </w:r>
      <w:r>
        <w:rPr>
          <w:rFonts w:ascii="Arial" w:cs="Arial" w:eastAsia="Arial" w:hAnsi="Arial"/>
          <w:b/>
          <w:bCs/>
          <w:color w:val="2D2D3A"/>
          <w:sz w:val="22"/>
          <w:szCs w:val="22"/>
        </w:rPr>
        <w:t xml:space="preserve">Payoneer Agent Stack</w:t>
      </w:r>
      <w:r>
        <w:rPr>
          <w:rFonts w:ascii="Arial" w:cs="Arial" w:eastAsia="Arial" w:hAnsi="Arial"/>
          <w:color w:val="2D2D3A"/>
          <w:sz w:val="22"/>
          <w:szCs w:val="22"/>
        </w:rPr>
        <w:t xml:space="preserve"> — the first regulated, cross-border financial infrastructure exposed natively as Model Context Protocol (MCP) tools. AI agents can now open accounts, monitor incoming and outgoing transactions, send and receive payments, and continuously optimize cross-border payment flows on behalf of small businesses — natively, without a human in the loop for every action.</w:t>
      </w:r>
    </w:p>
    <w:p>
      <w:pPr>
        <w:spacing w:after="180" w:line="300"/>
        <w:jc w:val="left"/>
      </w:pPr>
      <w:r>
        <w:rPr>
          <w:rFonts w:ascii="Arial" w:cs="Arial" w:eastAsia="Arial" w:hAnsi="Arial"/>
          <w:color w:val="2D2D3A"/>
          <w:sz w:val="22"/>
          <w:szCs w:val="22"/>
        </w:rPr>
        <w:t xml:space="preserve">The launch positions Payoneer as the financial execution layer for the agent economy. Foundation model companies provide reasoning. MCP provides the interface. The Verified Agent Protocol provides identity and authorization. The Payoneer Agent Stack provides the primitives agents need to actually </w:t>
      </w:r>
      <w:r>
        <w:rPr>
          <w:rFonts w:ascii="Arial" w:cs="Arial" w:eastAsia="Arial" w:hAnsi="Arial"/>
          <w:i/>
          <w:iCs/>
          <w:color w:val="2D2D3A"/>
          <w:sz w:val="22"/>
          <w:szCs w:val="22"/>
        </w:rPr>
        <w:t xml:space="preserve">do business</w:t>
      </w:r>
      <w:r>
        <w:rPr>
          <w:rFonts w:ascii="Arial" w:cs="Arial" w:eastAsia="Arial" w:hAnsi="Arial"/>
          <w:color w:val="2D2D3A"/>
          <w:sz w:val="22"/>
          <w:szCs w:val="22"/>
        </w:rPr>
        <w:t xml:space="preserve">: receive a marketplace payout in one currency, hold it, route it through the optimal corridor, and pay a supplier in another — in seconds, in compliance, across 190+ countries.</w:t>
      </w:r>
    </w:p>
    <w:p>
      <w:pPr>
        <w:pBdr>
          <w:left w:val="single" w:color="977DFF" w:sz="18" w:space="16"/>
        </w:pBdr>
        <w:spacing w:after="220" w:before="80" w:line="320"/>
        <w:ind w:left="360"/>
      </w:pPr>
      <w:r>
        <w:rPr>
          <w:rFonts w:ascii="Arial" w:cs="Arial" w:eastAsia="Arial" w:hAnsi="Arial"/>
          <w:color w:val="2D2D3A"/>
          <w:sz w:val="22"/>
          <w:szCs w:val="22"/>
        </w:rPr>
        <w:t xml:space="preserve">“Small businesses don’t want to talk to AI. They want AI to </w:t>
      </w:r>
      <w:r>
        <w:rPr>
          <w:rFonts w:ascii="Arial" w:cs="Arial" w:eastAsia="Arial" w:hAnsi="Arial"/>
          <w:i/>
          <w:iCs/>
          <w:color w:val="2D2D3A"/>
          <w:sz w:val="22"/>
          <w:szCs w:val="22"/>
        </w:rPr>
        <w:t xml:space="preserve">run</w:t>
      </w:r>
      <w:r>
        <w:rPr>
          <w:rFonts w:ascii="Arial" w:cs="Arial" w:eastAsia="Arial" w:hAnsi="Arial"/>
          <w:color w:val="2D2D3A"/>
          <w:sz w:val="22"/>
          <w:szCs w:val="22"/>
        </w:rPr>
        <w:t xml:space="preserve"> their business — chase invoices, time FX conversions, settle suppliers, flag fraud,” said </w:t>
      </w:r>
      <w:r>
        <w:rPr>
          <w:rFonts w:ascii="Arial" w:cs="Arial" w:eastAsia="Arial" w:hAnsi="Arial"/>
          <w:b/>
          <w:bCs/>
          <w:color w:val="1E1E28"/>
          <w:sz w:val="22"/>
          <w:szCs w:val="22"/>
        </w:rPr>
        <w:t xml:space="preserve">Oren Ryngler, Chief Product Officer, Payoneer</w:t>
      </w:r>
      <w:r>
        <w:rPr>
          <w:rFonts w:ascii="Arial" w:cs="Arial" w:eastAsia="Arial" w:hAnsi="Arial"/>
          <w:color w:val="2D2D3A"/>
          <w:sz w:val="22"/>
          <w:szCs w:val="22"/>
        </w:rPr>
        <w:t xml:space="preserve">. “That takes more than a chatbot. It takes an agent that can actually move money, across borders, with the licenses to do it legally. We’ve spent fifteen years building exactly that infrastructure. Today we’re opening it to every agent builder in the world.”</w:t>
      </w:r>
    </w:p>
    <w:p>
      <w:pPr>
        <w:spacing w:after="180" w:line="300"/>
        <w:jc w:val="left"/>
      </w:pPr>
      <w:r>
        <w:rPr>
          <w:rFonts w:ascii="Arial" w:cs="Arial" w:eastAsia="Arial" w:hAnsi="Arial"/>
          <w:color w:val="2D2D3A"/>
          <w:sz w:val="22"/>
          <w:szCs w:val="22"/>
        </w:rPr>
        <w:t xml:space="preserve">Initial Agent Stack tools include programmatic account opening, real-time transaction monitoring, multi-currency payment initiation, and intelligent corridor optimization. All tools are exposed as native MCP capabilities, interoperate with the Verified Agent Protocol, and are immediately available to any MCP-compatible agent.</w:t>
      </w:r>
    </w:p>
    <w:p>
      <w:pPr>
        <w:pBdr>
          <w:top w:val="single" w:color="EEEEF2" w:sz="4" w:space="8"/>
        </w:pBdr>
        <w:spacing w:after="100" w:before="240"/>
      </w:pPr>
      <w:r>
        <w:rPr>
          <w:rFonts w:ascii="Arial" w:cs="Arial" w:eastAsia="Arial" w:hAnsi="Arial"/>
          <w:b/>
          <w:bCs/>
          <w:color w:val="1E1E28"/>
          <w:sz w:val="22"/>
          <w:szCs w:val="22"/>
        </w:rPr>
        <w:t xml:space="preserve">About Payoneer</w:t>
      </w:r>
    </w:p>
    <w:p>
      <w:pPr>
        <w:spacing w:after="180" w:line="300"/>
        <w:jc w:val="left"/>
      </w:pPr>
      <w:r>
        <w:rPr>
          <w:rFonts w:ascii="Arial" w:cs="Arial" w:eastAsia="Arial" w:hAnsi="Arial"/>
          <w:color w:val="2D2D3A"/>
          <w:sz w:val="22"/>
          <w:szCs w:val="22"/>
        </w:rPr>
        <w:t xml:space="preserve">Payoneer (NASDAQ: PAYO) is the financial stack for the world’s underserved businesses, enabling over two million SMBs across 190+ countries to operate in a global economy that feels borderless.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Payoneer Agent Stack — Press Release Draft</dc:title>
  <dc:creator>Yonatan Orpeli</dc:creator>
  <cp:lastModifiedBy>Un-named</cp:lastModifiedBy>
  <cp:revision>1</cp:revision>
  <dcterms:created xsi:type="dcterms:W3CDTF">2026-05-20T19:46:22.590Z</dcterms:created>
  <dcterms:modified xsi:type="dcterms:W3CDTF">2026-05-20T19:46:22.590Z</dcterms:modified>
</cp:coreProperties>
</file>

<file path=docProps/custom.xml><?xml version="1.0" encoding="utf-8"?>
<Properties xmlns="http://schemas.openxmlformats.org/officeDocument/2006/custom-properties" xmlns:vt="http://schemas.openxmlformats.org/officeDocument/2006/docPropsVTypes"/>
</file>