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48"/>
          <w:szCs w:val="48"/>
        </w:rPr>
        <w:t xml:space="preserve">AI-Native Team Operating Model</w:t>
      </w:r>
    </w:p>
    <w:p>
      <w:pPr>
        <w:spacing w:after="240"/>
      </w:pPr>
      <w:r>
        <w:rPr>
          <w:rFonts w:ascii="Avenir Next LT Pro" w:cs="Avenir Next LT Pro" w:eastAsia="Avenir Next LT Pro" w:hAnsi="Avenir Next LT Pro"/>
          <w:color w:val="5D6D7E"/>
          <w:sz w:val="32"/>
          <w:szCs w:val="32"/>
        </w:rPr>
        <w:t xml:space="preserve">Week 3 Workstream Snapshot</w:t>
      </w:r>
    </w:p>
    <w:p>
      <w:pPr>
        <w:spacing w:after="80"/>
      </w:pPr>
      <w:r>
        <w:rPr>
          <w:rFonts w:ascii="Avenir Next LT Pro" w:cs="Avenir Next LT Pro" w:eastAsia="Avenir Next LT Pro" w:hAnsi="Avenir Next LT Pro"/>
          <w:b/>
          <w:bCs/>
          <w:color w:val="5D6D7E"/>
          <w:sz w:val="22"/>
          <w:szCs w:val="22"/>
        </w:rPr>
        <w:t xml:space="preserve">Workstream Lead: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Yonatan Orpeli (VP Product, CLM) &amp; Tal Arnon (VP Engineering)</w:t>
      </w:r>
    </w:p>
    <w:p>
      <w:pPr>
        <w:spacing w:after="80"/>
      </w:pPr>
      <w:r>
        <w:rPr>
          <w:rFonts w:ascii="Avenir Next LT Pro" w:cs="Avenir Next LT Pro" w:eastAsia="Avenir Next LT Pro" w:hAnsi="Avenir Next LT Pro"/>
          <w:b/>
          <w:bCs/>
          <w:color w:val="5D6D7E"/>
          <w:sz w:val="22"/>
          <w:szCs w:val="22"/>
        </w:rPr>
        <w:t xml:space="preserve">Date: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March 25, 2026</w:t>
      </w:r>
    </w:p>
    <w:p>
      <w:pPr>
        <w:spacing w:after="360"/>
      </w:pPr>
    </w:p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1. End-State Vision: Target Architecture (To-Be)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A product organization where the default operating unit is a core pod of 3 (1 PM + 2 Engineers), working in a continuous loop of Discovery → Problem Frame → Co-Solve → Harden → Ship + Measure. AI is embedded in how the team works — not as a separate tool layer, but as the reason the team structure itself changes.</w:t>
      </w:r>
    </w:p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Key Building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Building Block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Data layer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Shared context infrastructure — living documentation that serves both humans and AI agents. Replaces static specs and handoff artifacts.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Governance &amp; guardrails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Blast radius framework (L0–L4) that calibrates team autonomy to potential impact. Applies equally to human decisions and AI agent actions.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Models / agents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AI agents embedded in the development loop — generating code, synthesizing research, prototyping solutions. Engineers orchestrate agents rather than writing every line.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Orchestration / workflows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The Co-Solve loop: PM and engineer work simultaneously (not sequentially) with AI doing the mechanical building. No handoffs, no PRDs, no sequential gates.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Interfaces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PM prototypes directly with AI tools; engineers review and harden. Shared IDE environments where PM and engineer collaborate in real time.</w:t>
            </w:r>
          </w:p>
        </w:tc>
      </w:tr>
    </w:tbl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What Exists Today vs. What Is Missing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Exists Today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Missing / In Progress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Complete operating model article (published internally)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First live pod to validate the model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PM job description — in active recruitment via iTalent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Engineer role definition (co-developing with Tal Arnon)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Blast radius governance framework (L0–L4)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Organizational enablement — hiring flows adapted for AI-native roles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Research foundation (13+ sources, competitive benchmarks)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Cross-pollination mechanisms between pods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Flex-point model for team variants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Transition playbook for existing teams</w:t>
            </w:r>
          </w:p>
        </w:tc>
      </w:tr>
    </w:tbl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Main Workstream Outputs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AI-Native Team Operating Model article (complete)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PM and Director job descriptions (shared with iTalent, in active recruitment)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Blast radius governance framework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Human Contract framework (psychological safety, knowledge loss mitigation, decision protocols for small teams)</w:t>
      </w:r>
    </w:p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2. Quick Wins — Status &amp; Value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What (Use Case)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Operating model article — codified how AI-native pods should work, end-to-end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Done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Shared language and framework for all stakeholders; basis for hiring, enablement, and org design conversations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Writing it as an opinion piece (not a framework) made it actionable and shareable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PM JD shared with iTalent — recruitment started for Principal PM (IC) and Director roles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In progress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Hiring pipeline open; recruiter and candidate reactions validating role definitions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JD needs validation against AI-native hiring flow — traditional filters may screen out the right candidates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Research landscape synthesis — 13+ sources incl. competitive benchmarks (Mercury, Wix, Cellebrite, Anthropic, Vercel)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Done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De-risked key design decisions (team size of 3, shared design function, no QA role); grounded the model in evidence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Strongest signal came from practitioner interviews (Wix, Cellebrite), not published research</w:t>
            </w:r>
          </w:p>
        </w:tc>
      </w:tr>
    </w:tbl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3. From Experiment → Capability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POC / Tool / Capability?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Architecture Mapping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Required to Scale</w:t>
            </w:r>
          </w:p>
        </w:tc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Expected Adoption</w:t>
            </w:r>
          </w:p>
        </w:tc>
      </w:tr>
      <w:tr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Operating model article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Scalable capability — the blueprint for organizational scaling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Defines all building blocks (governance, workflows, team structure)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Organizational buy-in, first pod as proof point, enablement program</w:t>
            </w:r>
          </w:p>
        </w:tc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All product + engineering teams transitioning to AI-native ways of working</w:t>
            </w:r>
          </w:p>
        </w:tc>
      </w:tr>
      <w:tr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PM JD + recruitment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POC — testing if market has AI-native PM profiles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Validates the "who's in the team" building block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Hiring flow alignment with Liat Ashkenazi &amp; Mor Regev; adapted interview process</w:t>
            </w:r>
          </w:p>
        </w:tc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First hire validates; then scales to all new PM hiring</w:t>
            </w:r>
          </w:p>
        </w:tc>
      </w:tr>
      <w:tr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Research landscape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Foundation — informs all downstream decisions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Underlies governance calibration and team composition decisions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Periodic refresh as industry practices evolve</w:t>
            </w:r>
          </w:p>
        </w:tc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Used by leadership for decision-making; by HR for JD calibration</w:t>
            </w:r>
          </w:p>
        </w:tc>
      </w:tr>
    </w:tbl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4. Dual Horizon Plan</w:t>
      </w:r>
    </w:p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Next 6–12 Weeks (Execution)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Align on hiring flows for AI talent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Liat Ashkenazi + Mor Regev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Adapted recruitment and interview process for AI-native roles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Internal alignment on process changes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Understand AI DLC team capabilities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AI DLC team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Gap analysis — what from their work applies to our enablement needs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AI DLC team availability and willingness to share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Interview AIR teams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Tal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Documented learnings on current AI ways of working, pain points, and what's working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AIR team access and scheduling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Enable AIR teams on operating model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Tal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First teams experimenting with the pod model and Co-Solve workflow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Completed interviews; leadership buy-in from AIR leads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Expand to domain teams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Tal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Teams from different domains adopting AI-enabled ways of working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AIR learnings documented; domain lead buy-in</w:t>
            </w:r>
          </w:p>
        </w:tc>
      </w:tr>
    </w:tbl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6–18 Months (Transformation)</w:t>
      </w:r>
    </w:p>
    <w:p>
      <w:pPr>
        <w:spacing w:before="200" w:after="12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4"/>
          <w:szCs w:val="24"/>
        </w:rPr>
        <w:t xml:space="preserve">What fundamental change will occur: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The default team structure shifts from 5–8 person feature teams with sequential handoffs to 3-person pods with AI-embedded workflows. This isn't a process change — it's a structural redesign of how product work gets done.</w:t>
      </w:r>
    </w:p>
    <w:p>
      <w:pPr>
        <w:spacing w:before="200" w:after="12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4"/>
          <w:szCs w:val="24"/>
        </w:rPr>
        <w:t xml:space="preserve">What will look materially different: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People: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PMs prototype and analyze directly with AI; engineers orchestrate AI agents and focus on system integrity. New hiring profiles reflect this.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Process: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No PRDs, no handoff specs, no estimation ceremonies. Continuous Co-Solve replaces the spec→build→review sequence. Blast radius framework replaces approval committees.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Product: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Faster cycle times (days/weeks vs. months). More experimentation — testing 3 approaches in a day instead of committing to 1 per sprint. Higher quality decisions because exploration cost drops dramatically.</w:t>
      </w:r>
    </w:p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5. Metrics — From Learning to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What is measured today?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Recruitment pipeline metrics (iTalent candidates in funnel). Qualitative feedback from stakeholder reviews of the operating model.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What should be measured next?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Time-to-first-prototype for teams adopting Co-Solve workflow. Interview-to-hire conversion for AI-native JDs vs. traditional. Team satisfaction and collaboration quality in pod experiments.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When will we be able to measure?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Once first teams begin experimenting (target: 6–8 weeks). Hiring metrics available once interview pipeline matures (4–6 weeks).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Gaps in measurement?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No baseline yet for traditional team cycle times to compare against. Need to establish measurement framework before first pod launches. Productivity metrics for AI-augmented work are industry-wide unsolved.</w:t>
            </w:r>
          </w:p>
        </w:tc>
      </w:tr>
    </w:tbl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6. Risks &amp; Trade-offs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Hiring market may not have AI-native PM profiles — the role we're describing is emerging; candidate pool is thin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Organizational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iTalent actively searching; JD designed to attract builder-PMs. Candidate reactions will signal if we need to adjust.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Resistance from existing teams — current team leads may see pod model as threatening to their structure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Organizational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Starting with willing teams (AIR), framing as experimentation not mandate, demonstrating value before scaling.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Model unproven at Payoneer scale — well-researched but untested internally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Execution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First pod is explicitly an experiment. Built-in feedback loops. Committed to course-correcting based on evidence, not defending the model.</w:t>
            </w:r>
          </w:p>
        </w:tc>
      </w:tr>
    </w:tbl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Real Trade-offs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Speed vs. thoroughness: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We could spend more time refining the model before experimenting, but we believe the learning comes from practice, not from more documents. We're choosing to move fast and iterate.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Centralized design vs. domain autonomy: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The operating model proposes a universal pod structure with flex points. Some domains may need more customization. We'll learn this from the AIR experiments.</w:t>
      </w:r>
    </w:p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7. Decisions Needed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Who Decides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Hiring flow adaptation for AI-native roles — current process built for traditional roles and may filter out pod-fit candidates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Without this, we hire the wrong people or lose the right ones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Liat Ashkenazi + Mor Regev + Yonatan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Which AIR teams to start with — need to select teams for initial interviews and enablement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Wrong team selection delays learning; right selection creates momentum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Tal + AIR leadership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Domain for first full pod — bounded problem space, real autonomy, real users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The first pod is the proof point; wrong scope undermines credibility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Tal + Oren/Liat</w:t>
            </w:r>
          </w:p>
        </w:tc>
      </w:tr>
    </w:tbl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8. Overall Self-Assessment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Proof of Value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57F17"/>
                <w:sz w:val="20"/>
                <w:szCs w:val="20"/>
              </w:rPr>
              <w:t xml:space="preserve">Yellow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Operating model is complete, well-researched, and reviewed by stakeholders. But value is proven when a real team operates this way — we're pre-experiment.</w:t>
            </w:r>
          </w:p>
        </w:tc>
      </w:tr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Scalability Potential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2E7D32"/>
                <w:sz w:val="20"/>
                <w:szCs w:val="20"/>
              </w:rPr>
              <w:t xml:space="preserve">Green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The model is designed to scale — flex points handle team variants, blast radius framework handles governance. The architecture is built for organizational adoption.</w:t>
            </w:r>
          </w:p>
        </w:tc>
      </w:tr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Architectural Clarity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2E7D32"/>
                <w:sz w:val="20"/>
                <w:szCs w:val="20"/>
              </w:rPr>
              <w:t xml:space="preserve">Green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End-state is clearly defined: pod structure, workflow loop, governance framework, shared functions model. All documented and internally consistent.</w:t>
            </w:r>
          </w:p>
        </w:tc>
      </w:tr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Measurement Maturity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C62828"/>
                <w:sz w:val="20"/>
                <w:szCs w:val="20"/>
              </w:rPr>
              <w:t xml:space="preserve">Red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No quantitative metrics yet. Measurement framework needs to be built before first pod launches. This is expected at this stage — we're still pre-experiment.</w:t>
            </w:r>
          </w:p>
        </w:tc>
      </w:tr>
    </w:tbl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Top Quick Win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Complete AI-native operating model article — shared language and framework for the entire initiative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Proven Value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Operating model validated through research (13+ sources), stakeholder reviews, and practitioner input (Wix, Cellebrite). Recruitment started based on it.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Scalable Capability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The operating model and governance framework are designed for org-wide adoption. Flex-point architecture handles team variants without separate models.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Architecture Readiness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End-state fully designed: pod structure, workflow, governance, shared functions, human contract. Gap is the transition playbook.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Next 6–12 Week Focus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Align on AI hiring flows (Liat/Mor), understand AI DLC capabilities, interview and enable AIR teams, then expand to domain teams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Biggest Risk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Model is unproven internally — strong on paper, needs real team validation. First pod experiment is the critical proof point.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Key Decision Needed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Hiring flow adaptation for AI-native roles — current process may filter out the right candidates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Overall Status (R/Y/G)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57F17"/>
                <w:sz w:val="20"/>
                <w:szCs w:val="20"/>
              </w:rPr>
              <w:t xml:space="preserve">Yellow</w:t>
            </w:r>
          </w:p>
        </w:tc>
      </w:tr>
    </w:tbl>
    <w:p>
      <w:pPr>
        <w:spacing w:after="16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Strong intellectual foundation and active recruitment, but pre-experiment. Moving to green requires first team operating in the new model.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tabs>
        <w:tab w:val="right" w:pos="9026"/>
      </w:tabs>
    </w:pPr>
    <w:r>
      <w:rPr>
        <w:rFonts w:ascii="Avenir Next LT Pro" w:cs="Avenir Next LT Pro" w:eastAsia="Avenir Next LT Pro" w:hAnsi="Avenir Next LT Pro"/>
        <w:color w:val="5D6D7E"/>
        <w:sz w:val="16"/>
        <w:szCs w:val="16"/>
      </w:rPr>
      <w:t xml:space="preserve">Payoneer CLM</w:t>
    </w:r>
    <w:r>
      <w:t xml:space="preserve">	</w:t>
    </w:r>
    <w:r>
      <w:rPr>
        <w:rFonts w:ascii="Avenir Next LT Pro" w:cs="Avenir Next LT Pro" w:eastAsia="Avenir Next LT Pro" w:hAnsi="Avenir Next LT Pro"/>
        <w:color w:val="5D6D7E"/>
        <w:sz w:val="16"/>
        <w:szCs w:val="16"/>
      </w:rPr>
      <w:t xml:space="preserve">Page </w:t>
    </w:r>
    <w:r>
      <w:rPr>
        <w:rFonts w:ascii="Avenir Next LT Pro" w:cs="Avenir Next LT Pro" w:eastAsia="Avenir Next LT Pro" w:hAnsi="Avenir Next LT Pro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1" w:space="4"/>
      </w:pBdr>
      <w:spacing w:after="200"/>
    </w:pPr>
    <w:r>
      <w:rPr>
        <w:rFonts w:ascii="Avenir Next LT Pro" w:cs="Avenir Next LT Pro" w:eastAsia="Avenir Next LT Pro" w:hAnsi="Avenir Next LT Pro"/>
        <w:color w:val="5D6D7E"/>
        <w:sz w:val="16"/>
        <w:szCs w:val="16"/>
      </w:rPr>
      <w:t xml:space="preserve">AI-Native Team Operating Model — Week 3 Workstream Snapshot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 LT Pro" w:cs="Avenir Next LT Pro" w:eastAsia="Avenir Next LT Pro" w:hAnsi="Avenir Next LT Pro"/>
        <w:color w:val="1E1E28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2026-03-25T11:08:40.254Z</dcterms:created>
  <dcterms:modified xsi:type="dcterms:W3CDTF">2026-03-25T11:08:40.255Z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