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48"/>
          <w:szCs w:val="48"/>
        </w:rPr>
        <w:t xml:space="preserve">The Foundry — AI Academy &amp; Community</w:t>
      </w:r>
    </w:p>
    <w:p>
      <w:pPr>
        <w:spacing w:after="240"/>
      </w:pPr>
      <w:r>
        <w:rPr>
          <w:rFonts w:ascii="Avenir Next LT Pro" w:cs="Avenir Next LT Pro" w:eastAsia="Avenir Next LT Pro" w:hAnsi="Avenir Next LT Pro"/>
          <w:color w:val="5D6D7E"/>
          <w:sz w:val="32"/>
          <w:szCs w:val="32"/>
        </w:rPr>
        <w:t xml:space="preserve">Workstream Snapshot — March 2026</w:t>
      </w:r>
    </w:p>
    <w:p>
      <w:pPr>
        <w:spacing w:after="80"/>
      </w:pPr>
      <w:r>
        <w:rPr>
          <w:rFonts w:ascii="Avenir Next LT Pro" w:cs="Avenir Next LT Pro" w:eastAsia="Avenir Next LT Pro" w:hAnsi="Avenir Next LT Pro"/>
          <w:b/>
          <w:bCs/>
          <w:color w:val="5D6D7E"/>
          <w:sz w:val="22"/>
          <w:szCs w:val="22"/>
        </w:rPr>
        <w:t xml:space="preserve">Workstream Lead: </w:t>
      </w: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Yonatan Orpeli (VP Product, CLM)</w:t>
      </w:r>
    </w:p>
    <w:p>
      <w:pPr>
        <w:spacing w:after="80"/>
      </w:pPr>
      <w:r>
        <w:rPr>
          <w:rFonts w:ascii="Avenir Next LT Pro" w:cs="Avenir Next LT Pro" w:eastAsia="Avenir Next LT Pro" w:hAnsi="Avenir Next LT Pro"/>
          <w:b/>
          <w:bCs/>
          <w:color w:val="5D6D7E"/>
          <w:sz w:val="22"/>
          <w:szCs w:val="22"/>
        </w:rPr>
        <w:t xml:space="preserve">Date: </w:t>
      </w: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March 26, 2026</w:t>
      </w:r>
    </w:p>
    <w:p>
      <w:pPr>
        <w:spacing w:after="360"/>
      </w:pPr>
    </w:p>
    <w:p>
      <w:pPr>
        <w:spacing w:after="16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The Foundry is Payoneer's AI skills and education program, designed to raise AI capability across the entire organization through two complementary pillars: a structured Academy for deep, cohort-based training, and a broad-access Community that ensures no one is left behind.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This is a new initiative. The first cohorts and community activities will be learning experiments — we expect to iterate on format, content, and delivery as we go.</w:t>
      </w:r>
    </w:p>
    <w:p>
      <w:pPr>
        <w:pBdr>
          <w:bottom w:val="single" w:color="D5D8DC" w:sz="1" w:space="1"/>
        </w:pBdr>
        <w:spacing w:before="120" w:after="120"/>
      </w:pPr>
    </w:p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1. End-State Vision: Target Architecture (To-Be)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An organization where every employee has a baseline of AI fluency, top practitioners are certified through rigorous tracks, and a self-sustaining community keeps knowledge flowing across business units — continuously.</w:t>
      </w:r>
    </w:p>
    <w:p>
      <w:pPr>
        <w:spacing w:before="24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28"/>
          <w:szCs w:val="28"/>
        </w:rPr>
        <w:t xml:space="preserve">Key Building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Building Block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Learning Tracks (Academy)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Four-tier certification: Makers (personal productivity) → Builders (team-level solutions) → Masters (architecture &amp; platform) → Wizards (top AI ambassadors). Role-specific tracks starting with Product and Engineering, expanding to more functions.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Content &amp; Access (Community)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Curated content library from Academy materials plus original content. "AI for All" programming — live sessions, events, and self-serve resources accessible to all Platform employees.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Faculty &amp; Governance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80% internal faculty (contextual, product-aware) + select external advisors. Foundry Board for strategic oversight. Academic Council for curriculum consistency and certification standards.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Certification Gates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Rigorous progression gates between levels — learners demonstrate real-world impact before advancing. Validated by managers, peer demos, and security checklists.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Knowledge Network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AI champions embedded across BUs, cross-functional meetups, internal community channel, project showcases. Alumni feed back into the community as mentors and content creators.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Platform (LMS)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Learning management system for content delivery, progress tracking, and certification — in planning, not yet selected.</w:t>
            </w:r>
          </w:p>
        </w:tc>
      </w:tr>
    </w:tbl>
    <w:p>
      <w:pPr>
        <w:spacing w:before="24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28"/>
          <w:szCs w:val="28"/>
        </w:rPr>
        <w:t xml:space="preserve">What Exists Today vs. What Is Missing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Exists Today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Missing / In Progress</w:t>
            </w:r>
          </w:p>
        </w:tc>
      </w:tr>
      <w:tr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Full Product track syllabus (14 sessions across Makers + Builders)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Content not yet validated with real cohorts</w:t>
            </w:r>
          </w:p>
        </w:tc>
      </w:tr>
      <w:tr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Full Engineering track syllabus (23 sessions across M1–M3 + B1)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LMS platform not yet selected or deployed</w:t>
            </w:r>
          </w:p>
        </w:tc>
      </w:tr>
      <w:tr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Session leads assigned (9/14 Product, 12/23 Engineering)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Community format and programming still being shaped</w:t>
            </w:r>
          </w:p>
        </w:tc>
      </w:tr>
      <w:tr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Three-tier certification model designed (Makers, Builders, Masters)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Wizards tier not yet designed</w:t>
            </w:r>
          </w:p>
        </w:tc>
      </w:tr>
      <w:tr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Governance model defined (Foundry Board, Academic Council)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Governance bodies not yet staffed</w:t>
            </w:r>
          </w:p>
        </w:tc>
      </w:tr>
      <w:tr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Registration and launch timeline set</w:t>
            </w:r>
          </w:p>
        </w:tc>
        <w:tc>
          <w:tcPr>
            <w:tcW w:type="pct" w:w="5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Metrics and tracking infrastructure not live</w:t>
            </w:r>
          </w:p>
        </w:tc>
      </w:tr>
    </w:tbl>
    <w:p>
      <w:pPr>
        <w:spacing w:before="24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28"/>
          <w:szCs w:val="28"/>
        </w:rPr>
        <w:t xml:space="preserve">Main Workstream Outputs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Complete Academy syllabus — both Product and Engineering tracks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Certification gate framework (3 gates with prerequisites, deliverables, and impact thresholds)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Two-pillar program structure (Academy + Community) with clear ownership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Executive briefing materials and internal communications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Session lead recruitment and assignment</w:t>
      </w:r>
    </w:p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2. Quick Wins — Status &amp; Value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What (Use Case)</w:t>
            </w:r>
          </w:p>
        </w:tc>
        <w:tc>
          <w:tcPr>
            <w:tcW w:type="pct" w:w="1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1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Full dual-track syllabus designed — 37 sessions across Product (14) and Engineering (23), structured into Makers/Builders tiers</w:t>
            </w:r>
          </w:p>
        </w:tc>
        <w:tc>
          <w:tcPr>
            <w:tcW w:type="pct" w:w="1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Done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Shared framework for all session leads; recruitment of faculty based on concrete session descriptions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Designing both tracks simultaneously forced alignment on shared ceremonies and joint sessions — worth the extra coordination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2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Session lead recruitment — 21 of 37 sessions have assigned leads from across Product and Engineering</w:t>
            </w:r>
          </w:p>
        </w:tc>
        <w:tc>
          <w:tcPr>
            <w:tcW w:type="pct" w:w="1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In progress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Distributed ownership reduces single-point-of-failure; builds faculty bench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Internal volunteers bring domain context external trainers can't; optimize for their convenience, not process overhead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3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Community pillar defined — "AI for All" track and content management model scoped alongside Academy</w:t>
            </w:r>
          </w:p>
        </w:tc>
        <w:tc>
          <w:tcPr>
            <w:tcW w:type="pct" w:w="1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In progress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Ensures the broader org isn't left behind while select cohorts go deep; signals inclusivity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Separating Academy (depth) from Community (breadth) avoids the trap of trying to do both in one format</w:t>
            </w:r>
          </w:p>
        </w:tc>
      </w:tr>
    </w:tbl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3. From Experiment → Capability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This is a new program. The first cohorts are explicitly experiments — designed to learn what works before scaling.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Quick Win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POC / Tool / Capability?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Architecture Mapping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Required to Scale</w:t>
            </w:r>
          </w:p>
        </w:tc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Expected Adoption</w:t>
            </w:r>
          </w:p>
        </w:tc>
      </w:tr>
      <w:tr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Dual-track syllabus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Scalable capability — the curriculum architecture for all future tracks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Defines learning tracks, certification gates, and progression model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Content validation from first cohorts; feedback loops built into delivery</w:t>
            </w:r>
          </w:p>
        </w:tc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First cohort: 60–80 learners across PM + Eng. Expanding to additional roles in subsequent rounds</w:t>
            </w:r>
          </w:p>
        </w:tc>
      </w:tr>
      <w:tr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Session lead network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POC — testing internal faculty model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Validates the 80% internal / 20% external faculty approach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Session lead enablement; content quality bar; ongoing faculty recruitment as tracks expand</w:t>
            </w:r>
          </w:p>
        </w:tc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21 leads today; grows with each new track and cohort</w:t>
            </w:r>
          </w:p>
        </w:tc>
      </w:tr>
      <w:tr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Community pillar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POC — format and engagement model still being defined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Validates broad-access delivery (events, content library, champions)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BU-level AI champions identified; content pipeline from Academy to Community; engagement tracking</w:t>
            </w:r>
          </w:p>
        </w:tc>
        <w:tc>
          <w:tcPr>
            <w:tcW w:type="pct" w:w="1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Target: all Platform employees have access; active engagement measured by event attendance and content consumption</w:t>
            </w:r>
          </w:p>
        </w:tc>
      </w:tr>
    </w:tbl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4. Dual Horizon Plan</w:t>
      </w:r>
    </w:p>
    <w:p>
      <w:pPr>
        <w:spacing w:before="24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28"/>
          <w:szCs w:val="28"/>
        </w:rPr>
        <w:t xml:space="preserve">Next 6–12 Weeks (Execution)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Key Dependencies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1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Program announcement and registration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Yonatan + Omer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Public announcement, registration form, cohort selection criteria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Final syllabus confirmation; exec sponsorship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2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First Academy cohort launches (post-Passover)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Yonatan (Product) + Tal (Engineering)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First sessions delivered to 60–80 learners across both tracks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Session lead content readiness; LMS or delivery platform decision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3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Community pillar kickoff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Itai Haetzni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First "AI for All" events and content published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Community format finalized; initial content curated from Academy materials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4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LMS platform decision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Yonatan + Omer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Platform selected and initial configuration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Vendor evaluation; budget approval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5</w:t>
            </w:r>
          </w:p>
        </w:tc>
        <w:tc>
          <w:tcPr>
            <w:tcW w:type="pct" w:w="22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First certification gate executed</w:t>
            </w:r>
          </w:p>
        </w:tc>
        <w:tc>
          <w:tcPr>
            <w:tcW w:type="pct" w:w="2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Yonatan + Tal</w:t>
            </w:r>
          </w:p>
        </w:tc>
        <w:tc>
          <w:tcPr>
            <w:tcW w:type="pct" w:w="28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Makers L2→L3 gate criteria validated with first cohort</w:t>
            </w:r>
          </w:p>
        </w:tc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Cohort progress through initial sessions; manager validation process defined</w:t>
            </w:r>
          </w:p>
        </w:tc>
      </w:tr>
    </w:tbl>
    <w:p>
      <w:pPr>
        <w:spacing w:before="24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28"/>
          <w:szCs w:val="28"/>
        </w:rPr>
        <w:t xml:space="preserve">6–18 Months (Foundry at Scale)</w:t>
      </w:r>
    </w:p>
    <w:p>
      <w:pPr>
        <w:spacing w:before="200" w:after="12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4"/>
          <w:szCs w:val="24"/>
        </w:rPr>
        <w:t xml:space="preserve">What fundamental change will occur: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AI fluency becomes an organizational baseline, not a niche skill. Every employee has access to structured AI education, and top practitioners are certified through a rigorous, internally-recognized progression.</w:t>
      </w:r>
    </w:p>
    <w:p>
      <w:pPr>
        <w:spacing w:before="200" w:after="12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4"/>
          <w:szCs w:val="24"/>
        </w:rPr>
        <w:t xml:space="preserve">What will look materially different: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2"/>
          <w:szCs w:val="22"/>
        </w:rPr>
        <w:t xml:space="preserve">People: </w:t>
      </w: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A network of certified AI practitioners (Makers, Builders, Masters) embedded across every BU. Wizards — top AI ambassadors — leading cross-org knowledge transfer. Internal faculty teaching from real Payoneer context.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2"/>
          <w:szCs w:val="22"/>
        </w:rPr>
        <w:t xml:space="preserve">Process: </w:t>
      </w: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Continuous intake — new cohorts running regularly, not as one-off events. Academy content feeds Community automatically. Certification gates ensure quality. Alumni mentor new cohorts.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2"/>
          <w:szCs w:val="22"/>
        </w:rPr>
        <w:t xml:space="preserve">Product: </w:t>
      </w: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AI-augmented workflows becoming the default for trained teams. Measurable productivity gains from Makers certification. Team-level AI solutions emerging from Builders cohorts.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2"/>
          <w:szCs w:val="22"/>
        </w:rPr>
        <w:t xml:space="preserve">Future option — Foundry Commando Team: </w:t>
      </w: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A dedicated strike unit for high-ROI use cases, operating in 2–6 week sprints paired with squads to accelerate adoption and inject best practices back into the Foundry. To be explored once Academy graduates produce a critical mass of AI-capable practitioners.</w:t>
      </w:r>
    </w:p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5. Metrics — From Learning to Impact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What is measured today?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Session lead assignment coverage (21/37). Syllabus completeness (both tracks designed). Registration pipeline (not yet open).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What should be measured next?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Cohort completion rates. Certification gate pass/fail rates. Self-reported productivity gains from Makers graduates. Content consumption and event attendance (Community). NPS from first cohort.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When will we be able to measure?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Cohort metrics: 6–8 weeks after launch (May–June 2026). Community engagement: immediately after first events. Productivity impact: 3–6 months post-certification (requires baseline).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Gaps in measurement?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No baseline for pre-training AI proficiency — need to establish before first cohort. LMS tracking depends on platform selection. Community engagement metrics need definition. Long-term ROI measurement (productivity uplift, cycle time) is an industry-wide challenge.</w:t>
            </w:r>
          </w:p>
        </w:tc>
      </w:tr>
    </w:tbl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6. Risks &amp; Trade-offs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4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Content quality not meeting expectations — sessions designed but not yet validated with real learners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Execution</w:t>
            </w:r>
          </w:p>
        </w:tc>
        <w:tc>
          <w:tcPr>
            <w:tcW w:type="pct" w:w="4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First cohort is explicitly a pilot. Built-in feedback loops after every session. Iterating content based on learner experience, not theory.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LMS platform delays impacting launch timeline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Technical</w:t>
            </w:r>
          </w:p>
        </w:tc>
        <w:tc>
          <w:tcPr>
            <w:tcW w:type="pct" w:w="4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Can launch initial sessions without LMS (simple docs + live sessions). LMS is an enabler, not a blocker for first cohort.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Faculty bandwidth constraints — session leads are volunteers with day jobs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Organizational</w:t>
            </w:r>
          </w:p>
        </w:tc>
        <w:tc>
          <w:tcPr>
            <w:tcW w:type="pct" w:w="4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Optimize for their convenience (simple content formats, no heavy tooling). Omer coordinating directly with leads. Position as career development opportunity.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4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Community engagement risk — "AI for All" may struggle for attention without clear value proposition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Organizational</w:t>
            </w:r>
          </w:p>
        </w:tc>
        <w:tc>
          <w:tcPr>
            <w:tcW w:type="pct" w:w="4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Anchor to concrete events and visible quick wins. Use Academy content as the draw. Identify BU-level champions to drive local adoption.</w:t>
            </w:r>
          </w:p>
        </w:tc>
      </w:tr>
    </w:tbl>
    <w:p>
      <w:pPr>
        <w:spacing w:before="24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28"/>
          <w:szCs w:val="28"/>
        </w:rPr>
        <w:t xml:space="preserve">Real Trade-offs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2"/>
          <w:szCs w:val="22"/>
        </w:rPr>
        <w:t xml:space="preserve">Depth vs. breadth: </w:t>
      </w: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The Academy goes deep with a few; the Community goes wide with everyone. We're running both simultaneously rather than sequentially — this is harder to manage but ensures the org doesn't split into AI haves and have-nots.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2"/>
          <w:szCs w:val="22"/>
        </w:rPr>
        <w:t xml:space="preserve">Internal faculty vs. external experts: </w:t>
      </w: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80% internal means contextual and relevant, but puts load on volunteers. We're choosing relevance over polish and supporting leads with content development assistance.</w:t>
      </w:r>
    </w:p>
    <w:p>
      <w:pPr>
        <w:spacing w:after="16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2"/>
          <w:szCs w:val="22"/>
        </w:rPr>
        <w:t xml:space="preserve">Launch speed vs. content perfection: </w:t>
      </w: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We're launching with "good enough" content and iterating, rather than waiting for perfect materials. The first cohort knows they're pioneers, not passengers.</w:t>
      </w:r>
    </w:p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7. Decisions Needed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Who Decides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1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Executive sponsorship confirmation — formal organizational commitment to the Foundry and cross-BU participation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Without this, cohort recruitment depends on goodwill. With it, the program has institutional weight.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Oren Ryngler (CPO) / Mor Barazani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2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LMS platform selection — which system will host content, track progress, and manage certifications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Affects scalability, learner experience, and measurement capability. Delay here is manageable short-term but blocks scale.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Yonatan + Omer + IT</w:t>
            </w:r>
          </w:p>
        </w:tc>
      </w:tr>
      <w:tr>
        <w:tc>
          <w:tcPr>
            <w:tcW w:type="pct" w:w="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3</w:t>
            </w:r>
          </w:p>
        </w:tc>
        <w:tc>
          <w:tcPr>
            <w:tcW w:type="pct" w:w="3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BU ownership model for Community — how AI champions are nominated and accountable per business unit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Without named DRIs per BU, community engagement stays grassroots and uneven.</w:t>
            </w:r>
          </w:p>
        </w:tc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Yonatan + Itai + BU leads</w:t>
            </w:r>
          </w:p>
        </w:tc>
      </w:tr>
    </w:tbl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8. Overall Self-Assessment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pct" w:w="6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Proof of Value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57F17"/>
                <w:sz w:val="20"/>
                <w:szCs w:val="20"/>
              </w:rPr>
              <w:t xml:space="preserve">Yellow</w:t>
            </w:r>
          </w:p>
        </w:tc>
        <w:tc>
          <w:tcPr>
            <w:tcW w:type="pct" w:w="6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Program architecture is complete and well-designed. But value is proven when real cohorts graduate and apply what they've learned — we're pre-launch.</w:t>
            </w:r>
          </w:p>
        </w:tc>
      </w:tr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Scalability Potential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2E7D32"/>
                <w:sz w:val="20"/>
                <w:szCs w:val="20"/>
              </w:rPr>
              <w:t xml:space="preserve">Green</w:t>
            </w:r>
          </w:p>
        </w:tc>
        <w:tc>
          <w:tcPr>
            <w:tcW w:type="pct" w:w="6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Multi-track model designed to expand to new roles. Community pillar extends reach to entire org. Faculty model (80% internal) scales with org growth.</w:t>
            </w:r>
          </w:p>
        </w:tc>
      </w:tr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Architectural Clarity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2E7D32"/>
                <w:sz w:val="20"/>
                <w:szCs w:val="20"/>
              </w:rPr>
              <w:t xml:space="preserve">Green</w:t>
            </w:r>
          </w:p>
        </w:tc>
        <w:tc>
          <w:tcPr>
            <w:tcW w:type="pct" w:w="6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Academy: clear tracks, tiers, gates, governance. Community: pillars defined, ownership assigned. Gap: Community format details still being shaped.</w:t>
            </w:r>
          </w:p>
        </w:tc>
      </w:tr>
      <w:tr>
        <w:tc>
          <w:tcPr>
            <w:tcW w:type="pct" w:w="2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Measurement Maturity</w:t>
            </w:r>
          </w:p>
        </w:tc>
        <w:tc>
          <w:tcPr>
            <w:tcW w:type="pct" w:w="15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57F17"/>
                <w:sz w:val="20"/>
                <w:szCs w:val="20"/>
              </w:rPr>
              <w:t xml:space="preserve">Yellow</w:t>
            </w:r>
          </w:p>
        </w:tc>
        <w:tc>
          <w:tcPr>
            <w:tcW w:type="pct" w:w="6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Key metrics identified (completion rates, certification gates, productivity uplift). No tracking infrastructure live yet — depends on LMS selection and first cohort launch.</w:t>
            </w:r>
          </w:p>
        </w:tc>
      </w:tr>
    </w:tbl>
    <w:p>
      <w:pPr>
        <w:spacing w:before="36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36"/>
          <w:szCs w:val="36"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  <w:trHeight w:val="400" w:hRule="atLeast"/>
        </w:trP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002373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Top Quick Win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Full dual-track syllabus (37 sessions) with 21 session leads assigned — the curriculum backbone is built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Proven Value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Program design validated through industry research and internal stakeholder alignment. Real validation comes from first cohort outcomes.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Scalable Capability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Academy tracks expand to new roles; Community scales to all employees. Certification model and faculty network are the scaling mechanisms.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Architecture Readiness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End-state designed: 4-tier certification, dual-pillar structure, governance bodies, faculty model. Gap is LMS platform and Community format details.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Next 6–12 Week Focus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Launch first Academy cohort (April 26), kick off Community pillar, select LMS, execute first certification gate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Biggest Risk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Content not yet validated with real learners. First cohort is the critical proof point.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Key Decision Needed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Executive sponsorship confirmation to unlock cross-BU participation and institutional commitment</w:t>
            </w:r>
          </w:p>
        </w:tc>
      </w:tr>
      <w:tr>
        <w:tc>
          <w:tcPr>
            <w:tcW w:type="pct" w:w="3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color w:val="1E1E28"/>
                <w:sz w:val="20"/>
                <w:szCs w:val="20"/>
              </w:rPr>
              <w:t xml:space="preserve">Overall Status (R/Y/G)</w:t>
            </w:r>
          </w:p>
        </w:tc>
        <w:tc>
          <w:tcPr>
            <w:tcW w:type="pct" w:w="70%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8F9FA" w:val="clear"/>
          </w:tcPr>
          <w:p>
            <w:r>
              <w:rPr>
                <w:rFonts w:ascii="Avenir Next LT Pro" w:cs="Avenir Next LT Pro" w:eastAsia="Avenir Next LT Pro" w:hAnsi="Avenir Next LT Pro"/>
                <w:b/>
                <w:bCs/>
                <w:color w:val="F57F17"/>
                <w:sz w:val="20"/>
                <w:szCs w:val="20"/>
              </w:rPr>
              <w:t xml:space="preserve">Yellow</w:t>
            </w:r>
          </w:p>
        </w:tc>
      </w:tr>
    </w:tbl>
    <w:p>
      <w:pPr>
        <w:spacing w:after="16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Overall: strong program design and clear architecture, but pre-launch. Moving to green requires first cohort delivered and initial learner outcomes validated.</w:t>
      </w:r>
    </w:p>
    <w:p>
      <w:pPr>
        <w:pBdr>
          <w:bottom w:val="single" w:color="D5D8DC" w:sz="1" w:space="1"/>
        </w:pBdr>
        <w:spacing w:before="120" w:after="120"/>
      </w:pPr>
    </w:p>
    <w:p>
      <w:pPr>
        <w:spacing w:before="240" w:after="120"/>
      </w:pPr>
      <w:r>
        <w:rPr>
          <w:rFonts w:ascii="Avenir Next LT Pro" w:cs="Avenir Next LT Pro" w:eastAsia="Avenir Next LT Pro" w:hAnsi="Avenir Next LT Pro"/>
          <w:b/>
          <w:bCs/>
          <w:color w:val="002373"/>
          <w:sz w:val="28"/>
          <w:szCs w:val="28"/>
        </w:rPr>
        <w:t xml:space="preserve">Track Leaders &amp; Staff</w:t>
      </w:r>
    </w:p>
    <w:p>
      <w:pPr>
        <w:spacing w:before="200" w:after="12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4"/>
          <w:szCs w:val="24"/>
        </w:rPr>
        <w:t xml:space="preserve">Leadership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Tal Arnon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Yonatan Orpeli</w:t>
      </w:r>
    </w:p>
    <w:p>
      <w:pPr>
        <w:spacing w:before="200" w:after="120"/>
      </w:pPr>
      <w:r>
        <w:rPr>
          <w:rFonts w:ascii="Avenir Next LT Pro" w:cs="Avenir Next LT Pro" w:eastAsia="Avenir Next LT Pro" w:hAnsi="Avenir Next LT Pro"/>
          <w:b/>
          <w:bCs/>
          <w:color w:val="1E1E28"/>
          <w:sz w:val="24"/>
          <w:szCs w:val="24"/>
        </w:rPr>
        <w:t xml:space="preserve">Staff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Topaz Eitan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Shilhav Ben-David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Hisham Abdulhalim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Odaya Caspi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Eli Zilbershmidt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Yonatan Ramot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Gal Benedek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Lior Rosenberg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Matan Hager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Almog Azlan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Daniel Ostrovsky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venir Next LT Pro" w:cs="Avenir Next LT Pro" w:eastAsia="Avenir Next LT Pro" w:hAnsi="Avenir Next LT Pro"/>
          <w:color w:val="1E1E28"/>
          <w:sz w:val="22"/>
          <w:szCs w:val="22"/>
        </w:rPr>
        <w:t xml:space="preserve">Noa Buchman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tabs>
        <w:tab w:val="right" w:pos="9026"/>
      </w:tabs>
    </w:pPr>
    <w:r>
      <w:rPr>
        <w:rFonts w:ascii="Avenir Next LT Pro" w:cs="Avenir Next LT Pro" w:eastAsia="Avenir Next LT Pro" w:hAnsi="Avenir Next LT Pro"/>
        <w:color w:val="5D6D7E"/>
        <w:sz w:val="16"/>
        <w:szCs w:val="16"/>
      </w:rPr>
      <w:t xml:space="preserve">Payoneer CLM</w:t>
    </w:r>
    <w:r>
      <w:t xml:space="preserve">	</w:t>
    </w:r>
    <w:r>
      <w:rPr>
        <w:rFonts w:ascii="Avenir Next LT Pro" w:cs="Avenir Next LT Pro" w:eastAsia="Avenir Next LT Pro" w:hAnsi="Avenir Next LT Pro"/>
        <w:color w:val="5D6D7E"/>
        <w:sz w:val="16"/>
        <w:szCs w:val="16"/>
      </w:rPr>
      <w:t xml:space="preserve">Page </w:t>
    </w:r>
    <w:r>
      <w:rPr>
        <w:rFonts w:ascii="Avenir Next LT Pro" w:cs="Avenir Next LT Pro" w:eastAsia="Avenir Next LT Pro" w:hAnsi="Avenir Next LT Pro"/>
        <w:color w:val="5D6D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1" w:space="4"/>
      </w:pBdr>
      <w:spacing w:after="200"/>
    </w:pPr>
    <w:r>
      <w:rPr>
        <w:rFonts w:ascii="Avenir Next LT Pro" w:cs="Avenir Next LT Pro" w:eastAsia="Avenir Next LT Pro" w:hAnsi="Avenir Next LT Pro"/>
        <w:color w:val="5D6D7E"/>
        <w:sz w:val="16"/>
        <w:szCs w:val="16"/>
      </w:rPr>
      <w:t xml:space="preserve">The Foundry — Workstream Snapshot —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 LT Pro" w:cs="Avenir Next LT Pro" w:eastAsia="Avenir Next LT Pro" w:hAnsi="Avenir Next LT Pro"/>
        <w:color w:val="1E1E28"/>
        <w:sz w:val="22"/>
        <w:szCs w:val="22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2026-03-26T06:39:03.157Z</dcterms:created>
  <dcterms:modified xsi:type="dcterms:W3CDTF">2026-03-26T06:39:03.158Z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