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666666"/>
          <w:sz w:val="22"/>
          <w:szCs w:val="22"/>
        </w:rPr>
        <w:t xml:space="preserve">BU AI Transformation</w:t>
      </w:r>
    </w:p>
    <w:p>
      <w:pPr>
        <w:spacing w:after="120"/>
      </w:pPr>
      <w:r>
        <w:rPr>
          <w:b/>
          <w:bCs/>
          <w:sz w:val="40"/>
          <w:szCs w:val="40"/>
        </w:rPr>
        <w:t xml:space="preserve">Building With BUs, Not Through Them</w:t>
      </w:r>
    </w:p>
    <w:p>
      <w:pPr>
        <w:spacing w:after="320"/>
      </w:pPr>
      <w:r>
        <w:rPr>
          <w:color w:val="444444"/>
          <w:sz w:val="26"/>
          <w:szCs w:val="26"/>
        </w:rPr>
        <w:t xml:space="preserve">A Squad-Based Operating Model for Payoneer’s BU AI Transformation</w:t>
      </w:r>
    </w:p>
    <w:p>
      <w:pPr>
        <w:spacing w:after="400"/>
      </w:pPr>
      <w:r>
        <w:rPr>
          <w:color w:val="888888"/>
          <w:sz w:val="20"/>
          <w:szCs w:val="20"/>
        </w:rPr>
        <w:t xml:space="preserve">Yonatan Orpeli  ·  May 2026  ·  Draft for Oren Ryngler &amp; Mor Barazani</w:t>
      </w:r>
    </w:p>
    <w:p>
      <w:pPr>
        <w:pStyle w:val="Heading1"/>
        <w:spacing w:after="160" w:before="320"/>
      </w:pPr>
      <w:r>
        <w:rPr>
          <w:b/>
          <w:bCs/>
        </w:rPr>
        <w:t xml:space="preserve">Summary</w:t>
      </w:r>
    </w:p>
    <w:p>
      <w:pPr>
        <w:spacing w:after="120" w:line="300"/>
      </w:pPr>
      <w:r>
        <w:t xml:space="preserve">John’s and Oren’s mandate is right: every function must own its AI outcomes, and Platform must provide the shared foundations that let teams move fast without fragmentation. The mechanism implied by the Phase 0 memo — BUs identify workflows, BUs staff their own builders, Platform supports through guidance — will not deliver against that mandate inside the timelines John and Oren named. Most BUs do not have AI-native build capability, will not have it inside a single hiring cycle, and cannot produce “reusable capabilities, shared foundations, and governance” simply by being asked to.</w:t>
      </w:r>
    </w:p>
    <w:p>
      <w:pPr>
        <w:spacing w:after="120" w:line="300"/>
      </w:pPr>
      <w:r>
        <w:t xml:space="preserve">This proposal recommends a different delivery mechanism, with the same principles intact. We stand up Build Squads — 1 PM-Builder + 1–2 AI Engineers each — inside the BU AI Transformation pillar. BUs do not staff them; BUs fund them for the duration of a BU engagement. Squads stay in our org through the engagement and after it, so the learning compounds across BUs and the shared platform layer that Oren named (PayoData, PayoBrain, Control Plane, MCP/Tools, Marketplaces) is harvested from real builds rather than designed speculatively top-down.</w:t>
      </w:r>
    </w:p>
    <w:p>
      <w:pPr>
        <w:spacing w:after="120" w:line="300"/>
      </w:pPr>
      <w:r>
        <w:t xml:space="preserve">BU ownership of the outcome is preserved. The execution gap that the Phase 0 memo currently assumes away is closed. The platform Oren described gets authored as a byproduct of work BUs are willing to fund.</w:t>
      </w:r>
    </w:p>
    <w:p>
      <w:pPr>
        <w:pStyle w:val="Heading1"/>
        <w:spacing w:after="160" w:before="320"/>
      </w:pPr>
      <w:r>
        <w:rPr>
          <w:b/>
          <w:bCs/>
        </w:rPr>
        <w:t xml:space="preserve">1.  What John and Oren actually asked for</w:t>
      </w:r>
    </w:p>
    <w:p>
      <w:pPr>
        <w:spacing w:after="120" w:line="300"/>
      </w:pPr>
      <w:r>
        <w:t xml:space="preserve">John’s email, on the role of each function:</w:t>
      </w:r>
    </w:p>
    <w:p>
      <w:pPr>
        <w:pBdr>
          <w:left w:val="single" w:color="888888" w:sz="12" w:space="12"/>
        </w:pBdr>
        <w:spacing w:after="120" w:before="120" w:line="300"/>
        <w:ind w:left="540" w:right="360"/>
      </w:pPr>
      <w:r>
        <w:rPr>
          <w:i/>
          <w:iCs/>
        </w:rPr>
        <w:t xml:space="preserve">Every function will own its AI outcomes. Each functional leader will be responsible for identifying opportunities, rethinking workflows, prioritizing the right bets, funding and resourcing execution, driving adoption, and delivering measurable impact.</w:t>
      </w:r>
    </w:p>
    <w:p>
      <w:pPr>
        <w:spacing w:after="120" w:line="300"/>
      </w:pPr>
      <w:r>
        <w:t xml:space="preserve">Read this precisely. The function owns the outcome. The function funds and resources execution. The function does not necessarily staff the builders on its own books. “Resourcing execution” is satisfied by paying for build capacity that a function consumes — the same way functions today consume Legal, Finance, or Platform Engineering without hiring their own.</w:t>
      </w:r>
    </w:p>
    <w:p>
      <w:pPr>
        <w:spacing w:after="120" w:line="300"/>
      </w:pPr>
      <w:r>
        <w:t xml:space="preserve">Oren’s response, on the role of Platform:</w:t>
      </w:r>
    </w:p>
    <w:p>
      <w:pPr>
        <w:pBdr>
          <w:left w:val="single" w:color="888888" w:sz="12" w:space="12"/>
        </w:pBdr>
        <w:spacing w:after="120" w:before="120" w:line="300"/>
        <w:ind w:left="540" w:right="360"/>
      </w:pPr>
      <w:r>
        <w:rPr>
          <w:i/>
          <w:iCs/>
        </w:rPr>
        <w:t xml:space="preserve">Platform’s role is to enable and accelerate this transformation responsibly. We will help provide the shared foundations: architecture, approved tooling, data and knowledge foundations, reusable capabilities, security, governance, and the right guardrails so teams can move fast without creating fragmentation or risk.</w:t>
      </w:r>
    </w:p>
    <w:p>
      <w:pPr>
        <w:spacing w:after="120" w:line="300"/>
      </w:pPr>
      <w:r>
        <w:t xml:space="preserve">Oren named the deliverables: reusable capabilities, shared foundations, guardrails that prevent fragmentation. Those deliverables do not appear from speculative top-down design. They are authored bottom-up, from real builds with real users. Without a mechanism that produces those builds, the shared layer Oren described becomes a roadmap looking for customers.</w:t>
      </w:r>
    </w:p>
    <w:p>
      <w:pPr>
        <w:spacing w:after="120" w:line="300"/>
      </w:pPr>
      <w:r>
        <w:t xml:space="preserve">Everything in this proposal is consistent with both statements. What we are changing is one specific phrase in the Phase 0 memo — the framing that Platform supports BUs primarily through “enablement, tooling, infrastructure, and guidance.” Guidance does not close the gap. Build capacity does.</w:t>
      </w:r>
    </w:p>
    <w:p>
      <w:pPr>
        <w:pStyle w:val="Heading1"/>
        <w:spacing w:after="160" w:before="320"/>
      </w:pPr>
      <w:r>
        <w:rPr>
          <w:b/>
          <w:bCs/>
        </w:rPr>
        <w:t xml:space="preserve">2.  The gap in the Phase 0 approach</w:t>
      </w:r>
    </w:p>
    <w:p>
      <w:pPr>
        <w:spacing w:after="120" w:line="300"/>
      </w:pPr>
      <w:r>
        <w:t xml:space="preserve">The Phase 0 memo asks every BU to identify 1–3 workflow bets by May 29, nominate workflow owners, present at the June 8 CF offsite, and reach measurable business impact by end of July or early August. That cadence assumes the BU already has, or can quickly acquire, three capabilities:</w:t>
      </w:r>
    </w:p>
    <w:p>
      <w:pPr>
        <w:pStyle w:val="ListParagraph"/>
        <w:numPr>
          <w:ilvl w:val="0"/>
          <w:numId w:val="2"/>
        </w:numPr>
        <w:spacing w:after="80" w:line="300"/>
      </w:pPr>
      <w:r>
        <w:t xml:space="preserve">An AI-native product capability — a PM who can design a workflow assuming AI is core infrastructure, not a feature.</w:t>
      </w:r>
    </w:p>
    <w:p>
      <w:pPr>
        <w:pStyle w:val="ListParagraph"/>
        <w:numPr>
          <w:ilvl w:val="0"/>
          <w:numId w:val="2"/>
        </w:numPr>
        <w:spacing w:after="80" w:line="300"/>
      </w:pPr>
      <w:r>
        <w:t xml:space="preserve">An AI-native engineering capability — engineers who can ship to production with agentic patterns, evaluators, and the governance hooks a regulated fintech requires.</w:t>
      </w:r>
    </w:p>
    <w:p>
      <w:pPr>
        <w:pStyle w:val="ListParagraph"/>
        <w:numPr>
          <w:ilvl w:val="0"/>
          <w:numId w:val="2"/>
        </w:numPr>
        <w:spacing w:after="80" w:line="300"/>
      </w:pPr>
      <w:r>
        <w:t xml:space="preserve">The supporting machinery — tooling, eval harnesses, audit hooks, RAG plumbing, MCP integrations, security scaffolding.</w:t>
      </w:r>
    </w:p>
    <w:p>
      <w:pPr>
        <w:spacing w:after="120" w:line="300"/>
      </w:pPr>
      <w:r>
        <w:t xml:space="preserve">Most BUs have none of this today. The minimum honest timeline for a BU to hire one AI-fluent PM, one AI engineer, set up tooling, and reach a first production workflow is six to nine months. Multiplied across the BUs we expect to engage, this is the bottleneck that breaks the July/August impact timeline. The Phase 0 cadence is only achievable if the build capability is pre-staged — if someone has already done the discovery on what an AI-native build looks like in this domain, and has the people and the standards ready on day one.</w:t>
      </w:r>
    </w:p>
    <w:p>
      <w:pPr>
        <w:spacing w:after="120" w:line="300"/>
      </w:pPr>
      <w:r>
        <w:t xml:space="preserve">Independent BU builds also create the fragmentation Oren explicitly named as a risk. Six BUs hiring independently will produce six architectures, six security postures, six audit surfaces, six sets of decisions about how to handle PII, how to handle prompts, how to handle agent identity. As a regulated global fintech, the cost of that divergence is not theoretical — it is the audit, the incident, and the remediation work that follows.</w:t>
      </w:r>
    </w:p>
    <w:p>
      <w:pPr>
        <w:spacing w:after="120" w:line="300"/>
      </w:pPr>
      <w:r>
        <w:t xml:space="preserve">The squad model proposed below is the pre-staged build capability. It is what makes the Phase 0 ambition operationally real.</w:t>
      </w:r>
    </w:p>
    <w:p>
      <w:pPr>
        <w:pStyle w:val="Heading1"/>
        <w:spacing w:after="160" w:before="320"/>
      </w:pPr>
      <w:r>
        <w:rPr>
          <w:b/>
          <w:bCs/>
        </w:rPr>
        <w:t xml:space="preserve">3.  The proposal: Build Squads</w:t>
      </w:r>
    </w:p>
    <w:p>
      <w:pPr>
        <w:pStyle w:val="Heading2"/>
        <w:spacing w:after="120" w:before="240"/>
      </w:pPr>
      <w:r>
        <w:rPr>
          <w:b/>
          <w:bCs/>
        </w:rPr>
        <w:t xml:space="preserve">3.1  Shape</w:t>
      </w:r>
    </w:p>
    <w:p>
      <w:pPr>
        <w:spacing w:after="120" w:line="300"/>
      </w:pPr>
      <w:r>
        <w:t xml:space="preserve">A Build Squad is 1 PM-Builder + 1–2 AI Engineers. This mirrors the AI-native pod shape we are already operating in AIR² — the same shape, applied to BU-owned workflows. The squad is the smallest unit that can deliver an AI-native workflow end-to-end, from problem framing through production deployment and graduation. It is what the Leap deck calls the value unit: size and shape are outputs of the work, not inputs.</w:t>
      </w:r>
    </w:p>
    <w:p>
      <w:pPr>
        <w:pStyle w:val="Heading2"/>
        <w:spacing w:after="120" w:before="240"/>
      </w:pPr>
      <w:r>
        <w:rPr>
          <w:b/>
          <w:bCs/>
        </w:rPr>
        <w:t xml:space="preserve">3.2  Where the squad sits</w:t>
      </w:r>
    </w:p>
    <w:p>
      <w:pPr>
        <w:spacing w:after="120" w:line="300"/>
      </w:pPr>
      <w:r>
        <w:t xml:space="preserve">Squads sit inside the BU AI Transformation pillar. They do not transfer into BUs. Engineers and PM-Builders report — technically, operationally, professionally — to the pillar lead. This is non-negotiable for three reasons, and each is a Payoneer-specific reason, not an abstract principle:</w:t>
      </w:r>
    </w:p>
    <w:p>
      <w:pPr>
        <w:pStyle w:val="ListParagraph"/>
        <w:numPr>
          <w:ilvl w:val="0"/>
          <w:numId w:val="3"/>
        </w:numPr>
        <w:spacing w:after="80" w:line="300"/>
      </w:pPr>
      <w:r>
        <w:t xml:space="preserve">Learning compounds at the pillar level, not the BU level. A squad embedded in a BU absorbs that BU’s context and stops contributing to the patterns the next BU will need. Squads that rotate carry forward what they’ve learned. That is the only mechanism by which Payoneer’s overall AI capability evolves.</w:t>
      </w:r>
    </w:p>
    <w:p>
      <w:pPr>
        <w:pStyle w:val="ListParagraph"/>
        <w:numPr>
          <w:ilvl w:val="0"/>
          <w:numId w:val="3"/>
        </w:numPr>
        <w:spacing w:after="80" w:line="300"/>
      </w:pPr>
      <w:r>
        <w:t xml:space="preserve">Standards and reuse only hold under unified technical direction. The moment engineers are managed into a BU, they make architecture decisions to make their immediate stakeholder happy. Fragmentation follows. Rich’s playbook calls this drift and capture; both apply here.</w:t>
      </w:r>
    </w:p>
    <w:p>
      <w:pPr>
        <w:pStyle w:val="ListParagraph"/>
        <w:numPr>
          <w:ilvl w:val="0"/>
          <w:numId w:val="3"/>
        </w:numPr>
        <w:spacing w:after="80" w:line="300"/>
      </w:pPr>
      <w:r>
        <w:t xml:space="preserve">Talent retention. The PM-Builders and AI engineers we are recruiting want to work on Payoneer’s AI capability, not on one BU’s workflow indefinitely. A career that crosses BUs and contributes to the platform is the only credible offer for the people we need to hire.</w:t>
      </w:r>
    </w:p>
    <w:p>
      <w:pPr>
        <w:spacing w:after="120" w:line="300"/>
      </w:pPr>
      <w:r>
        <w:t xml:space="preserve">This mirrors Rich’s playbook directly, with the same reasoning he gives: “Engineers are NOT managed into the functional org. Technical accountability stays with technical leadership. This prevents both capture … and drift.”</w:t>
      </w:r>
    </w:p>
    <w:p>
      <w:pPr>
        <w:pStyle w:val="Heading2"/>
        <w:spacing w:after="120" w:before="240"/>
      </w:pPr>
      <w:r>
        <w:rPr>
          <w:b/>
          <w:bCs/>
        </w:rPr>
        <w:t xml:space="preserve">3.3  How the BU pays</w:t>
      </w:r>
    </w:p>
    <w:p>
      <w:pPr>
        <w:spacing w:after="120" w:line="300"/>
      </w:pPr>
      <w:r>
        <w:t xml:space="preserve">Each BU engagement is funded by the engaging BU for the duration of the engagement. The dollars move; the people don’t. When a squad finishes a BU engagement, it rotates to the next funded engagement — not back to a permanent home in any BU.</w:t>
      </w:r>
    </w:p>
    <w:p>
      <w:pPr>
        <w:spacing w:after="120" w:line="300"/>
      </w:pPr>
      <w:r>
        <w:t xml:space="preserve">Funding is split into two stripes, deliberately:</w:t>
      </w:r>
    </w:p>
    <w:p>
      <w:pPr>
        <w:pStyle w:val="ListParagraph"/>
        <w:numPr>
          <w:ilvl w:val="0"/>
          <w:numId w:val="2"/>
        </w:numPr>
        <w:spacing w:after="80" w:line="300"/>
      </w:pPr>
      <w:r>
        <w:t xml:space="preserve">Base funding (in the pillar): roughly 20–30% of squad time, formally allocated to platform contribution, component harvest, knowledge transfer, and the learning cycles that make squad N+1 better than squad N. This stripe protects what cross-BU consulting always loses — the loop that turns one-off work into a compounding asset.</w:t>
      </w:r>
    </w:p>
    <w:p>
      <w:pPr>
        <w:pStyle w:val="ListParagraph"/>
        <w:numPr>
          <w:ilvl w:val="0"/>
          <w:numId w:val="2"/>
        </w:numPr>
        <w:spacing w:after="80" w:line="300"/>
      </w:pPr>
      <w:r>
        <w:t xml:space="preserve">Engagement funding (from BUs): the remaining 70–80%, paid by the engaging BU. The mechanism — internal chargeback, slot allocation, budget transfer — to be defined with Finance. The principle: BU work is paid for by the BU consuming it.</w:t>
      </w:r>
    </w:p>
    <w:p>
      <w:pPr>
        <w:spacing w:after="120" w:line="300"/>
      </w:pPr>
      <w:r>
        <w:t xml:space="preserve">Why split: if squads are 100% BU-funded, platform contribution becomes the first thing cut under deadline pressure and the long-term mechanism Oren described never materializes. If squads are 100% pillar-funded, BUs treat them as a free service, queue work without owning outcomes, and the consume-side accountability John specified breaks. The split is the mechanism that holds both intact.</w:t>
      </w:r>
    </w:p>
    <w:p>
      <w:pPr>
        <w:pStyle w:val="Heading2"/>
        <w:spacing w:after="120" w:before="240"/>
      </w:pPr>
      <w:r>
        <w:rPr>
          <w:b/>
          <w:bCs/>
        </w:rPr>
        <w:t xml:space="preserve">3.4  Ownership stripes</w:t>
      </w:r>
    </w:p>
    <w:p>
      <w:pPr>
        <w:spacing w:after="120" w:line="300"/>
      </w:pPr>
      <w:r>
        <w:t xml:space="preserve">Two clean lines of ownership, agreed at the start of every engagement:</w:t>
      </w:r>
    </w:p>
    <w:p>
      <w:pPr>
        <w:pStyle w:val="ListParagraph"/>
        <w:numPr>
          <w:ilvl w:val="0"/>
          <w:numId w:val="2"/>
        </w:numPr>
        <w:spacing w:after="80" w:line="300"/>
      </w:pPr>
      <w:r>
        <w:t xml:space="preserve">BU owns: what to build, why it matters, the workflow itself, the success metrics, baseline measurement, adoption planning, change management, and the business outcome at the end. The BU workflow owner is a real person with a name, not a delegated layer. The Phase 0 memo got this exactly right.</w:t>
      </w:r>
    </w:p>
    <w:p>
      <w:pPr>
        <w:pStyle w:val="ListParagraph"/>
        <w:numPr>
          <w:ilvl w:val="0"/>
          <w:numId w:val="2"/>
        </w:numPr>
        <w:spacing w:after="80" w:line="300"/>
      </w:pPr>
      <w:r>
        <w:t xml:space="preserve">Squad owns: AI-native design, build, evaluators, deployment, governance hooks, security scaffolding, standards conformance, demo cadence, and the harvest of reusable components at the end.</w:t>
      </w:r>
    </w:p>
    <w:p>
      <w:pPr>
        <w:spacing w:after="120" w:line="300"/>
      </w:pPr>
      <w:r>
        <w:t xml:space="preserve">This is dual accountability, in Rich’s exact sense. BU and squad lead jointly, but along different stripes. Neither delegates their stripe. Neither does the other’s job.</w:t>
      </w:r>
    </w:p>
    <w:p>
      <w:pPr>
        <w:pStyle w:val="Heading1"/>
        <w:spacing w:after="160" w:before="320"/>
      </w:pPr>
      <w:r>
        <w:rPr>
          <w:b/>
          <w:bCs/>
        </w:rPr>
        <w:t xml:space="preserve">4.  Why squads, not consulting</w:t>
      </w:r>
    </w:p>
    <w:p>
      <w:pPr>
        <w:spacing w:after="120" w:line="300"/>
      </w:pPr>
      <w:r>
        <w:t xml:space="preserve">Four arguments. None of them is novel; the value is in their composition.</w:t>
      </w:r>
    </w:p>
    <w:p>
      <w:pPr>
        <w:pStyle w:val="Heading2"/>
        <w:spacing w:after="120" w:before="240"/>
      </w:pPr>
      <w:r>
        <w:rPr>
          <w:b/>
          <w:bCs/>
        </w:rPr>
        <w:t xml:space="preserve">4.1  Value unit, not headcount</w:t>
      </w:r>
    </w:p>
    <w:p>
      <w:pPr>
        <w:spacing w:after="120" w:line="300"/>
      </w:pPr>
      <w:r>
        <w:t xml:space="preserve">The Phase 0 framing implicitly sizes the AI build inside the BU by headcount — a BU “nominates an owner,” looks at its budget, and decides whether to hire one AI person or two. That is the wrong primitive. The right primitive, from the Leap deck, is the value unit: the smallest cell that delivers a measurable outcome end-to-end. The PM-Builder + Engineer squad is that cell. You replicate the cell; you don’t hire fractions of one into BUs.</w:t>
      </w:r>
    </w:p>
    <w:p>
      <w:pPr>
        <w:pStyle w:val="Heading2"/>
        <w:spacing w:after="120" w:before="240"/>
      </w:pPr>
      <w:r>
        <w:rPr>
          <w:b/>
          <w:bCs/>
        </w:rPr>
        <w:t xml:space="preserve">4.2  Skip Augmented, go AI-Native</w:t>
      </w:r>
    </w:p>
    <w:p>
      <w:pPr>
        <w:spacing w:after="120" w:line="300"/>
      </w:pPr>
      <w:r>
        <w:t xml:space="preserve">A BU left to build on its own will, with overwhelming probability, land in what the Leap deck calls Augmented — copilots and drafts bolted onto the existing workflow. Faster, same shape, no compounding. Squads carry the AI-native discipline pre-loaded: planner / generator / evaluator, guides and sensors, machines own execution, humans own intent. The Phase 0 memo asks BUs to “fundamentally redesign workflows for an AI-native operating model.” That redesign is exactly what the squad model brings into the room; without it, the redesign is a slide.</w:t>
      </w:r>
    </w:p>
    <w:p>
      <w:pPr>
        <w:pStyle w:val="Heading2"/>
        <w:spacing w:after="120" w:before="240"/>
      </w:pPr>
      <w:r>
        <w:rPr>
          <w:b/>
          <w:bCs/>
        </w:rPr>
        <w:t xml:space="preserve">4.3  Forcing function</w:t>
      </w:r>
    </w:p>
    <w:p>
      <w:pPr>
        <w:spacing w:after="120" w:line="300"/>
      </w:pPr>
      <w:r>
        <w:t xml:space="preserve">Even technically capable BU teams will hand-fix when it is faster than back-propagating a fix into an evaluator or a guide. Squads, operating under a North-Star metric that trends toward machine-owned execution, treat back-propagation as the work. Each successive build leaves a sharper evaluator behind. The compounding the Leap deck describes is real but it requires discipline that the squad model enforces and ad-hoc BU builds will not.</w:t>
      </w:r>
    </w:p>
    <w:p>
      <w:pPr>
        <w:pStyle w:val="Heading2"/>
        <w:spacing w:after="120" w:before="240"/>
      </w:pPr>
      <w:r>
        <w:rPr>
          <w:b/>
          <w:bCs/>
        </w:rPr>
        <w:t xml:space="preserve">4.4  Talent scarcity</w:t>
      </w:r>
    </w:p>
    <w:p>
      <w:pPr>
        <w:spacing w:after="120" w:line="300"/>
      </w:pPr>
      <w:r>
        <w:t xml:space="preserve">AI-fluent PMs and engineers are the scarcest resource in the company today. Distributing one or two per BU dilutes them into people who are also expected to learn the BU’s domain, navigate its politics, and report to leaders who are not their craft peers. Pooling them into rotating squads amplifies them. Squad members work across domains, share evaluators and patterns, and stay craft-current. This is the same logic that makes a Platform team exist at all.</w:t>
      </w:r>
    </w:p>
    <w:p>
      <w:pPr>
        <w:pStyle w:val="Heading1"/>
        <w:spacing w:after="160" w:before="320"/>
      </w:pPr>
      <w:r>
        <w:rPr>
          <w:b/>
          <w:bCs/>
        </w:rPr>
        <w:t xml:space="preserve">5.  The compounding economics</w:t>
      </w:r>
    </w:p>
    <w:p>
      <w:pPr>
        <w:spacing w:after="120" w:line="300"/>
      </w:pPr>
      <w:r>
        <w:t xml:space="preserve">The dimension that matters most to a CFO and that the Phase 0 memo does not currently address: the second BU is cheaper than the first only if the same builders ship both. Independent BU builds have no reuse pathway. The squad model has reuse compounded into its design.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tcBorders>
              <w:top w:val="single" w:color="BBBBBB" w:sz="4"/>
              <w:left w:val="single" w:color="BBBBBB" w:sz="4"/>
              <w:bottom w:val="single" w:color="BBBBBB" w:sz="4"/>
              <w:right w:val="single" w:color="BBBBBB" w:sz="4"/>
            </w:tcBorders>
            <w:shd w:fill="EAEAEA" w:val="clear"/>
            <w:tcMar>
              <w:top w:type="dxa" w:w="100"/>
              <w:left w:type="dxa" w:w="140"/>
              <w:bottom w:type="dxa" w:w="100"/>
              <w:right w:type="dxa" w:w="140"/>
            </w:tcMar>
          </w:tcPr>
          <w:p>
            <w:pPr>
              <w:spacing w:after="60" w:line="280"/>
            </w:pPr>
            <w:r>
              <w:rPr>
                <w:b/>
                <w:bCs/>
              </w:rPr>
              <w:t xml:space="preserve">Cost dimension</w:t>
            </w:r>
          </w:p>
        </w:tc>
        <w:tc>
          <w:tcPr>
            <w:tcW w:type="dxa" w:w="3780"/>
            <w:tcBorders>
              <w:top w:val="single" w:color="BBBBBB" w:sz="4"/>
              <w:left w:val="single" w:color="BBBBBB" w:sz="4"/>
              <w:bottom w:val="single" w:color="BBBBBB" w:sz="4"/>
              <w:right w:val="single" w:color="BBBBBB" w:sz="4"/>
            </w:tcBorders>
            <w:shd w:fill="EAEAEA" w:val="clear"/>
            <w:tcMar>
              <w:top w:type="dxa" w:w="100"/>
              <w:left w:type="dxa" w:w="140"/>
              <w:bottom w:type="dxa" w:w="100"/>
              <w:right w:type="dxa" w:w="140"/>
            </w:tcMar>
          </w:tcPr>
          <w:p>
            <w:pPr>
              <w:spacing w:after="60" w:line="280"/>
            </w:pPr>
            <w:r>
              <w:rPr>
                <w:b/>
                <w:bCs/>
              </w:rPr>
              <w:t xml:space="preserve">Independent BU builds</w:t>
            </w:r>
          </w:p>
        </w:tc>
        <w:tc>
          <w:tcPr>
            <w:tcW w:type="dxa" w:w="3780"/>
            <w:tcBorders>
              <w:top w:val="single" w:color="BBBBBB" w:sz="4"/>
              <w:left w:val="single" w:color="BBBBBB" w:sz="4"/>
              <w:bottom w:val="single" w:color="BBBBBB" w:sz="4"/>
              <w:right w:val="single" w:color="BBBBBB" w:sz="4"/>
            </w:tcBorders>
            <w:shd w:fill="EAEAEA" w:val="clear"/>
            <w:tcMar>
              <w:top w:type="dxa" w:w="100"/>
              <w:left w:type="dxa" w:w="140"/>
              <w:bottom w:type="dxa" w:w="100"/>
              <w:right w:type="dxa" w:w="140"/>
            </w:tcMar>
          </w:tcPr>
          <w:p>
            <w:pPr>
              <w:spacing w:after="60" w:line="280"/>
            </w:pPr>
            <w:r>
              <w:rPr>
                <w:b/>
                <w:bCs/>
              </w:rPr>
              <w:t xml:space="preserve">Build Squad model</w:t>
            </w:r>
          </w:p>
        </w:tc>
      </w:tr>
      <w:tr>
        <w:tc>
          <w:tcPr>
            <w:tcW w:type="dxa" w:w="252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b w:val="false"/>
                <w:bCs w:val="false"/>
              </w:rPr>
              <w:t xml:space="preserve">Build cost per workflow</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b w:val="false"/>
                <w:bCs w:val="false"/>
              </w:rPr>
              <w:t xml:space="preserve">BU 1: 100%. BU 2: 100%. BU 3: 100%. No reuse — different stacks, different patterns, different vendors.</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b w:val="false"/>
                <w:bCs w:val="false"/>
              </w:rPr>
              <w:t xml:space="preserve">BU 1: 100%. BU 2: ~50–60% (reuses connectors, eval harness, RAG, audit hooks). BU 3: ~30–40%. Marginal cost approaches integration only.</w:t>
            </w:r>
          </w:p>
        </w:tc>
      </w:tr>
      <w:tr>
        <w:tc>
          <w:tcPr>
            <w:tcW w:type="dxa" w:w="252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b w:val="false"/>
                <w:bCs w:val="false"/>
              </w:rPr>
              <w:t xml:space="preserve">Maintenance</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b w:val="false"/>
                <w:bCs w:val="false"/>
              </w:rPr>
              <w:t xml:space="preserve">N stacks → N maintenance burdens compounding indefinitely. Owned by N teams of varying staffing.</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b w:val="false"/>
                <w:bCs w:val="false"/>
              </w:rPr>
              <w:t xml:space="preserve">One stack, patched once per fix. Owned by a team with continuity.</w:t>
            </w:r>
          </w:p>
        </w:tc>
      </w:tr>
      <w:tr>
        <w:tc>
          <w:tcPr>
            <w:tcW w:type="dxa" w:w="252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b w:val="false"/>
                <w:bCs w:val="false"/>
              </w:rPr>
              <w:t xml:space="preserve">Upgrade (new models, MCP standards, agent patterns)</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b w:val="false"/>
                <w:bCs w:val="false"/>
              </w:rPr>
              <w:t xml:space="preserve">Patch N times. Lag increases with N. Some BUs never patch.</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b w:val="false"/>
                <w:bCs w:val="false"/>
              </w:rPr>
              <w:t xml:space="preserve">Patch once. Coordinated rollout. Standards stay current.</w:t>
            </w:r>
          </w:p>
        </w:tc>
      </w:tr>
      <w:tr>
        <w:tc>
          <w:tcPr>
            <w:tcW w:type="dxa" w:w="252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b w:val="false"/>
                <w:bCs w:val="false"/>
              </w:rPr>
              <w:t xml:space="preserve">Compliance / audit surface</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b w:val="false"/>
                <w:bCs w:val="false"/>
              </w:rPr>
              <w:t xml:space="preserve">N surfaces. Each independently audited. Each a separate incident vector.</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b w:val="false"/>
                <w:bCs w:val="false"/>
              </w:rPr>
              <w:t xml:space="preserve">One surface. One audit. One incident-response posture.</w:t>
            </w:r>
          </w:p>
        </w:tc>
      </w:tr>
      <w:tr>
        <w:tc>
          <w:tcPr>
            <w:tcW w:type="dxa" w:w="252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b w:val="false"/>
                <w:bCs w:val="false"/>
              </w:rPr>
              <w:t xml:space="preserve">Talent cost</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b w:val="false"/>
                <w:bCs w:val="false"/>
              </w:rPr>
              <w:t xml:space="preserve">N × (AI PM + AI Engineer + tooling spec + SecOps liaison). Many are partial-FTE that the BU cannot fully utilize.</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b w:val="false"/>
                <w:bCs w:val="false"/>
              </w:rPr>
              <w:t xml:space="preserve">Pooled and rotated. Higher utilization per scarce specialist. Career path that retains the people.</w:t>
            </w:r>
          </w:p>
        </w:tc>
      </w:tr>
      <w:tr>
        <w:tc>
          <w:tcPr>
            <w:tcW w:type="dxa" w:w="252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b w:val="false"/>
                <w:bCs w:val="false"/>
              </w:rPr>
              <w:t xml:space="preserve">Knowledge accrual</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b w:val="false"/>
                <w:bCs w:val="false"/>
              </w:rPr>
              <w:t xml:space="preserve">Trapped per BU. Lessons rarely cross. Each BU re-learns what the last BU already knew.</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b w:val="false"/>
                <w:bCs w:val="false"/>
              </w:rPr>
              <w:t xml:space="preserve">Squad rotates. Lessons compound at the pillar. The next BU starts further down the curve.</w:t>
            </w:r>
          </w:p>
        </w:tc>
      </w:tr>
      <w:tr>
        <w:tc>
          <w:tcPr>
            <w:tcW w:type="dxa" w:w="252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b w:val="false"/>
                <w:bCs w:val="false"/>
              </w:rPr>
              <w:t xml:space="preserve">Platform emergence (PayoData, PayoBrain, Control Plane, MCP/Tools, Marketplaces)</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b w:val="false"/>
                <w:bCs w:val="false"/>
              </w:rPr>
              <w:t xml:space="preserve">No demand signal. Platform must be speculatively built or never emerges. Risk: build infrastructure no one consumes.</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60" w:line="280"/>
            </w:pPr>
            <w:r>
              <w:rPr>
                <w:b w:val="false"/>
                <w:bCs w:val="false"/>
              </w:rPr>
              <w:t xml:space="preserve">Components harvested from real builds. Platform emerges with proof-of-need. Funded by the BU work that needs it.</w:t>
            </w:r>
          </w:p>
        </w:tc>
      </w:tr>
    </w:tbl>
    <w:p>
      <w:pPr>
        <w:spacing w:after="120" w:line="300"/>
      </w:pPr>
      <w:r>
        <w:t xml:space="preserve"/>
      </w:r>
    </w:p>
    <w:p>
      <w:pPr>
        <w:spacing w:after="120" w:line="300"/>
      </w:pPr>
      <w:r>
        <w:t xml:space="preserve">The last row is the one to dwell on. Rich’s playbook is explicit on this: “the central enablement layer is not designed top-down. It is discovered bottom-up — through the sprint process itself.” And: “if you build enablement infrastructure that no funded bet consumes, you’re building for the sake of building.” The squad model is how the platform Oren described actually gets funded into existence.</w:t>
      </w:r>
    </w:p>
    <w:p>
      <w:pPr>
        <w:pStyle w:val="Heading1"/>
        <w:spacing w:after="160" w:before="320"/>
      </w:pPr>
      <w:r>
        <w:rPr>
          <w:b/>
          <w:bCs/>
        </w:rPr>
        <w:t xml:space="preserve">6.  The squad model is the path to AI Foundations</w:t>
      </w:r>
    </w:p>
    <w:p>
      <w:pPr>
        <w:spacing w:after="120" w:line="300"/>
      </w:pPr>
      <w:r>
        <w:t xml:space="preserve">The AI Foundations vision names the platform pillars: PayoData (structured data for agents), PayoBrain (intelligence layer + Payoneer-specific models), MCP / Tools (agent integrations), Control Plane (governance and blast radius), AI Marketplaces (reusable components). Each of those will be claimed by leadership as the right architecture for an AI-native Payoneer. The question is how they get built without becoming a speculative platform looking for consumers.</w:t>
      </w:r>
    </w:p>
    <w:p>
      <w:pPr>
        <w:spacing w:after="120" w:line="300"/>
      </w:pPr>
      <w:r>
        <w:t xml:space="preserve">Every BU engagement the squads run is a funded customer of that platform. A vendor-spend workflow needs connectors and a RAG layer; those become first cuts of PayoData and a connector library. A compliance workflow needs evaluators and audit hooks; those become first cuts of the Control Plane. A customer-care workflow needs a retrieval and grounding pattern; that becomes a reference implementation in the Marketplace. None of this is built ahead of demand. It is harvested from work the BU was already paying for.</w:t>
      </w:r>
    </w:p>
    <w:p>
      <w:pPr>
        <w:spacing w:after="120" w:line="300"/>
      </w:pPr>
      <w:r>
        <w:t xml:space="preserve">This is also why the squad model preserves the AI Foundations strategy rather than competing with it. AI Foundations is what becomes reusable. The BU pillar is how reuse gets earned. Same machine viewed from two angles.</w:t>
      </w:r>
    </w:p>
    <w:p>
      <w:pPr>
        <w:pStyle w:val="Heading1"/>
        <w:spacing w:after="160" w:before="320"/>
      </w:pPr>
      <w:r>
        <w:rPr>
          <w:b/>
          <w:bCs/>
        </w:rPr>
        <w:t xml:space="preserve">7.  What needs to change in the current approach</w:t>
      </w:r>
    </w:p>
    <w:p>
      <w:pPr>
        <w:spacing w:after="120" w:line="300"/>
      </w:pPr>
      <w:r>
        <w:t xml:space="preserve">The principles in John’s email and Oren’s response do not need to change. They are correct. Three specific elements of the current operating posture do need to change, and the changes are small but consequential.</w:t>
      </w:r>
    </w:p>
    <w:p>
      <w:pPr>
        <w:pStyle w:val="Heading2"/>
        <w:spacing w:after="120" w:before="240"/>
      </w:pPr>
      <w:r>
        <w:rPr>
          <w:b/>
          <w:bCs/>
        </w:rPr>
        <w:t xml:space="preserve">7.1  Replace “support and consult” with “provide build capacity”</w:t>
      </w:r>
    </w:p>
    <w:p>
      <w:pPr>
        <w:spacing w:after="120" w:line="300"/>
      </w:pPr>
      <w:r>
        <w:t xml:space="preserve">The Phase 0 memo describes Platform’s role as “to support and accelerate the effort through enablement, tooling, infrastructure, and guidance.” Guidance does not close the execution gap. Build capacity does. Squads are the operational form of the Platform role Oren named — they ship the enablement, tooling, and infrastructure as a side effect of shipping the BU’s workflow.</w:t>
      </w:r>
    </w:p>
    <w:p>
      <w:pPr>
        <w:pStyle w:val="Heading2"/>
        <w:spacing w:after="120" w:before="240"/>
      </w:pPr>
      <w:r>
        <w:rPr>
          <w:b/>
          <w:bCs/>
        </w:rPr>
        <w:t xml:space="preserve">7.2  Replace per-BU staffing with per-BU funding</w:t>
      </w:r>
    </w:p>
    <w:p>
      <w:pPr>
        <w:spacing w:after="120" w:line="300"/>
      </w:pPr>
      <w:r>
        <w:t xml:space="preserve">John’s line — “funding and resourcing execution” — should be read as: the function pays for the build, the build does not need to be staffed inside the function. Resourcing happens through the squad model. The funding mechanism needs Finance to define a chargeback or slot mechanism. The principle is unambiguous: BU work is paid for by the BU consuming it.</w:t>
      </w:r>
    </w:p>
    <w:p>
      <w:pPr>
        <w:pStyle w:val="Heading2"/>
        <w:spacing w:after="120" w:before="240"/>
      </w:pPr>
      <w:r>
        <w:rPr>
          <w:b/>
          <w:bCs/>
        </w:rPr>
        <w:t xml:space="preserve">7.3  Replace “BUs as customers of advice” with “BUs as owners of outcomes who contract for build capacity”</w:t>
      </w:r>
    </w:p>
    <w:p>
      <w:pPr>
        <w:spacing w:after="120" w:line="300"/>
      </w:pPr>
      <w:r>
        <w:t xml:space="preserve">This is the semantic shift that changes what June 8 looks like. Today, the C-Suite review is positioned as: “did your BU identify good workflow bets?” In the squad model, the review is: “did your BU contract a squad to build a workflow, with a defined deliverable date and a graduation gate?” The first asks for a slide. The second asks for a commitment with a counter-party. The second is the version that produces measurable impact by end of July.</w:t>
      </w:r>
    </w:p>
    <w:p>
      <w:pPr>
        <w:spacing w:after="120" w:line="300"/>
      </w:pPr>
      <w:r>
        <w:t xml:space="preserve">None of these changes reduce BU ownership. All three sharpen the mechanism by which BU ownership turns into shipped work.</w:t>
      </w:r>
    </w:p>
    <w:p>
      <w:pPr>
        <w:pStyle w:val="Heading1"/>
        <w:spacing w:after="160" w:before="320"/>
      </w:pPr>
      <w:r>
        <w:rPr>
          <w:b/>
          <w:bCs/>
        </w:rPr>
        <w:t xml:space="preserve">8.  Engagement lifecycle and honest timing</w:t>
      </w:r>
    </w:p>
    <w:p>
      <w:pPr>
        <w:spacing w:after="120" w:line="300"/>
      </w:pPr>
      <w:r>
        <w:t xml:space="preserve">Squad engagements are not 30-day AIR² sprints. AIR² runs against internal targets the squad sets itself; BU engagements run against a BU’s real workflow, real users, real data access, and real change-management. BU velocity is the largest variance and we do not control it. We set expectations accordingly.</w:t>
      </w:r>
    </w:p>
    <w:p>
      <w:pPr>
        <w:spacing w:after="120" w:line="300"/>
      </w:pPr>
      <w:r>
        <w:t xml:space="preserve">Per-engagement phases:</w:t>
      </w:r>
    </w:p>
    <w:p>
      <w:pPr>
        <w:pStyle w:val="ListParagraph"/>
        <w:numPr>
          <w:ilvl w:val="0"/>
          <w:numId w:val="2"/>
        </w:numPr>
        <w:spacing w:after="80" w:line="300"/>
      </w:pPr>
      <w:r>
        <w:t xml:space="preserve">Intake &amp; scoring — cross-BU intake board ranks candidates against criteria (impact, fit, readiness). Monthly cadence. A BU can submit at any time; squads are allocated at the intake board’s rhythm, not on demand.</w:t>
      </w:r>
    </w:p>
    <w:p>
      <w:pPr>
        <w:pStyle w:val="ListParagraph"/>
        <w:numPr>
          <w:ilvl w:val="0"/>
          <w:numId w:val="2"/>
        </w:numPr>
        <w:spacing w:after="80" w:line="300"/>
      </w:pPr>
      <w:r>
        <w:t xml:space="preserve">Discovery (2–4 weeks) — squad embeds with the BU workflow owner. Current-state mapped, target AI-native state designed, baseline measurements taken. Discovery is gated by the BU’s ability to provide answers, data access, and decisions. A BU that staffs the engagement properly finishes discovery faster.</w:t>
      </w:r>
    </w:p>
    <w:p>
      <w:pPr>
        <w:pStyle w:val="ListParagraph"/>
        <w:numPr>
          <w:ilvl w:val="0"/>
          <w:numId w:val="2"/>
        </w:numPr>
        <w:spacing w:after="80" w:line="300"/>
      </w:pPr>
      <w:r>
        <w:t xml:space="preserve">Build (4–8 weeks) — squad builds. BU continues to own decisions on scope, adoption planning, and change. Biweekly demos of working software, not slides.</w:t>
      </w:r>
    </w:p>
    <w:p>
      <w:pPr>
        <w:pStyle w:val="ListParagraph"/>
        <w:numPr>
          <w:ilvl w:val="0"/>
          <w:numId w:val="2"/>
        </w:numPr>
        <w:spacing w:after="80" w:line="300"/>
      </w:pPr>
      <w:r>
        <w:t xml:space="preserve">Run (3–6 weeks) — production with real users. Metrics defined at discovery are measured against baseline. No “demo-ware” — same standard AIR² uses.</w:t>
      </w:r>
    </w:p>
    <w:p>
      <w:pPr>
        <w:pStyle w:val="ListParagraph"/>
        <w:numPr>
          <w:ilvl w:val="0"/>
          <w:numId w:val="2"/>
        </w:numPr>
        <w:spacing w:after="80" w:line="300"/>
      </w:pPr>
      <w:r>
        <w:t xml:space="preserve">Keep / Toss + handover — joint decision: BU workflow owner, squad lead, pillar lead. If keep, ownership transfers to a permanent home with a documented runbook. If toss, post-mortem captures the learning.</w:t>
      </w:r>
    </w:p>
    <w:p>
      <w:pPr>
        <w:pStyle w:val="ListParagraph"/>
        <w:numPr>
          <w:ilvl w:val="0"/>
          <w:numId w:val="2"/>
        </w:numPr>
        <w:spacing w:after="80" w:line="300"/>
      </w:pPr>
      <w:r>
        <w:t xml:space="preserve">Component harvest — every engagement ends with an explicit harvest step. What becomes a shared component, what is BU-specific. Platform contribution is part of the deliverable, not a hope.</w:t>
      </w:r>
    </w:p>
    <w:p>
      <w:pPr>
        <w:spacing w:after="120" w:line="300"/>
      </w:pPr>
      <w:r>
        <w:t xml:space="preserve">Honest target: 10–14 weeks per BU for a first engagement. The number drops cycle-over-cycle as components accrue and the squad knows the BU’s context. We will not promise a 6-week first cycle, and we will push back on requests to compress in ways that produce demo-ware.</w:t>
      </w:r>
    </w:p>
    <w:p>
      <w:pPr>
        <w:pStyle w:val="Heading1"/>
        <w:spacing w:after="160" w:before="320"/>
      </w:pPr>
      <w:r>
        <w:rPr>
          <w:b/>
          <w:bCs/>
        </w:rPr>
        <w:t xml:space="preserve">9.  Risks and how we address them</w:t>
      </w:r>
    </w:p>
    <w:p>
      <w:pPr>
        <w:pStyle w:val="Heading2"/>
        <w:spacing w:after="120" w:before="240"/>
      </w:pPr>
      <w:r>
        <w:rPr>
          <w:b/>
          <w:bCs/>
        </w:rPr>
        <w:t xml:space="preserve">9.1  “This creates a central bottleneck.”</w:t>
      </w:r>
    </w:p>
    <w:p>
      <w:pPr>
        <w:spacing w:after="120" w:line="300"/>
      </w:pPr>
      <w:r>
        <w:t xml:space="preserve">Squads are scarce by design. We address bottleneck risk three ways: (a) a cross-BU intake board with a transparent backlog and explicit prioritization criteria — chaired by Mor’s orchestration team, not by us; (b) honest engagement length so BUs can plan around squad availability; (c) scale tied to demand — the second pair of squads is added when the first pair is at capacity with a credible queue.</w:t>
      </w:r>
    </w:p>
    <w:p>
      <w:pPr>
        <w:pStyle w:val="Heading2"/>
        <w:spacing w:after="120" w:before="240"/>
      </w:pPr>
      <w:r>
        <w:rPr>
          <w:b/>
          <w:bCs/>
        </w:rPr>
        <w:t xml:space="preserve">9.2  “BUs lose ownership.”</w:t>
      </w:r>
    </w:p>
    <w:p>
      <w:pPr>
        <w:spacing w:after="120" w:line="300"/>
      </w:pPr>
      <w:r>
        <w:t xml:space="preserve">They do not. The ownership stripe in §3.4 keeps the BU as workflow owner, decision-maker, and outcome-accountable. The squad is contracted capacity. The BU funds the engagement, signs off on scope, owns adoption, and inherits the running system. This is the same relationship a BU has with internal Legal, Finance, or Platform Engineering today. Nobody describes a BU as “not owning its finances” because Finance does the books.</w:t>
      </w:r>
    </w:p>
    <w:p>
      <w:pPr>
        <w:pStyle w:val="Heading2"/>
        <w:spacing w:after="120" w:before="240"/>
      </w:pPr>
      <w:r>
        <w:rPr>
          <w:b/>
          <w:bCs/>
        </w:rPr>
        <w:t xml:space="preserve">9.3  “This contradicts the messaging that already went out.”</w:t>
      </w:r>
    </w:p>
    <w:p>
      <w:pPr>
        <w:spacing w:after="120" w:line="300"/>
      </w:pPr>
      <w:r>
        <w:t xml:space="preserve">It does not. John said function owns outcomes — preserved. Oren said Platform provides shared foundations — squads are how those foundations get built. The only thing being adjusted is the Phase 0 memo’s specific framing of Platform’s role as “support and guidance.” That phrase will not produce shipped workflows by end of July. The squad model will.</w:t>
      </w:r>
    </w:p>
    <w:p>
      <w:pPr>
        <w:pStyle w:val="Heading2"/>
        <w:spacing w:after="120" w:before="240"/>
      </w:pPr>
      <w:r>
        <w:rPr>
          <w:b/>
          <w:bCs/>
        </w:rPr>
        <w:t xml:space="preserve">9.4  “Why not let BUs hire?”</w:t>
      </w:r>
    </w:p>
    <w:p>
      <w:pPr>
        <w:spacing w:after="120" w:line="300"/>
      </w:pPr>
      <w:r>
        <w:t xml:space="preserve">BUs can hire, and should — for the steady-state phase, after the workflow runs and ownership is handed back. The squad model is the bridge that closes the execution gap during the next 12–18 months. It is graduation, not permanent embedding. A BU that builds capability behind the squad’s work has graduated to running the workflow itself; that is the success case.</w:t>
      </w:r>
    </w:p>
    <w:p>
      <w:pPr>
        <w:pStyle w:val="Heading2"/>
        <w:spacing w:after="120" w:before="240"/>
      </w:pPr>
      <w:r>
        <w:rPr>
          <w:b/>
          <w:bCs/>
        </w:rPr>
        <w:t xml:space="preserve">9.5  “Squad members will leave because they want their own product.”</w:t>
      </w:r>
    </w:p>
    <w:p>
      <w:pPr>
        <w:spacing w:after="120" w:line="300"/>
      </w:pPr>
      <w:r>
        <w:t xml:space="preserve">The squad’s product is Payoneer’s AI capability. The platform contribution is the long-term product surface. The career story — working across BUs, contributing to PayoData / PayoBrain / Control Plane / Marketplaces, staying current with the frontier — is the only credible offer for the people we need. It is also the reason squads must stay in our org and not be absorbed into BUs.</w:t>
      </w:r>
    </w:p>
    <w:p>
      <w:pPr>
        <w:pStyle w:val="Heading1"/>
        <w:spacing w:after="160" w:before="320"/>
      </w:pPr>
      <w:r>
        <w:rPr>
          <w:b/>
          <w:bCs/>
        </w:rPr>
        <w:t xml:space="preserve">10.  The ask</w:t>
      </w:r>
    </w:p>
    <w:p>
      <w:pPr>
        <w:spacing w:after="120" w:line="300"/>
      </w:pPr>
      <w:r>
        <w:t xml:space="preserve">Three things, in order:</w:t>
      </w:r>
    </w:p>
    <w:p>
      <w:pPr>
        <w:pStyle w:val="ListParagraph"/>
        <w:numPr>
          <w:ilvl w:val="0"/>
          <w:numId w:val="3"/>
        </w:numPr>
        <w:spacing w:after="80" w:line="300"/>
      </w:pPr>
      <w:r>
        <w:t xml:space="preserve">Endorsement of the squad model by Oren and Mor. Specifically: the Phase 0 memo’s framing of Platform’s role is updated to reflect build squads in the BU AI Transformation pillar, funded by BUs for BU work. The ownership and accountability language stays as written.</w:t>
      </w:r>
    </w:p>
    <w:p>
      <w:pPr>
        <w:pStyle w:val="ListParagraph"/>
        <w:numPr>
          <w:ilvl w:val="0"/>
          <w:numId w:val="3"/>
        </w:numPr>
        <w:spacing w:after="80" w:line="300"/>
      </w:pPr>
      <w:r>
        <w:t xml:space="preserve">Two squads to start — four people total (2 PM-Builders + 2 AI Engineers). Internal allocation preferred; external hires as a fallback, recruited on the job-ad template already drafted for AIR² with light adaptation. Scale to a third or fourth squad is gated on the intake board’s observed demand and queue length, not on a calendar.</w:t>
      </w:r>
    </w:p>
    <w:p>
      <w:pPr>
        <w:pStyle w:val="ListParagraph"/>
        <w:numPr>
          <w:ilvl w:val="0"/>
          <w:numId w:val="3"/>
        </w:numPr>
        <w:spacing w:after="80" w:line="300"/>
      </w:pPr>
      <w:r>
        <w:t xml:space="preserve">Cross-BU intake mechanism + Finance alignment, both stood up before the June 8 CF offsite. The intake board (chaired by Mor’s orchestration team, supported by this pillar) defines criteria and runs prioritization. Finance defines the chargeback / slot mechanism. June 8 then becomes a session where the C-Suite engages a working model, not endorses a sketch.</w:t>
      </w:r>
    </w:p>
    <w:p>
      <w:pPr>
        <w:pStyle w:val="Heading1"/>
        <w:spacing w:after="160" w:before="320"/>
      </w:pPr>
      <w:r>
        <w:rPr>
          <w:b/>
          <w:bCs/>
        </w:rPr>
        <w:t xml:space="preserve">Closing</w:t>
      </w:r>
    </w:p>
    <w:p>
      <w:pPr>
        <w:spacing w:after="120" w:line="300"/>
      </w:pPr>
      <w:r>
        <w:t xml:space="preserve">John’s email closed with “Let’s build boldly.” Boldness here means refusing the comfortable assumption that BUs will autonomously develop AI-native build capability within the next year. Boldness is centralizing the muscle and decentralizing the outcome. Squads in our org, BUs owning the work, the platform emerging from every engagement. Same principles John and Oren named. A sharper mechanism for delivering on them.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before="0"/>
    </w:pPr>
    <w:r>
      <w:rPr>
        <w:color w:val="888888"/>
        <w:sz w:val="18"/>
        <w:szCs w:val="18"/>
      </w:rPr>
      <w:t xml:space="preserve">Yonatan Orpeli</w:t>
    </w:r>
    <w:r>
      <w:t xml:space="preserve">	</w:t>
    </w: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color w:val="888888"/>
        <w:sz w:val="18"/>
        <w:szCs w:val="18"/>
      </w:rPr>
      <w:t xml:space="preserve">BU AI Transformation · Build Squad Model</w:t>
    </w:r>
    <w:r>
      <w:t xml:space="preserve">	</w:t>
    </w:r>
    <w:r>
      <w:rPr>
        <w:color w:val="888888"/>
        <w:sz w:val="18"/>
        <w:szCs w:val="18"/>
      </w:rPr>
      <w:t xml:space="preserve">DRAFT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 AI Transformation — The Build Squad Model</dc:title>
  <dc:creator>Yonatan Orpeli</dc:creator>
  <cp:lastModifiedBy>Un-named</cp:lastModifiedBy>
  <cp:revision>1</cp:revision>
  <dcterms:created xsi:type="dcterms:W3CDTF">2026-05-29T11:42:32.493Z</dcterms:created>
  <dcterms:modified xsi:type="dcterms:W3CDTF">2026-05-29T11:42:32.494Z</dcterms:modified>
</cp:coreProperties>
</file>

<file path=docProps/custom.xml><?xml version="1.0" encoding="utf-8"?>
<Properties xmlns="http://schemas.openxmlformats.org/officeDocument/2006/custom-properties" xmlns:vt="http://schemas.openxmlformats.org/officeDocument/2006/docPropsVTypes"/>
</file>