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131BB" w14:textId="77777777" w:rsidR="005466ED" w:rsidRPr="002B6894" w:rsidRDefault="005466ED" w:rsidP="005466ED">
      <w:pPr>
        <w:pStyle w:val="BodyALG"/>
        <w:jc w:val="center"/>
        <w:rPr>
          <w:rFonts w:cs="Arial"/>
          <w:lang w:val="en-GB"/>
        </w:rPr>
      </w:pPr>
      <w:r w:rsidRPr="002B6894">
        <w:rPr>
          <w:rFonts w:cs="Arial"/>
          <w:b/>
        </w:rPr>
        <w:t>HANetf ICAV</w:t>
      </w:r>
    </w:p>
    <w:p w14:paraId="550D8343" w14:textId="77777777" w:rsidR="005466ED" w:rsidRPr="005F2C91" w:rsidRDefault="005466ED" w:rsidP="005466ED">
      <w:pPr>
        <w:jc w:val="center"/>
        <w:rPr>
          <w:color w:val="000000"/>
        </w:rPr>
      </w:pPr>
      <w:r>
        <w:rPr>
          <w:rFonts w:cs="Arial"/>
          <w:b/>
        </w:rPr>
        <w:t>Supplement dated</w:t>
      </w:r>
      <w:r>
        <w:rPr>
          <w:b/>
        </w:rPr>
        <w:t xml:space="preserve"> </w:t>
      </w:r>
      <w:r w:rsidRPr="001806C2">
        <w:rPr>
          <w:b/>
        </w:rPr>
        <w:t>[</w:t>
      </w:r>
      <w:r>
        <w:rPr>
          <w:b/>
        </w:rPr>
        <w:t xml:space="preserve"> </w:t>
      </w:r>
      <w:r w:rsidRPr="001806C2">
        <w:rPr>
          <w:b/>
        </w:rPr>
        <w:sym w:font="Symbol" w:char="F0B7"/>
      </w:r>
      <w:r w:rsidRPr="001806C2">
        <w:rPr>
          <w:b/>
        </w:rPr>
        <w:t xml:space="preserve"> ] </w:t>
      </w:r>
      <w:r>
        <w:rPr>
          <w:b/>
        </w:rPr>
        <w:t>2025</w:t>
      </w:r>
    </w:p>
    <w:p w14:paraId="02718141" w14:textId="77777777" w:rsidR="005466ED" w:rsidRPr="002B6894" w:rsidRDefault="005466ED" w:rsidP="005466ED">
      <w:pPr>
        <w:pStyle w:val="BodyALG"/>
        <w:jc w:val="center"/>
        <w:rPr>
          <w:rFonts w:cs="Arial"/>
          <w:lang w:val="en-GB"/>
        </w:rPr>
      </w:pPr>
      <w:r w:rsidRPr="002B6894">
        <w:rPr>
          <w:rFonts w:cs="Arial"/>
          <w:b/>
        </w:rPr>
        <w:t>for</w:t>
      </w:r>
    </w:p>
    <w:p w14:paraId="57783AE8" w14:textId="6A0349FF" w:rsidR="005466ED" w:rsidRPr="002B6894" w:rsidRDefault="005466ED" w:rsidP="005466ED">
      <w:pPr>
        <w:pStyle w:val="BodyALG"/>
        <w:jc w:val="center"/>
        <w:rPr>
          <w:rFonts w:cs="Arial"/>
        </w:rPr>
      </w:pPr>
      <w:r>
        <w:rPr>
          <w:rFonts w:cs="Arial"/>
          <w:b/>
          <w:bCs/>
          <w:lang w:val="en-US"/>
        </w:rPr>
        <w:t xml:space="preserve"> </w:t>
      </w:r>
      <w:bookmarkStart w:id="0" w:name="_Hlk195719105"/>
      <w:r w:rsidRPr="00C06102">
        <w:rPr>
          <w:rFonts w:cs="Arial"/>
          <w:b/>
          <w:bCs/>
          <w:lang w:val="en-US"/>
        </w:rPr>
        <w:t xml:space="preserve">ODDO BHF </w:t>
      </w:r>
      <w:r>
        <w:rPr>
          <w:rFonts w:cs="Arial"/>
          <w:b/>
          <w:bCs/>
          <w:lang w:val="en-US"/>
        </w:rPr>
        <w:t>US</w:t>
      </w:r>
      <w:r w:rsidRPr="00C06102">
        <w:rPr>
          <w:rFonts w:cs="Arial"/>
          <w:b/>
          <w:bCs/>
          <w:lang w:val="en-US"/>
        </w:rPr>
        <w:t xml:space="preserve"> Equity Active </w:t>
      </w:r>
      <w:r>
        <w:rPr>
          <w:rFonts w:cs="Arial"/>
          <w:b/>
          <w:bCs/>
          <w:lang w:val="en-US"/>
        </w:rPr>
        <w:t xml:space="preserve">UCITS </w:t>
      </w:r>
      <w:r w:rsidRPr="00C06102">
        <w:rPr>
          <w:rFonts w:cs="Arial"/>
          <w:b/>
          <w:bCs/>
          <w:lang w:val="en-US"/>
        </w:rPr>
        <w:t>ETF</w:t>
      </w:r>
      <w:bookmarkEnd w:id="0"/>
    </w:p>
    <w:p w14:paraId="3A78BB23" w14:textId="7CBE3D7D" w:rsidR="005466ED" w:rsidRPr="002B6894" w:rsidRDefault="005466ED" w:rsidP="005466ED">
      <w:pPr>
        <w:pStyle w:val="BodyALG"/>
        <w:rPr>
          <w:rFonts w:cs="Arial"/>
          <w:lang w:val="en-GB"/>
        </w:rPr>
      </w:pPr>
      <w:r w:rsidRPr="002B6894">
        <w:rPr>
          <w:rFonts w:cs="Arial"/>
        </w:rPr>
        <w:t xml:space="preserve">This Supplement contains specific information in relation to the </w:t>
      </w:r>
      <w:r w:rsidRPr="00C06102">
        <w:rPr>
          <w:rFonts w:cs="Arial"/>
        </w:rPr>
        <w:t xml:space="preserve">ODDO BHF </w:t>
      </w:r>
      <w:r>
        <w:rPr>
          <w:rFonts w:cs="Arial"/>
        </w:rPr>
        <w:t>US</w:t>
      </w:r>
      <w:r w:rsidRPr="00C06102">
        <w:rPr>
          <w:rFonts w:cs="Arial"/>
        </w:rPr>
        <w:t xml:space="preserve"> Equity Active </w:t>
      </w:r>
      <w:r>
        <w:rPr>
          <w:rFonts w:cs="Arial"/>
        </w:rPr>
        <w:t xml:space="preserve">UCITS </w:t>
      </w:r>
      <w:r w:rsidRPr="00C06102">
        <w:rPr>
          <w:rFonts w:cs="Arial"/>
        </w:rPr>
        <w:t>ETF</w:t>
      </w:r>
      <w:r>
        <w:rPr>
          <w:rFonts w:cs="Arial"/>
        </w:rPr>
        <w:t xml:space="preserve"> </w:t>
      </w:r>
      <w:r w:rsidRPr="002B6894">
        <w:rPr>
          <w:rFonts w:cs="Arial"/>
        </w:rPr>
        <w:t xml:space="preserve">(the </w:t>
      </w:r>
      <w:r w:rsidRPr="002B6894">
        <w:rPr>
          <w:rFonts w:cs="Arial"/>
          <w:b/>
        </w:rPr>
        <w:t>Sub-Fund</w:t>
      </w:r>
      <w:r w:rsidRPr="002B6894">
        <w:rPr>
          <w:rFonts w:cs="Arial"/>
        </w:rPr>
        <w:t xml:space="preserve">), a sub-fund of HANetf ICAV (the </w:t>
      </w:r>
      <w:r w:rsidRPr="002B6894">
        <w:rPr>
          <w:rFonts w:cs="Arial"/>
          <w:b/>
        </w:rPr>
        <w:t>ICAV</w:t>
      </w:r>
      <w:r w:rsidRPr="002B6894">
        <w:rPr>
          <w:rFonts w:cs="Arial"/>
        </w:rPr>
        <w:t xml:space="preserve">), an Irish collective asset-management vehicle umbrella fund with segregated liability between sub-funds which is registered in Ireland by the Central Bank of Ireland (the </w:t>
      </w:r>
      <w:r w:rsidRPr="002B6894">
        <w:rPr>
          <w:rFonts w:cs="Arial"/>
          <w:b/>
        </w:rPr>
        <w:t>Central Bank</w:t>
      </w:r>
      <w:r w:rsidRPr="002B6894">
        <w:rPr>
          <w:rFonts w:cs="Arial"/>
        </w:rPr>
        <w:t>) and authorised under the UCITS Regulations.</w:t>
      </w:r>
    </w:p>
    <w:p w14:paraId="44B00AED" w14:textId="77777777" w:rsidR="005466ED" w:rsidRPr="002B6894" w:rsidRDefault="005466ED" w:rsidP="005466ED">
      <w:pPr>
        <w:pStyle w:val="BodyALG"/>
        <w:rPr>
          <w:rFonts w:cs="Arial"/>
          <w:lang w:eastAsia="en-IE"/>
        </w:rPr>
      </w:pPr>
      <w:r w:rsidRPr="002B6894">
        <w:rPr>
          <w:rFonts w:cs="Arial"/>
          <w:b/>
        </w:rPr>
        <w:t xml:space="preserve">This Supplement forms part of the Prospectus of the ICAV dated </w:t>
      </w:r>
      <w:r>
        <w:rPr>
          <w:rFonts w:cs="Arial"/>
          <w:b/>
        </w:rPr>
        <w:t>13 May 2024</w:t>
      </w:r>
      <w:r w:rsidRPr="002B6894">
        <w:rPr>
          <w:rFonts w:cs="Arial"/>
          <w:b/>
        </w:rPr>
        <w:t xml:space="preserve"> </w:t>
      </w:r>
      <w:r w:rsidRPr="002B6894">
        <w:rPr>
          <w:rFonts w:cs="Arial"/>
        </w:rPr>
        <w:t>(the</w:t>
      </w:r>
      <w:r w:rsidRPr="002B6894">
        <w:rPr>
          <w:rFonts w:cs="Arial"/>
          <w:b/>
        </w:rPr>
        <w:t xml:space="preserve"> Prospectus</w:t>
      </w:r>
      <w:r w:rsidRPr="002B6894">
        <w:rPr>
          <w:rFonts w:cs="Arial"/>
        </w:rPr>
        <w:t>)</w:t>
      </w:r>
      <w:r w:rsidRPr="002B6894">
        <w:rPr>
          <w:rFonts w:cs="Arial"/>
          <w:b/>
        </w:rPr>
        <w:t xml:space="preserve"> and should be read in the context of and together with the Prospectus. Save as disclosed in this Supplement, there has been no significant change and no significant new matter has arisen since publication of the Prospectus.</w:t>
      </w:r>
    </w:p>
    <w:p w14:paraId="309FFE70" w14:textId="77777777" w:rsidR="005466ED" w:rsidRPr="002B6894" w:rsidRDefault="005466ED" w:rsidP="005466ED">
      <w:pPr>
        <w:pStyle w:val="BodyALG"/>
        <w:rPr>
          <w:rFonts w:cs="Arial"/>
          <w:lang w:val="en-GB"/>
        </w:rPr>
      </w:pPr>
      <w:r w:rsidRPr="002B6894">
        <w:rPr>
          <w:rFonts w:cs="Arial"/>
        </w:rPr>
        <w:t xml:space="preserve">The Directors of the ICAV whose names appear in the section entitled </w:t>
      </w:r>
      <w:r w:rsidRPr="002B6894">
        <w:rPr>
          <w:rFonts w:cs="Arial"/>
          <w:b/>
        </w:rPr>
        <w:t xml:space="preserve">Directors of the ICAV </w:t>
      </w:r>
      <w:r w:rsidRPr="002B6894">
        <w:rPr>
          <w:rFonts w:cs="Arial"/>
        </w:rPr>
        <w:t>in the Prospectus accept responsibility for the information contained in this document. To the best of the knowledge and belief of the Directors (who have taken all reasonable care to ensure such is the case) the information contained in this document is in accordance with the facts and does not omit anything likely to affect the import of such information.</w:t>
      </w:r>
    </w:p>
    <w:p w14:paraId="04F0EE73" w14:textId="77777777" w:rsidR="005466ED" w:rsidRPr="002B6894" w:rsidRDefault="005466ED" w:rsidP="005466ED">
      <w:pPr>
        <w:pStyle w:val="BodyALG"/>
        <w:rPr>
          <w:rFonts w:cs="Arial"/>
          <w:lang w:val="en-GB"/>
        </w:rPr>
      </w:pPr>
      <w:r w:rsidRPr="002B6894">
        <w:rPr>
          <w:rFonts w:cs="Arial"/>
        </w:rPr>
        <w:t>Words and expressions defined in the Prospectus shall, unless the context otherwise requires, have the same meaning when used in this Supplement.</w:t>
      </w:r>
    </w:p>
    <w:p w14:paraId="29F86A80" w14:textId="77777777" w:rsidR="005466ED" w:rsidRPr="002B6894" w:rsidRDefault="005466ED" w:rsidP="005466ED">
      <w:pPr>
        <w:pStyle w:val="BodyALG"/>
        <w:rPr>
          <w:rFonts w:cs="Arial"/>
          <w:lang w:val="en-GB"/>
        </w:rPr>
      </w:pPr>
      <w:r w:rsidRPr="002B6894">
        <w:rPr>
          <w:rFonts w:cs="Arial"/>
          <w:b/>
        </w:rPr>
        <w:t>Shares purchased on the secondary market cannot usually be sold directly back to the Sub-Fund. Investors must buy and sell Shares on a secondary market with the assistance of an intermediary (e.g. a stockbroker) and may incur fees for doing so. In addition, investors may pay more than the current Net Asset Value when buying Shares and may receive less than the current Net Asset Value per Share when selling them.</w:t>
      </w:r>
    </w:p>
    <w:p w14:paraId="3A1A773C" w14:textId="77777777" w:rsidR="005466ED" w:rsidRPr="002B6894" w:rsidRDefault="005466ED" w:rsidP="005466ED">
      <w:pPr>
        <w:pStyle w:val="BodyALG"/>
        <w:rPr>
          <w:rFonts w:cs="Arial"/>
          <w:lang w:val="en-GB"/>
        </w:rPr>
      </w:pPr>
      <w:r w:rsidRPr="002B6894">
        <w:rPr>
          <w:rFonts w:cs="Arial"/>
          <w:b/>
        </w:rPr>
        <w:t>The value of Shares may go down as well as up and investors may not get back any of the amount invested.</w:t>
      </w:r>
    </w:p>
    <w:p w14:paraId="245CFE42" w14:textId="77777777" w:rsidR="005466ED" w:rsidRPr="002B6894" w:rsidRDefault="005466ED" w:rsidP="005466ED">
      <w:pPr>
        <w:pStyle w:val="BodyALG"/>
        <w:rPr>
          <w:rFonts w:cs="Arial"/>
        </w:rPr>
      </w:pPr>
      <w:r w:rsidRPr="002B6894">
        <w:rPr>
          <w:rFonts w:cs="Arial"/>
        </w:rPr>
        <w:t xml:space="preserve">Prospective investors should review this Supplement and the Prospectus carefully in their entirety and consider the </w:t>
      </w:r>
      <w:r w:rsidRPr="002B6894">
        <w:rPr>
          <w:rFonts w:cs="Arial"/>
          <w:b/>
        </w:rPr>
        <w:t>Risk Factors</w:t>
      </w:r>
      <w:r w:rsidRPr="002B6894">
        <w:rPr>
          <w:rFonts w:cs="Arial"/>
        </w:rPr>
        <w:t xml:space="preserve"> set out in the Prospectus and in this Supplement before investing in this Sub-Fund.</w:t>
      </w:r>
    </w:p>
    <w:p w14:paraId="1E92EC11" w14:textId="77777777" w:rsidR="005466ED" w:rsidRPr="002B6894" w:rsidRDefault="005466ED" w:rsidP="005466ED">
      <w:pPr>
        <w:spacing w:before="0"/>
        <w:jc w:val="left"/>
        <w:rPr>
          <w:rFonts w:cs="Arial"/>
        </w:rPr>
        <w:sectPr w:rsidR="005466ED" w:rsidRPr="002B6894" w:rsidSect="00CA1320">
          <w:headerReference w:type="even" r:id="rId8"/>
          <w:headerReference w:type="default" r:id="rId9"/>
          <w:footerReference w:type="even" r:id="rId10"/>
          <w:footerReference w:type="default" r:id="rId11"/>
          <w:headerReference w:type="first" r:id="rId12"/>
          <w:footerReference w:type="first" r:id="rId13"/>
          <w:pgSz w:w="11909" w:h="16834"/>
          <w:pgMar w:top="1134" w:right="1134" w:bottom="1134" w:left="1134" w:header="720" w:footer="432" w:gutter="0"/>
          <w:pgNumType w:start="1"/>
          <w:cols w:space="720"/>
          <w:docGrid w:linePitch="258"/>
        </w:sectPr>
      </w:pPr>
    </w:p>
    <w:p w14:paraId="05770399" w14:textId="77777777" w:rsidR="005466ED" w:rsidRPr="002B6894" w:rsidRDefault="005466ED" w:rsidP="005466ED">
      <w:pPr>
        <w:pStyle w:val="BodyALG"/>
        <w:jc w:val="center"/>
        <w:rPr>
          <w:rFonts w:cs="Arial"/>
        </w:rPr>
      </w:pPr>
      <w:r w:rsidRPr="002B6894">
        <w:rPr>
          <w:rFonts w:cs="Arial"/>
          <w:b/>
        </w:rPr>
        <w:t>TABLE OF CONTENTS</w:t>
      </w:r>
    </w:p>
    <w:p w14:paraId="41D1B9A2" w14:textId="77777777" w:rsidR="005466ED" w:rsidRDefault="005466ED" w:rsidP="005466ED">
      <w:pPr>
        <w:pStyle w:val="TM1"/>
        <w:rPr>
          <w:rFonts w:asciiTheme="minorHAnsi" w:eastAsiaTheme="minorEastAsia" w:hAnsiTheme="minorHAnsi"/>
          <w:kern w:val="2"/>
          <w:sz w:val="22"/>
          <w:szCs w:val="22"/>
          <w:lang w:eastAsia="en-IE"/>
          <w14:ligatures w14:val="standardContextual"/>
        </w:rPr>
      </w:pPr>
      <w:r w:rsidRPr="002B6894">
        <w:rPr>
          <w:lang w:val="en-GB"/>
        </w:rPr>
        <w:fldChar w:fldCharType="begin"/>
      </w:r>
      <w:r w:rsidRPr="002B6894">
        <w:rPr>
          <w:lang w:val="en-GB"/>
        </w:rPr>
        <w:instrText xml:space="preserve"> TOC \o "1-1" \h \z \u </w:instrText>
      </w:r>
      <w:r w:rsidRPr="002B6894">
        <w:rPr>
          <w:lang w:val="en-GB"/>
        </w:rPr>
        <w:fldChar w:fldCharType="separate"/>
      </w:r>
      <w:hyperlink w:anchor="_Toc161244414" w:history="1">
        <w:r w:rsidRPr="00327921">
          <w:rPr>
            <w:rStyle w:val="Lienhypertexte"/>
            <w:rFonts w:cs="Arial"/>
          </w:rPr>
          <w:t>1</w:t>
        </w:r>
        <w:r>
          <w:rPr>
            <w:rFonts w:asciiTheme="minorHAnsi" w:eastAsiaTheme="minorEastAsia" w:hAnsiTheme="minorHAnsi"/>
            <w:kern w:val="2"/>
            <w:sz w:val="22"/>
            <w:szCs w:val="22"/>
            <w:lang w:eastAsia="en-IE"/>
            <w14:ligatures w14:val="standardContextual"/>
          </w:rPr>
          <w:tab/>
        </w:r>
        <w:r w:rsidRPr="00327921">
          <w:rPr>
            <w:rStyle w:val="Lienhypertexte"/>
            <w:rFonts w:cs="Arial"/>
            <w:caps/>
          </w:rPr>
          <w:t>IMPORTANT</w:t>
        </w:r>
        <w:r w:rsidRPr="00327921">
          <w:rPr>
            <w:rStyle w:val="Lienhypertexte"/>
            <w:rFonts w:cs="Arial"/>
          </w:rPr>
          <w:t xml:space="preserve"> INFORMATION</w:t>
        </w:r>
        <w:r>
          <w:rPr>
            <w:webHidden/>
          </w:rPr>
          <w:tab/>
        </w:r>
        <w:r>
          <w:rPr>
            <w:webHidden/>
          </w:rPr>
          <w:fldChar w:fldCharType="begin"/>
        </w:r>
        <w:r>
          <w:rPr>
            <w:webHidden/>
          </w:rPr>
          <w:instrText xml:space="preserve"> PAGEREF _Toc161244414 \h </w:instrText>
        </w:r>
        <w:r>
          <w:rPr>
            <w:webHidden/>
          </w:rPr>
        </w:r>
        <w:r>
          <w:rPr>
            <w:webHidden/>
          </w:rPr>
          <w:fldChar w:fldCharType="separate"/>
        </w:r>
        <w:r>
          <w:rPr>
            <w:webHidden/>
          </w:rPr>
          <w:t>1</w:t>
        </w:r>
        <w:r>
          <w:rPr>
            <w:webHidden/>
          </w:rPr>
          <w:fldChar w:fldCharType="end"/>
        </w:r>
      </w:hyperlink>
    </w:p>
    <w:p w14:paraId="25CB4668" w14:textId="77777777" w:rsidR="005466ED" w:rsidRDefault="005466ED" w:rsidP="005466ED">
      <w:pPr>
        <w:pStyle w:val="TM1"/>
        <w:rPr>
          <w:rFonts w:asciiTheme="minorHAnsi" w:eastAsiaTheme="minorEastAsia" w:hAnsiTheme="minorHAnsi"/>
          <w:kern w:val="2"/>
          <w:sz w:val="22"/>
          <w:szCs w:val="22"/>
          <w:lang w:eastAsia="en-IE"/>
          <w14:ligatures w14:val="standardContextual"/>
        </w:rPr>
      </w:pPr>
      <w:hyperlink w:anchor="_Toc161244415" w:history="1">
        <w:r w:rsidRPr="00327921">
          <w:rPr>
            <w:rStyle w:val="Lienhypertexte"/>
            <w:rFonts w:cs="Arial"/>
          </w:rPr>
          <w:t>2</w:t>
        </w:r>
        <w:r>
          <w:rPr>
            <w:rFonts w:asciiTheme="minorHAnsi" w:eastAsiaTheme="minorEastAsia" w:hAnsiTheme="minorHAnsi"/>
            <w:kern w:val="2"/>
            <w:sz w:val="22"/>
            <w:szCs w:val="22"/>
            <w:lang w:eastAsia="en-IE"/>
            <w14:ligatures w14:val="standardContextual"/>
          </w:rPr>
          <w:tab/>
        </w:r>
        <w:r w:rsidRPr="00327921">
          <w:rPr>
            <w:rStyle w:val="Lienhypertexte"/>
            <w:rFonts w:cs="Arial"/>
          </w:rPr>
          <w:t xml:space="preserve">INVESTMENT </w:t>
        </w:r>
        <w:r w:rsidRPr="00327921">
          <w:rPr>
            <w:rStyle w:val="Lienhypertexte"/>
            <w:rFonts w:cs="Arial"/>
            <w:caps/>
          </w:rPr>
          <w:t>MANAGER</w:t>
        </w:r>
        <w:r>
          <w:rPr>
            <w:webHidden/>
          </w:rPr>
          <w:tab/>
        </w:r>
        <w:r>
          <w:rPr>
            <w:webHidden/>
          </w:rPr>
          <w:fldChar w:fldCharType="begin"/>
        </w:r>
        <w:r>
          <w:rPr>
            <w:webHidden/>
          </w:rPr>
          <w:instrText xml:space="preserve"> PAGEREF _Toc161244415 \h </w:instrText>
        </w:r>
        <w:r>
          <w:rPr>
            <w:webHidden/>
          </w:rPr>
        </w:r>
        <w:r>
          <w:rPr>
            <w:webHidden/>
          </w:rPr>
          <w:fldChar w:fldCharType="separate"/>
        </w:r>
        <w:r>
          <w:rPr>
            <w:webHidden/>
          </w:rPr>
          <w:t>2</w:t>
        </w:r>
        <w:r>
          <w:rPr>
            <w:webHidden/>
          </w:rPr>
          <w:fldChar w:fldCharType="end"/>
        </w:r>
      </w:hyperlink>
    </w:p>
    <w:p w14:paraId="0258D35C" w14:textId="77777777" w:rsidR="005466ED" w:rsidRDefault="005466ED" w:rsidP="005466ED">
      <w:pPr>
        <w:pStyle w:val="TM1"/>
        <w:rPr>
          <w:rFonts w:asciiTheme="minorHAnsi" w:eastAsiaTheme="minorEastAsia" w:hAnsiTheme="minorHAnsi"/>
          <w:kern w:val="2"/>
          <w:sz w:val="22"/>
          <w:szCs w:val="22"/>
          <w:lang w:eastAsia="en-IE"/>
          <w14:ligatures w14:val="standardContextual"/>
        </w:rPr>
      </w:pPr>
      <w:hyperlink w:anchor="_Toc161244416" w:history="1">
        <w:r w:rsidRPr="00327921">
          <w:rPr>
            <w:rStyle w:val="Lienhypertexte"/>
            <w:rFonts w:cs="Arial"/>
          </w:rPr>
          <w:t>3</w:t>
        </w:r>
        <w:r>
          <w:rPr>
            <w:rFonts w:asciiTheme="minorHAnsi" w:eastAsiaTheme="minorEastAsia" w:hAnsiTheme="minorHAnsi"/>
            <w:kern w:val="2"/>
            <w:sz w:val="22"/>
            <w:szCs w:val="22"/>
            <w:lang w:eastAsia="en-IE"/>
            <w14:ligatures w14:val="standardContextual"/>
          </w:rPr>
          <w:tab/>
        </w:r>
        <w:r w:rsidRPr="00327921">
          <w:rPr>
            <w:rStyle w:val="Lienhypertexte"/>
            <w:rFonts w:cs="Arial"/>
          </w:rPr>
          <w:t>INVESTMENT OBJECTIVE AND POLICIES</w:t>
        </w:r>
        <w:r>
          <w:rPr>
            <w:webHidden/>
          </w:rPr>
          <w:tab/>
        </w:r>
        <w:r>
          <w:rPr>
            <w:webHidden/>
          </w:rPr>
          <w:fldChar w:fldCharType="begin"/>
        </w:r>
        <w:r>
          <w:rPr>
            <w:webHidden/>
          </w:rPr>
          <w:instrText xml:space="preserve"> PAGEREF _Toc161244416 \h </w:instrText>
        </w:r>
        <w:r>
          <w:rPr>
            <w:webHidden/>
          </w:rPr>
        </w:r>
        <w:r>
          <w:rPr>
            <w:webHidden/>
          </w:rPr>
          <w:fldChar w:fldCharType="separate"/>
        </w:r>
        <w:r>
          <w:rPr>
            <w:webHidden/>
          </w:rPr>
          <w:t>2</w:t>
        </w:r>
        <w:r>
          <w:rPr>
            <w:webHidden/>
          </w:rPr>
          <w:fldChar w:fldCharType="end"/>
        </w:r>
      </w:hyperlink>
    </w:p>
    <w:p w14:paraId="24B12027" w14:textId="77777777" w:rsidR="005466ED" w:rsidRDefault="005466ED" w:rsidP="005466ED">
      <w:pPr>
        <w:pStyle w:val="TM1"/>
        <w:rPr>
          <w:rFonts w:asciiTheme="minorHAnsi" w:eastAsiaTheme="minorEastAsia" w:hAnsiTheme="minorHAnsi"/>
          <w:kern w:val="2"/>
          <w:sz w:val="22"/>
          <w:szCs w:val="22"/>
          <w:lang w:eastAsia="en-IE"/>
          <w14:ligatures w14:val="standardContextual"/>
        </w:rPr>
      </w:pPr>
      <w:hyperlink w:anchor="_Toc161244417" w:history="1">
        <w:r w:rsidRPr="00327921">
          <w:rPr>
            <w:rStyle w:val="Lienhypertexte"/>
            <w:rFonts w:cs="Arial"/>
          </w:rPr>
          <w:t>4</w:t>
        </w:r>
        <w:r>
          <w:rPr>
            <w:rFonts w:asciiTheme="minorHAnsi" w:eastAsiaTheme="minorEastAsia" w:hAnsiTheme="minorHAnsi"/>
            <w:kern w:val="2"/>
            <w:sz w:val="22"/>
            <w:szCs w:val="22"/>
            <w:lang w:eastAsia="en-IE"/>
            <w14:ligatures w14:val="standardContextual"/>
          </w:rPr>
          <w:tab/>
        </w:r>
        <w:r w:rsidRPr="00327921">
          <w:rPr>
            <w:rStyle w:val="Lienhypertexte"/>
            <w:rFonts w:cs="Arial"/>
          </w:rPr>
          <w:t>PORTFOLIO TRANSPARENCY</w:t>
        </w:r>
        <w:r>
          <w:rPr>
            <w:webHidden/>
          </w:rPr>
          <w:tab/>
        </w:r>
        <w:r>
          <w:rPr>
            <w:webHidden/>
          </w:rPr>
          <w:fldChar w:fldCharType="begin"/>
        </w:r>
        <w:r>
          <w:rPr>
            <w:webHidden/>
          </w:rPr>
          <w:instrText xml:space="preserve"> PAGEREF _Toc161244417 \h </w:instrText>
        </w:r>
        <w:r>
          <w:rPr>
            <w:webHidden/>
          </w:rPr>
        </w:r>
        <w:r>
          <w:rPr>
            <w:webHidden/>
          </w:rPr>
          <w:fldChar w:fldCharType="separate"/>
        </w:r>
        <w:r>
          <w:rPr>
            <w:webHidden/>
          </w:rPr>
          <w:t>5</w:t>
        </w:r>
        <w:r>
          <w:rPr>
            <w:webHidden/>
          </w:rPr>
          <w:fldChar w:fldCharType="end"/>
        </w:r>
      </w:hyperlink>
    </w:p>
    <w:p w14:paraId="3A2B46B2" w14:textId="77777777" w:rsidR="005466ED" w:rsidRDefault="005466ED" w:rsidP="005466ED">
      <w:pPr>
        <w:pStyle w:val="TM1"/>
        <w:rPr>
          <w:rFonts w:asciiTheme="minorHAnsi" w:eastAsiaTheme="minorEastAsia" w:hAnsiTheme="minorHAnsi"/>
          <w:kern w:val="2"/>
          <w:sz w:val="22"/>
          <w:szCs w:val="22"/>
          <w:lang w:eastAsia="en-IE"/>
          <w14:ligatures w14:val="standardContextual"/>
        </w:rPr>
      </w:pPr>
      <w:hyperlink w:anchor="_Toc161244418" w:history="1">
        <w:r w:rsidRPr="00327921">
          <w:rPr>
            <w:rStyle w:val="Lienhypertexte"/>
            <w:rFonts w:cs="Arial"/>
          </w:rPr>
          <w:t>5</w:t>
        </w:r>
        <w:r>
          <w:rPr>
            <w:rFonts w:asciiTheme="minorHAnsi" w:eastAsiaTheme="minorEastAsia" w:hAnsiTheme="minorHAnsi"/>
            <w:kern w:val="2"/>
            <w:sz w:val="22"/>
            <w:szCs w:val="22"/>
            <w:lang w:eastAsia="en-IE"/>
            <w14:ligatures w14:val="standardContextual"/>
          </w:rPr>
          <w:tab/>
        </w:r>
        <w:r w:rsidRPr="00327921">
          <w:rPr>
            <w:rStyle w:val="Lienhypertexte"/>
            <w:rFonts w:cs="Arial"/>
          </w:rPr>
          <w:t>BENCHMARK</w:t>
        </w:r>
        <w:r>
          <w:rPr>
            <w:webHidden/>
          </w:rPr>
          <w:tab/>
        </w:r>
        <w:r>
          <w:rPr>
            <w:webHidden/>
          </w:rPr>
          <w:fldChar w:fldCharType="begin"/>
        </w:r>
        <w:r>
          <w:rPr>
            <w:webHidden/>
          </w:rPr>
          <w:instrText xml:space="preserve"> PAGEREF _Toc161244418 \h </w:instrText>
        </w:r>
        <w:r>
          <w:rPr>
            <w:webHidden/>
          </w:rPr>
        </w:r>
        <w:r>
          <w:rPr>
            <w:webHidden/>
          </w:rPr>
          <w:fldChar w:fldCharType="separate"/>
        </w:r>
        <w:r>
          <w:rPr>
            <w:webHidden/>
          </w:rPr>
          <w:t>5</w:t>
        </w:r>
        <w:r>
          <w:rPr>
            <w:webHidden/>
          </w:rPr>
          <w:fldChar w:fldCharType="end"/>
        </w:r>
      </w:hyperlink>
    </w:p>
    <w:p w14:paraId="2943F2EE" w14:textId="77777777" w:rsidR="005466ED" w:rsidRDefault="005466ED" w:rsidP="005466ED">
      <w:pPr>
        <w:pStyle w:val="TM1"/>
        <w:rPr>
          <w:rFonts w:asciiTheme="minorHAnsi" w:eastAsiaTheme="minorEastAsia" w:hAnsiTheme="minorHAnsi"/>
          <w:kern w:val="2"/>
          <w:sz w:val="22"/>
          <w:szCs w:val="22"/>
          <w:lang w:eastAsia="en-IE"/>
          <w14:ligatures w14:val="standardContextual"/>
        </w:rPr>
      </w:pPr>
      <w:hyperlink w:anchor="_Toc161244419" w:history="1">
        <w:r w:rsidRPr="00327921">
          <w:rPr>
            <w:rStyle w:val="Lienhypertexte"/>
            <w:rFonts w:cs="Arial"/>
          </w:rPr>
          <w:t>6</w:t>
        </w:r>
        <w:r>
          <w:rPr>
            <w:rFonts w:asciiTheme="minorHAnsi" w:eastAsiaTheme="minorEastAsia" w:hAnsiTheme="minorHAnsi"/>
            <w:kern w:val="2"/>
            <w:sz w:val="22"/>
            <w:szCs w:val="22"/>
            <w:lang w:eastAsia="en-IE"/>
            <w14:ligatures w14:val="standardContextual"/>
          </w:rPr>
          <w:tab/>
        </w:r>
        <w:r w:rsidRPr="00327921">
          <w:rPr>
            <w:rStyle w:val="Lienhypertexte"/>
            <w:rFonts w:cs="Arial"/>
          </w:rPr>
          <w:t>INVESTMENT RESTRICTIONS</w:t>
        </w:r>
        <w:r>
          <w:rPr>
            <w:webHidden/>
          </w:rPr>
          <w:tab/>
        </w:r>
        <w:r>
          <w:rPr>
            <w:webHidden/>
          </w:rPr>
          <w:fldChar w:fldCharType="begin"/>
        </w:r>
        <w:r>
          <w:rPr>
            <w:webHidden/>
          </w:rPr>
          <w:instrText xml:space="preserve"> PAGEREF _Toc161244419 \h </w:instrText>
        </w:r>
        <w:r>
          <w:rPr>
            <w:webHidden/>
          </w:rPr>
        </w:r>
        <w:r>
          <w:rPr>
            <w:webHidden/>
          </w:rPr>
          <w:fldChar w:fldCharType="separate"/>
        </w:r>
        <w:r>
          <w:rPr>
            <w:webHidden/>
          </w:rPr>
          <w:t>5</w:t>
        </w:r>
        <w:r>
          <w:rPr>
            <w:webHidden/>
          </w:rPr>
          <w:fldChar w:fldCharType="end"/>
        </w:r>
      </w:hyperlink>
    </w:p>
    <w:p w14:paraId="2ECB6D41" w14:textId="77777777" w:rsidR="005466ED" w:rsidRDefault="005466ED" w:rsidP="005466ED">
      <w:pPr>
        <w:pStyle w:val="TM1"/>
        <w:rPr>
          <w:rFonts w:asciiTheme="minorHAnsi" w:eastAsiaTheme="minorEastAsia" w:hAnsiTheme="minorHAnsi"/>
          <w:kern w:val="2"/>
          <w:sz w:val="22"/>
          <w:szCs w:val="22"/>
          <w:lang w:eastAsia="en-IE"/>
          <w14:ligatures w14:val="standardContextual"/>
        </w:rPr>
      </w:pPr>
      <w:hyperlink w:anchor="_Toc161244420" w:history="1">
        <w:r w:rsidRPr="00327921">
          <w:rPr>
            <w:rStyle w:val="Lienhypertexte"/>
            <w:rFonts w:cs="Arial"/>
          </w:rPr>
          <w:t>7</w:t>
        </w:r>
        <w:r>
          <w:rPr>
            <w:rFonts w:asciiTheme="minorHAnsi" w:eastAsiaTheme="minorEastAsia" w:hAnsiTheme="minorHAnsi"/>
            <w:kern w:val="2"/>
            <w:sz w:val="22"/>
            <w:szCs w:val="22"/>
            <w:lang w:eastAsia="en-IE"/>
            <w14:ligatures w14:val="standardContextual"/>
          </w:rPr>
          <w:tab/>
        </w:r>
        <w:r w:rsidRPr="00327921">
          <w:rPr>
            <w:rStyle w:val="Lienhypertexte"/>
            <w:rFonts w:cs="Arial"/>
          </w:rPr>
          <w:t>BORROWING</w:t>
        </w:r>
        <w:r>
          <w:rPr>
            <w:webHidden/>
          </w:rPr>
          <w:tab/>
        </w:r>
        <w:r>
          <w:rPr>
            <w:webHidden/>
          </w:rPr>
          <w:fldChar w:fldCharType="begin"/>
        </w:r>
        <w:r>
          <w:rPr>
            <w:webHidden/>
          </w:rPr>
          <w:instrText xml:space="preserve"> PAGEREF _Toc161244420 \h </w:instrText>
        </w:r>
        <w:r>
          <w:rPr>
            <w:webHidden/>
          </w:rPr>
        </w:r>
        <w:r>
          <w:rPr>
            <w:webHidden/>
          </w:rPr>
          <w:fldChar w:fldCharType="separate"/>
        </w:r>
        <w:r>
          <w:rPr>
            <w:webHidden/>
          </w:rPr>
          <w:t>5</w:t>
        </w:r>
        <w:r>
          <w:rPr>
            <w:webHidden/>
          </w:rPr>
          <w:fldChar w:fldCharType="end"/>
        </w:r>
      </w:hyperlink>
    </w:p>
    <w:p w14:paraId="4D2B1374" w14:textId="77777777" w:rsidR="005466ED" w:rsidRDefault="005466ED" w:rsidP="005466ED">
      <w:pPr>
        <w:pStyle w:val="TM1"/>
        <w:rPr>
          <w:rFonts w:asciiTheme="minorHAnsi" w:eastAsiaTheme="minorEastAsia" w:hAnsiTheme="minorHAnsi"/>
          <w:kern w:val="2"/>
          <w:sz w:val="22"/>
          <w:szCs w:val="22"/>
          <w:lang w:eastAsia="en-IE"/>
          <w14:ligatures w14:val="standardContextual"/>
        </w:rPr>
      </w:pPr>
      <w:hyperlink w:anchor="_Toc161244421" w:history="1">
        <w:r w:rsidRPr="00327921">
          <w:rPr>
            <w:rStyle w:val="Lienhypertexte"/>
            <w:rFonts w:cs="Arial"/>
          </w:rPr>
          <w:t>8</w:t>
        </w:r>
        <w:r>
          <w:rPr>
            <w:rFonts w:asciiTheme="minorHAnsi" w:eastAsiaTheme="minorEastAsia" w:hAnsiTheme="minorHAnsi"/>
            <w:kern w:val="2"/>
            <w:sz w:val="22"/>
            <w:szCs w:val="22"/>
            <w:lang w:eastAsia="en-IE"/>
            <w14:ligatures w14:val="standardContextual"/>
          </w:rPr>
          <w:tab/>
        </w:r>
        <w:r w:rsidRPr="00327921">
          <w:rPr>
            <w:rStyle w:val="Lienhypertexte"/>
            <w:rFonts w:cs="Arial"/>
          </w:rPr>
          <w:t>RISK FACTORS</w:t>
        </w:r>
        <w:r>
          <w:rPr>
            <w:webHidden/>
          </w:rPr>
          <w:tab/>
        </w:r>
        <w:r>
          <w:rPr>
            <w:webHidden/>
          </w:rPr>
          <w:fldChar w:fldCharType="begin"/>
        </w:r>
        <w:r>
          <w:rPr>
            <w:webHidden/>
          </w:rPr>
          <w:instrText xml:space="preserve"> PAGEREF _Toc161244421 \h </w:instrText>
        </w:r>
        <w:r>
          <w:rPr>
            <w:webHidden/>
          </w:rPr>
        </w:r>
        <w:r>
          <w:rPr>
            <w:webHidden/>
          </w:rPr>
          <w:fldChar w:fldCharType="separate"/>
        </w:r>
        <w:r>
          <w:rPr>
            <w:webHidden/>
          </w:rPr>
          <w:t>6</w:t>
        </w:r>
        <w:r>
          <w:rPr>
            <w:webHidden/>
          </w:rPr>
          <w:fldChar w:fldCharType="end"/>
        </w:r>
      </w:hyperlink>
    </w:p>
    <w:p w14:paraId="089635DE" w14:textId="77777777" w:rsidR="005466ED" w:rsidRDefault="005466ED" w:rsidP="005466ED">
      <w:pPr>
        <w:pStyle w:val="TM1"/>
        <w:rPr>
          <w:rFonts w:asciiTheme="minorHAnsi" w:eastAsiaTheme="minorEastAsia" w:hAnsiTheme="minorHAnsi"/>
          <w:kern w:val="2"/>
          <w:sz w:val="22"/>
          <w:szCs w:val="22"/>
          <w:lang w:eastAsia="en-IE"/>
          <w14:ligatures w14:val="standardContextual"/>
        </w:rPr>
      </w:pPr>
      <w:hyperlink w:anchor="_Toc161244422" w:history="1">
        <w:r w:rsidRPr="00327921">
          <w:rPr>
            <w:rStyle w:val="Lienhypertexte"/>
            <w:rFonts w:cs="Arial"/>
          </w:rPr>
          <w:t>9</w:t>
        </w:r>
        <w:r>
          <w:rPr>
            <w:rFonts w:asciiTheme="minorHAnsi" w:eastAsiaTheme="minorEastAsia" w:hAnsiTheme="minorHAnsi"/>
            <w:kern w:val="2"/>
            <w:sz w:val="22"/>
            <w:szCs w:val="22"/>
            <w:lang w:eastAsia="en-IE"/>
            <w14:ligatures w14:val="standardContextual"/>
          </w:rPr>
          <w:tab/>
        </w:r>
        <w:r w:rsidRPr="00327921">
          <w:rPr>
            <w:rStyle w:val="Lienhypertexte"/>
            <w:rFonts w:cs="Arial"/>
          </w:rPr>
          <w:t>DIVIDEND POLICY</w:t>
        </w:r>
        <w:r>
          <w:rPr>
            <w:webHidden/>
          </w:rPr>
          <w:tab/>
        </w:r>
        <w:r>
          <w:rPr>
            <w:webHidden/>
          </w:rPr>
          <w:fldChar w:fldCharType="begin"/>
        </w:r>
        <w:r>
          <w:rPr>
            <w:webHidden/>
          </w:rPr>
          <w:instrText xml:space="preserve"> PAGEREF _Toc161244422 \h </w:instrText>
        </w:r>
        <w:r>
          <w:rPr>
            <w:webHidden/>
          </w:rPr>
        </w:r>
        <w:r>
          <w:rPr>
            <w:webHidden/>
          </w:rPr>
          <w:fldChar w:fldCharType="separate"/>
        </w:r>
        <w:r>
          <w:rPr>
            <w:webHidden/>
          </w:rPr>
          <w:t>6</w:t>
        </w:r>
        <w:r>
          <w:rPr>
            <w:webHidden/>
          </w:rPr>
          <w:fldChar w:fldCharType="end"/>
        </w:r>
      </w:hyperlink>
    </w:p>
    <w:p w14:paraId="059D2845" w14:textId="77777777" w:rsidR="005466ED" w:rsidRDefault="005466ED" w:rsidP="005466ED">
      <w:pPr>
        <w:pStyle w:val="TM1"/>
        <w:rPr>
          <w:rFonts w:asciiTheme="minorHAnsi" w:eastAsiaTheme="minorEastAsia" w:hAnsiTheme="minorHAnsi"/>
          <w:kern w:val="2"/>
          <w:sz w:val="22"/>
          <w:szCs w:val="22"/>
          <w:lang w:eastAsia="en-IE"/>
          <w14:ligatures w14:val="standardContextual"/>
        </w:rPr>
      </w:pPr>
      <w:hyperlink w:anchor="_Toc161244423" w:history="1">
        <w:r w:rsidRPr="00327921">
          <w:rPr>
            <w:rStyle w:val="Lienhypertexte"/>
            <w:rFonts w:cs="Arial"/>
          </w:rPr>
          <w:t>10</w:t>
        </w:r>
        <w:r>
          <w:rPr>
            <w:rFonts w:asciiTheme="minorHAnsi" w:eastAsiaTheme="minorEastAsia" w:hAnsiTheme="minorHAnsi"/>
            <w:kern w:val="2"/>
            <w:sz w:val="22"/>
            <w:szCs w:val="22"/>
            <w:lang w:eastAsia="en-IE"/>
            <w14:ligatures w14:val="standardContextual"/>
          </w:rPr>
          <w:tab/>
        </w:r>
        <w:r w:rsidRPr="00327921">
          <w:rPr>
            <w:rStyle w:val="Lienhypertexte"/>
            <w:rFonts w:cs="Arial"/>
          </w:rPr>
          <w:t>KEY INFORMATION FOR SHARE DEALING</w:t>
        </w:r>
        <w:r>
          <w:rPr>
            <w:webHidden/>
          </w:rPr>
          <w:tab/>
        </w:r>
        <w:r>
          <w:rPr>
            <w:webHidden/>
          </w:rPr>
          <w:fldChar w:fldCharType="begin"/>
        </w:r>
        <w:r>
          <w:rPr>
            <w:webHidden/>
          </w:rPr>
          <w:instrText xml:space="preserve"> PAGEREF _Toc161244423 \h </w:instrText>
        </w:r>
        <w:r>
          <w:rPr>
            <w:webHidden/>
          </w:rPr>
        </w:r>
        <w:r>
          <w:rPr>
            <w:webHidden/>
          </w:rPr>
          <w:fldChar w:fldCharType="separate"/>
        </w:r>
        <w:r>
          <w:rPr>
            <w:webHidden/>
          </w:rPr>
          <w:t>7</w:t>
        </w:r>
        <w:r>
          <w:rPr>
            <w:webHidden/>
          </w:rPr>
          <w:fldChar w:fldCharType="end"/>
        </w:r>
      </w:hyperlink>
    </w:p>
    <w:p w14:paraId="791E8F64" w14:textId="77777777" w:rsidR="005466ED" w:rsidRDefault="005466ED" w:rsidP="005466ED">
      <w:pPr>
        <w:pStyle w:val="TM1"/>
        <w:rPr>
          <w:rFonts w:asciiTheme="minorHAnsi" w:eastAsiaTheme="minorEastAsia" w:hAnsiTheme="minorHAnsi"/>
          <w:kern w:val="2"/>
          <w:sz w:val="22"/>
          <w:szCs w:val="22"/>
          <w:lang w:eastAsia="en-IE"/>
          <w14:ligatures w14:val="standardContextual"/>
        </w:rPr>
      </w:pPr>
      <w:hyperlink w:anchor="_Toc161244424" w:history="1">
        <w:r w:rsidRPr="00327921">
          <w:rPr>
            <w:rStyle w:val="Lienhypertexte"/>
          </w:rPr>
          <w:t>11</w:t>
        </w:r>
        <w:r>
          <w:rPr>
            <w:rFonts w:asciiTheme="minorHAnsi" w:eastAsiaTheme="minorEastAsia" w:hAnsiTheme="minorHAnsi"/>
            <w:kern w:val="2"/>
            <w:sz w:val="22"/>
            <w:szCs w:val="22"/>
            <w:lang w:eastAsia="en-IE"/>
            <w14:ligatures w14:val="standardContextual"/>
          </w:rPr>
          <w:tab/>
        </w:r>
        <w:r w:rsidRPr="00327921">
          <w:rPr>
            <w:rStyle w:val="Lienhypertexte"/>
          </w:rPr>
          <w:t>DESCRIPTION OF AVAILABLE SHARES</w:t>
        </w:r>
        <w:r>
          <w:rPr>
            <w:webHidden/>
          </w:rPr>
          <w:tab/>
        </w:r>
        <w:r>
          <w:rPr>
            <w:webHidden/>
          </w:rPr>
          <w:fldChar w:fldCharType="begin"/>
        </w:r>
        <w:r>
          <w:rPr>
            <w:webHidden/>
          </w:rPr>
          <w:instrText xml:space="preserve"> PAGEREF _Toc161244424 \h </w:instrText>
        </w:r>
        <w:r>
          <w:rPr>
            <w:webHidden/>
          </w:rPr>
        </w:r>
        <w:r>
          <w:rPr>
            <w:webHidden/>
          </w:rPr>
          <w:fldChar w:fldCharType="separate"/>
        </w:r>
        <w:r>
          <w:rPr>
            <w:webHidden/>
          </w:rPr>
          <w:t>10</w:t>
        </w:r>
        <w:r>
          <w:rPr>
            <w:webHidden/>
          </w:rPr>
          <w:fldChar w:fldCharType="end"/>
        </w:r>
      </w:hyperlink>
    </w:p>
    <w:p w14:paraId="246FF59A" w14:textId="77777777" w:rsidR="005466ED" w:rsidRDefault="005466ED" w:rsidP="005466ED">
      <w:pPr>
        <w:pStyle w:val="TM1"/>
        <w:rPr>
          <w:rFonts w:asciiTheme="minorHAnsi" w:eastAsiaTheme="minorEastAsia" w:hAnsiTheme="minorHAnsi"/>
          <w:kern w:val="2"/>
          <w:sz w:val="22"/>
          <w:szCs w:val="22"/>
          <w:lang w:eastAsia="en-IE"/>
          <w14:ligatures w14:val="standardContextual"/>
        </w:rPr>
      </w:pPr>
      <w:hyperlink w:anchor="_Toc161244425" w:history="1">
        <w:r w:rsidRPr="00327921">
          <w:rPr>
            <w:rStyle w:val="Lienhypertexte"/>
            <w:rFonts w:cs="Arial"/>
          </w:rPr>
          <w:t>12</w:t>
        </w:r>
        <w:r>
          <w:rPr>
            <w:rFonts w:asciiTheme="minorHAnsi" w:eastAsiaTheme="minorEastAsia" w:hAnsiTheme="minorHAnsi"/>
            <w:kern w:val="2"/>
            <w:sz w:val="22"/>
            <w:szCs w:val="22"/>
            <w:lang w:eastAsia="en-IE"/>
            <w14:ligatures w14:val="standardContextual"/>
          </w:rPr>
          <w:tab/>
        </w:r>
        <w:r w:rsidRPr="00327921">
          <w:rPr>
            <w:rStyle w:val="Lienhypertexte"/>
            <w:rFonts w:cs="Arial"/>
          </w:rPr>
          <w:t>CHARGES AND EXPENSES</w:t>
        </w:r>
        <w:r>
          <w:rPr>
            <w:webHidden/>
          </w:rPr>
          <w:tab/>
        </w:r>
        <w:r>
          <w:rPr>
            <w:webHidden/>
          </w:rPr>
          <w:fldChar w:fldCharType="begin"/>
        </w:r>
        <w:r>
          <w:rPr>
            <w:webHidden/>
          </w:rPr>
          <w:instrText xml:space="preserve"> PAGEREF _Toc161244425 \h </w:instrText>
        </w:r>
        <w:r>
          <w:rPr>
            <w:webHidden/>
          </w:rPr>
        </w:r>
        <w:r>
          <w:rPr>
            <w:webHidden/>
          </w:rPr>
          <w:fldChar w:fldCharType="separate"/>
        </w:r>
        <w:r>
          <w:rPr>
            <w:webHidden/>
          </w:rPr>
          <w:t>10</w:t>
        </w:r>
        <w:r>
          <w:rPr>
            <w:webHidden/>
          </w:rPr>
          <w:fldChar w:fldCharType="end"/>
        </w:r>
      </w:hyperlink>
    </w:p>
    <w:p w14:paraId="762DDB9A" w14:textId="77777777" w:rsidR="005466ED" w:rsidRDefault="005466ED" w:rsidP="005466ED">
      <w:pPr>
        <w:pStyle w:val="TM1"/>
        <w:rPr>
          <w:rFonts w:asciiTheme="minorHAnsi" w:eastAsiaTheme="minorEastAsia" w:hAnsiTheme="minorHAnsi"/>
          <w:kern w:val="2"/>
          <w:sz w:val="22"/>
          <w:szCs w:val="22"/>
          <w:lang w:eastAsia="en-IE"/>
          <w14:ligatures w14:val="standardContextual"/>
        </w:rPr>
      </w:pPr>
      <w:hyperlink w:anchor="_Toc161244426" w:history="1">
        <w:r w:rsidRPr="00327921">
          <w:rPr>
            <w:rStyle w:val="Lienhypertexte"/>
            <w:rFonts w:cs="Arial"/>
          </w:rPr>
          <w:t>13</w:t>
        </w:r>
        <w:r>
          <w:rPr>
            <w:rFonts w:asciiTheme="minorHAnsi" w:eastAsiaTheme="minorEastAsia" w:hAnsiTheme="minorHAnsi"/>
            <w:kern w:val="2"/>
            <w:sz w:val="22"/>
            <w:szCs w:val="22"/>
            <w:lang w:eastAsia="en-IE"/>
            <w14:ligatures w14:val="standardContextual"/>
          </w:rPr>
          <w:tab/>
        </w:r>
        <w:r w:rsidRPr="00327921">
          <w:rPr>
            <w:rStyle w:val="Lienhypertexte"/>
            <w:rFonts w:cs="Arial"/>
          </w:rPr>
          <w:t>MATERIAL CONTRACTS</w:t>
        </w:r>
        <w:r>
          <w:rPr>
            <w:webHidden/>
          </w:rPr>
          <w:tab/>
        </w:r>
        <w:r>
          <w:rPr>
            <w:webHidden/>
          </w:rPr>
          <w:fldChar w:fldCharType="begin"/>
        </w:r>
        <w:r>
          <w:rPr>
            <w:webHidden/>
          </w:rPr>
          <w:instrText xml:space="preserve"> PAGEREF _Toc161244426 \h </w:instrText>
        </w:r>
        <w:r>
          <w:rPr>
            <w:webHidden/>
          </w:rPr>
        </w:r>
        <w:r>
          <w:rPr>
            <w:webHidden/>
          </w:rPr>
          <w:fldChar w:fldCharType="separate"/>
        </w:r>
        <w:r>
          <w:rPr>
            <w:webHidden/>
          </w:rPr>
          <w:t>11</w:t>
        </w:r>
        <w:r>
          <w:rPr>
            <w:webHidden/>
          </w:rPr>
          <w:fldChar w:fldCharType="end"/>
        </w:r>
      </w:hyperlink>
    </w:p>
    <w:p w14:paraId="584E87CC" w14:textId="77777777" w:rsidR="005466ED" w:rsidRDefault="005466ED" w:rsidP="005466ED">
      <w:pPr>
        <w:pStyle w:val="TM1"/>
        <w:rPr>
          <w:rFonts w:asciiTheme="minorHAnsi" w:eastAsiaTheme="minorEastAsia" w:hAnsiTheme="minorHAnsi"/>
          <w:kern w:val="2"/>
          <w:sz w:val="22"/>
          <w:szCs w:val="22"/>
          <w:lang w:eastAsia="en-IE"/>
          <w14:ligatures w14:val="standardContextual"/>
        </w:rPr>
      </w:pPr>
      <w:hyperlink w:anchor="_Toc161244427" w:history="1">
        <w:r w:rsidRPr="00327921">
          <w:rPr>
            <w:rStyle w:val="Lienhypertexte"/>
            <w:rFonts w:cs="Arial"/>
          </w:rPr>
          <w:t>14</w:t>
        </w:r>
        <w:r>
          <w:rPr>
            <w:rFonts w:asciiTheme="minorHAnsi" w:eastAsiaTheme="minorEastAsia" w:hAnsiTheme="minorHAnsi"/>
            <w:kern w:val="2"/>
            <w:sz w:val="22"/>
            <w:szCs w:val="22"/>
            <w:lang w:eastAsia="en-IE"/>
            <w14:ligatures w14:val="standardContextual"/>
          </w:rPr>
          <w:tab/>
        </w:r>
        <w:r w:rsidRPr="00327921">
          <w:rPr>
            <w:rStyle w:val="Lienhypertexte"/>
            <w:rFonts w:cs="Arial"/>
          </w:rPr>
          <w:t>REGISTRATION FOR PUBLIC DISTRIBUTION AND LISTING</w:t>
        </w:r>
        <w:r>
          <w:rPr>
            <w:webHidden/>
          </w:rPr>
          <w:tab/>
        </w:r>
        <w:r>
          <w:rPr>
            <w:webHidden/>
          </w:rPr>
          <w:fldChar w:fldCharType="begin"/>
        </w:r>
        <w:r>
          <w:rPr>
            <w:webHidden/>
          </w:rPr>
          <w:instrText xml:space="preserve"> PAGEREF _Toc161244427 \h </w:instrText>
        </w:r>
        <w:r>
          <w:rPr>
            <w:webHidden/>
          </w:rPr>
        </w:r>
        <w:r>
          <w:rPr>
            <w:webHidden/>
          </w:rPr>
          <w:fldChar w:fldCharType="separate"/>
        </w:r>
        <w:r>
          <w:rPr>
            <w:webHidden/>
          </w:rPr>
          <w:t>11</w:t>
        </w:r>
        <w:r>
          <w:rPr>
            <w:webHidden/>
          </w:rPr>
          <w:fldChar w:fldCharType="end"/>
        </w:r>
      </w:hyperlink>
    </w:p>
    <w:p w14:paraId="57BC89D4" w14:textId="77777777" w:rsidR="005466ED" w:rsidRDefault="005466ED" w:rsidP="005466ED">
      <w:pPr>
        <w:pStyle w:val="TM1"/>
        <w:rPr>
          <w:rFonts w:asciiTheme="minorHAnsi" w:eastAsiaTheme="minorEastAsia" w:hAnsiTheme="minorHAnsi"/>
          <w:kern w:val="2"/>
          <w:sz w:val="22"/>
          <w:szCs w:val="22"/>
          <w:lang w:eastAsia="en-IE"/>
          <w14:ligatures w14:val="standardContextual"/>
        </w:rPr>
      </w:pPr>
      <w:hyperlink w:anchor="_Toc161244428" w:history="1">
        <w:r w:rsidRPr="00327921">
          <w:rPr>
            <w:rStyle w:val="Lienhypertexte"/>
            <w:rFonts w:cs="Arial"/>
          </w:rPr>
          <w:t>15</w:t>
        </w:r>
        <w:r>
          <w:rPr>
            <w:rFonts w:asciiTheme="minorHAnsi" w:eastAsiaTheme="minorEastAsia" w:hAnsiTheme="minorHAnsi"/>
            <w:kern w:val="2"/>
            <w:sz w:val="22"/>
            <w:szCs w:val="22"/>
            <w:lang w:eastAsia="en-IE"/>
            <w14:ligatures w14:val="standardContextual"/>
          </w:rPr>
          <w:tab/>
        </w:r>
        <w:r w:rsidRPr="00327921">
          <w:rPr>
            <w:rStyle w:val="Lienhypertexte"/>
            <w:rFonts w:cs="Arial"/>
          </w:rPr>
          <w:t>HOW TO BUY AND SELL SHARES</w:t>
        </w:r>
        <w:r>
          <w:rPr>
            <w:webHidden/>
          </w:rPr>
          <w:tab/>
        </w:r>
        <w:r>
          <w:rPr>
            <w:webHidden/>
          </w:rPr>
          <w:fldChar w:fldCharType="begin"/>
        </w:r>
        <w:r>
          <w:rPr>
            <w:webHidden/>
          </w:rPr>
          <w:instrText xml:space="preserve"> PAGEREF _Toc161244428 \h </w:instrText>
        </w:r>
        <w:r>
          <w:rPr>
            <w:webHidden/>
          </w:rPr>
        </w:r>
        <w:r>
          <w:rPr>
            <w:webHidden/>
          </w:rPr>
          <w:fldChar w:fldCharType="separate"/>
        </w:r>
        <w:r>
          <w:rPr>
            <w:webHidden/>
          </w:rPr>
          <w:t>11</w:t>
        </w:r>
        <w:r>
          <w:rPr>
            <w:webHidden/>
          </w:rPr>
          <w:fldChar w:fldCharType="end"/>
        </w:r>
      </w:hyperlink>
    </w:p>
    <w:p w14:paraId="7700795B" w14:textId="77777777" w:rsidR="005466ED" w:rsidRDefault="005466ED" w:rsidP="005466ED">
      <w:pPr>
        <w:pStyle w:val="TM1"/>
        <w:rPr>
          <w:rFonts w:asciiTheme="minorHAnsi" w:eastAsiaTheme="minorEastAsia" w:hAnsiTheme="minorHAnsi"/>
          <w:kern w:val="2"/>
          <w:sz w:val="22"/>
          <w:szCs w:val="22"/>
          <w:lang w:eastAsia="en-IE"/>
          <w14:ligatures w14:val="standardContextual"/>
        </w:rPr>
      </w:pPr>
      <w:hyperlink w:anchor="_Toc161244429" w:history="1">
        <w:r w:rsidRPr="00327921">
          <w:rPr>
            <w:rStyle w:val="Lienhypertexte"/>
            <w:rFonts w:cs="Arial"/>
          </w:rPr>
          <w:t>16</w:t>
        </w:r>
        <w:r>
          <w:rPr>
            <w:rFonts w:asciiTheme="minorHAnsi" w:eastAsiaTheme="minorEastAsia" w:hAnsiTheme="minorHAnsi"/>
            <w:kern w:val="2"/>
            <w:sz w:val="22"/>
            <w:szCs w:val="22"/>
            <w:lang w:eastAsia="en-IE"/>
            <w14:ligatures w14:val="standardContextual"/>
          </w:rPr>
          <w:tab/>
        </w:r>
        <w:r w:rsidRPr="00327921">
          <w:rPr>
            <w:rStyle w:val="Lienhypertexte"/>
            <w:rFonts w:cs="Arial"/>
          </w:rPr>
          <w:t>CLASSIFICATION AS AN EQUITY FUND FOR GERMAN TAX PURPOSES</w:t>
        </w:r>
        <w:r>
          <w:rPr>
            <w:webHidden/>
          </w:rPr>
          <w:tab/>
        </w:r>
        <w:r>
          <w:rPr>
            <w:webHidden/>
          </w:rPr>
          <w:fldChar w:fldCharType="begin"/>
        </w:r>
        <w:r>
          <w:rPr>
            <w:webHidden/>
          </w:rPr>
          <w:instrText xml:space="preserve"> PAGEREF _Toc161244429 \h </w:instrText>
        </w:r>
        <w:r>
          <w:rPr>
            <w:webHidden/>
          </w:rPr>
        </w:r>
        <w:r>
          <w:rPr>
            <w:webHidden/>
          </w:rPr>
          <w:fldChar w:fldCharType="separate"/>
        </w:r>
        <w:r>
          <w:rPr>
            <w:webHidden/>
          </w:rPr>
          <w:t>12</w:t>
        </w:r>
        <w:r>
          <w:rPr>
            <w:webHidden/>
          </w:rPr>
          <w:fldChar w:fldCharType="end"/>
        </w:r>
      </w:hyperlink>
    </w:p>
    <w:p w14:paraId="683C951D" w14:textId="77777777" w:rsidR="005466ED" w:rsidRDefault="005466ED" w:rsidP="005466ED">
      <w:pPr>
        <w:pStyle w:val="TM1"/>
        <w:rPr>
          <w:rFonts w:asciiTheme="minorHAnsi" w:eastAsiaTheme="minorEastAsia" w:hAnsiTheme="minorHAnsi"/>
          <w:kern w:val="2"/>
          <w:sz w:val="22"/>
          <w:szCs w:val="22"/>
          <w:lang w:eastAsia="en-IE"/>
          <w14:ligatures w14:val="standardContextual"/>
        </w:rPr>
      </w:pPr>
      <w:hyperlink w:anchor="_Toc161244430" w:history="1">
        <w:r w:rsidRPr="00327921">
          <w:rPr>
            <w:rStyle w:val="Lienhypertexte"/>
            <w:rFonts w:cs="Arial"/>
          </w:rPr>
          <w:t>17</w:t>
        </w:r>
        <w:r>
          <w:rPr>
            <w:rFonts w:asciiTheme="minorHAnsi" w:eastAsiaTheme="minorEastAsia" w:hAnsiTheme="minorHAnsi"/>
            <w:kern w:val="2"/>
            <w:sz w:val="22"/>
            <w:szCs w:val="22"/>
            <w:lang w:eastAsia="en-IE"/>
            <w14:ligatures w14:val="standardContextual"/>
          </w:rPr>
          <w:tab/>
        </w:r>
        <w:r w:rsidRPr="00327921">
          <w:rPr>
            <w:rStyle w:val="Lienhypertexte"/>
            <w:rFonts w:cs="Arial"/>
          </w:rPr>
          <w:t>OTHER INFORMATION</w:t>
        </w:r>
        <w:r>
          <w:rPr>
            <w:webHidden/>
          </w:rPr>
          <w:tab/>
        </w:r>
        <w:r>
          <w:rPr>
            <w:webHidden/>
          </w:rPr>
          <w:fldChar w:fldCharType="begin"/>
        </w:r>
        <w:r>
          <w:rPr>
            <w:webHidden/>
          </w:rPr>
          <w:instrText xml:space="preserve"> PAGEREF _Toc161244430 \h </w:instrText>
        </w:r>
        <w:r>
          <w:rPr>
            <w:webHidden/>
          </w:rPr>
        </w:r>
        <w:r>
          <w:rPr>
            <w:webHidden/>
          </w:rPr>
          <w:fldChar w:fldCharType="separate"/>
        </w:r>
        <w:r>
          <w:rPr>
            <w:webHidden/>
          </w:rPr>
          <w:t>12</w:t>
        </w:r>
        <w:r>
          <w:rPr>
            <w:webHidden/>
          </w:rPr>
          <w:fldChar w:fldCharType="end"/>
        </w:r>
      </w:hyperlink>
    </w:p>
    <w:p w14:paraId="77315984" w14:textId="77777777" w:rsidR="005466ED" w:rsidRPr="007B6A95" w:rsidRDefault="005466ED" w:rsidP="005466ED">
      <w:pPr>
        <w:pStyle w:val="TM1"/>
        <w:rPr>
          <w:rFonts w:asciiTheme="minorHAnsi" w:eastAsiaTheme="minorEastAsia" w:hAnsiTheme="minorHAnsi"/>
          <w:kern w:val="2"/>
          <w:sz w:val="22"/>
          <w:szCs w:val="22"/>
          <w:lang w:eastAsia="en-IE"/>
          <w14:ligatures w14:val="standardContextual"/>
        </w:rPr>
      </w:pPr>
      <w:hyperlink w:anchor="_Toc161244431" w:history="1">
        <w:r w:rsidRPr="007B6A95">
          <w:rPr>
            <w:rStyle w:val="Lienhypertexte"/>
            <w:b w:val="0"/>
            <w:bCs w:val="0"/>
          </w:rPr>
          <w:t>ANNEX</w:t>
        </w:r>
        <w:r w:rsidRPr="007B6A95">
          <w:rPr>
            <w:webHidden/>
          </w:rPr>
          <w:tab/>
        </w:r>
        <w:r w:rsidRPr="007B6A95">
          <w:rPr>
            <w:webHidden/>
          </w:rPr>
          <w:fldChar w:fldCharType="begin"/>
        </w:r>
        <w:r w:rsidRPr="007B6A95">
          <w:rPr>
            <w:webHidden/>
          </w:rPr>
          <w:instrText xml:space="preserve"> PAGEREF _Toc161244431 \h </w:instrText>
        </w:r>
        <w:r w:rsidRPr="007B6A95">
          <w:rPr>
            <w:webHidden/>
          </w:rPr>
        </w:r>
        <w:r w:rsidRPr="007B6A95">
          <w:rPr>
            <w:webHidden/>
          </w:rPr>
          <w:fldChar w:fldCharType="separate"/>
        </w:r>
        <w:r w:rsidRPr="007B6A95">
          <w:rPr>
            <w:webHidden/>
          </w:rPr>
          <w:t>13</w:t>
        </w:r>
        <w:r w:rsidRPr="007B6A95">
          <w:rPr>
            <w:webHidden/>
          </w:rPr>
          <w:fldChar w:fldCharType="end"/>
        </w:r>
      </w:hyperlink>
    </w:p>
    <w:p w14:paraId="3B4410F1" w14:textId="77777777" w:rsidR="005466ED" w:rsidRPr="002B6894" w:rsidRDefault="005466ED" w:rsidP="005466ED">
      <w:pPr>
        <w:suppressAutoHyphens/>
        <w:spacing w:after="240"/>
        <w:rPr>
          <w:rFonts w:cs="Arial"/>
          <w:b/>
          <w:lang w:val="en-GB"/>
        </w:rPr>
      </w:pPr>
      <w:r w:rsidRPr="002B6894">
        <w:rPr>
          <w:rFonts w:cs="Arial"/>
          <w:b/>
          <w:lang w:val="en-GB"/>
        </w:rPr>
        <w:fldChar w:fldCharType="end"/>
      </w:r>
    </w:p>
    <w:p w14:paraId="3D4ACE49" w14:textId="77777777" w:rsidR="005466ED" w:rsidRPr="002B6894" w:rsidRDefault="005466ED" w:rsidP="005466ED">
      <w:pPr>
        <w:spacing w:before="0"/>
        <w:jc w:val="left"/>
        <w:rPr>
          <w:rFonts w:cs="Arial"/>
          <w:b/>
          <w:lang w:val="en-GB"/>
        </w:rPr>
        <w:sectPr w:rsidR="005466ED" w:rsidRPr="002B6894" w:rsidSect="00CA1320">
          <w:pgSz w:w="11909" w:h="16834"/>
          <w:pgMar w:top="1134" w:right="1134" w:bottom="1134" w:left="1134" w:header="720" w:footer="432" w:gutter="0"/>
          <w:pgNumType w:start="1"/>
          <w:cols w:space="720"/>
          <w:docGrid w:linePitch="258"/>
        </w:sectPr>
      </w:pPr>
    </w:p>
    <w:p w14:paraId="79D88D19" w14:textId="77777777" w:rsidR="005466ED" w:rsidRPr="002B6894" w:rsidRDefault="005466ED" w:rsidP="005466ED">
      <w:pPr>
        <w:keepNext/>
        <w:numPr>
          <w:ilvl w:val="0"/>
          <w:numId w:val="3"/>
        </w:numPr>
        <w:jc w:val="left"/>
        <w:outlineLvl w:val="0"/>
        <w:rPr>
          <w:rFonts w:cs="Arial"/>
          <w:b/>
        </w:rPr>
      </w:pPr>
      <w:bookmarkStart w:id="1" w:name="_Toc161244414"/>
      <w:r w:rsidRPr="002B6894">
        <w:rPr>
          <w:rFonts w:cs="Arial"/>
          <w:b/>
          <w:caps/>
        </w:rPr>
        <w:t>IMPORTANT</w:t>
      </w:r>
      <w:r w:rsidRPr="002B6894">
        <w:rPr>
          <w:rFonts w:cs="Arial"/>
          <w:b/>
        </w:rPr>
        <w:t xml:space="preserve"> INFORMATION</w:t>
      </w:r>
      <w:bookmarkEnd w:id="1"/>
    </w:p>
    <w:p w14:paraId="03A9FC56" w14:textId="77777777" w:rsidR="005466ED" w:rsidRPr="005D7320" w:rsidRDefault="005466ED" w:rsidP="005466ED">
      <w:pPr>
        <w:pStyle w:val="ALGNo2"/>
        <w:rPr>
          <w:b/>
        </w:rPr>
      </w:pPr>
      <w:r w:rsidRPr="005D7320">
        <w:rPr>
          <w:b/>
        </w:rPr>
        <w:t>Profile of a typical investor</w:t>
      </w:r>
    </w:p>
    <w:p w14:paraId="2B421349" w14:textId="77777777" w:rsidR="005466ED" w:rsidRDefault="005466ED" w:rsidP="005466ED">
      <w:pPr>
        <w:pStyle w:val="ALGNo1"/>
        <w:numPr>
          <w:ilvl w:val="0"/>
          <w:numId w:val="0"/>
        </w:numPr>
        <w:ind w:left="624"/>
        <w:rPr>
          <w:lang w:val="en-GB"/>
        </w:rPr>
      </w:pPr>
      <w:r>
        <w:t xml:space="preserve">Investment in the Sub-Fund is suitable for investors seeking capital growth over the long term. </w:t>
      </w:r>
    </w:p>
    <w:p w14:paraId="20EA9929" w14:textId="77777777" w:rsidR="005466ED" w:rsidRDefault="005466ED" w:rsidP="005466ED">
      <w:pPr>
        <w:pStyle w:val="ALGNo1"/>
        <w:numPr>
          <w:ilvl w:val="0"/>
          <w:numId w:val="0"/>
        </w:numPr>
        <w:ind w:left="624"/>
      </w:pPr>
      <w:r>
        <w:t xml:space="preserve">The Sub-Fund is available to a wide range of investors seeking access to a portfolio </w:t>
      </w:r>
      <w:proofErr w:type="spellStart"/>
      <w:r>
        <w:t>managed</w:t>
      </w:r>
      <w:proofErr w:type="spellEnd"/>
      <w:r>
        <w:t xml:space="preserve"> in accordance with the investment objective and policy set out below.</w:t>
      </w:r>
      <w:r>
        <w:rPr>
          <w:color w:val="FF0000"/>
        </w:rPr>
        <w:t xml:space="preserve"> </w:t>
      </w:r>
      <w:r>
        <w:t>An investment should only be made by those persons who are able to sustain a loss on their investment. Typical investors in the Sub-Fund are expected to be investors who want to take exposure to the markets covered by the Sub-Fund's investment policy and are prepared to accept the risks associated with an investment of this type, including the volatility of such market.</w:t>
      </w:r>
    </w:p>
    <w:p w14:paraId="630271DD" w14:textId="77777777" w:rsidR="005466ED" w:rsidRPr="005D7320" w:rsidRDefault="005466ED" w:rsidP="005466ED">
      <w:pPr>
        <w:pStyle w:val="ALGNo2"/>
        <w:rPr>
          <w:b/>
          <w:lang w:val="en-GB"/>
        </w:rPr>
      </w:pPr>
      <w:r w:rsidRPr="005D7320">
        <w:rPr>
          <w:b/>
        </w:rPr>
        <w:t>General</w:t>
      </w:r>
    </w:p>
    <w:p w14:paraId="6FD71F6C" w14:textId="77777777" w:rsidR="005466ED" w:rsidRPr="002B6894" w:rsidRDefault="005466ED" w:rsidP="005466ED">
      <w:pPr>
        <w:pStyle w:val="ALGNo3"/>
        <w:numPr>
          <w:ilvl w:val="0"/>
          <w:numId w:val="0"/>
        </w:numPr>
        <w:ind w:left="567"/>
        <w:rPr>
          <w:rFonts w:cs="Arial"/>
          <w:b/>
          <w:i/>
          <w:lang w:val="en-GB"/>
        </w:rPr>
      </w:pPr>
      <w:r w:rsidRPr="002B6894">
        <w:rPr>
          <w:rFonts w:cs="Arial"/>
        </w:rPr>
        <w:t>This Supplement sets out information in relation to the Shares and the Sub-Fund. You must also refer to the Prospectus which is separate to this document and describes the ICAV and provides general information about offers of shares in the ICAV. You should not take any action in respect of the Shares unless you have received a copy of the Prospectus. Should there be any inconsistency between the contents of the Prospectus and this Supplement, the contents of this Supplement will, to the extent of any such inconsistency, prevail. This Supplement and the Prospectus should both be carefully read in their entirety before any investment decision with respect to Shares is made.</w:t>
      </w:r>
    </w:p>
    <w:p w14:paraId="2ADD60E8" w14:textId="77777777" w:rsidR="005466ED" w:rsidRPr="002B6894" w:rsidRDefault="005466ED" w:rsidP="005466ED">
      <w:pPr>
        <w:pStyle w:val="ALGNo3"/>
        <w:numPr>
          <w:ilvl w:val="0"/>
          <w:numId w:val="0"/>
        </w:numPr>
        <w:ind w:left="567"/>
        <w:rPr>
          <w:rFonts w:cs="Arial"/>
          <w:b/>
          <w:i/>
          <w:lang w:val="en-GB"/>
        </w:rPr>
      </w:pPr>
      <w:r w:rsidRPr="00BF2A6D">
        <w:rPr>
          <w:rFonts w:cs="Arial"/>
        </w:rPr>
        <w:t xml:space="preserve">The Shares in the ETF Classes (as defined below) of the Sub-Fund issued and available for issue are admitted to listing on the Official List and traded on the regulated market of Euronext Dublin. </w:t>
      </w:r>
    </w:p>
    <w:p w14:paraId="09DB62B3" w14:textId="77777777" w:rsidR="005466ED" w:rsidRPr="005D7320" w:rsidRDefault="005466ED" w:rsidP="005466ED">
      <w:pPr>
        <w:pStyle w:val="ALGNo2"/>
        <w:rPr>
          <w:b/>
          <w:lang w:val="en-GB"/>
        </w:rPr>
      </w:pPr>
      <w:r w:rsidRPr="005D7320">
        <w:rPr>
          <w:b/>
        </w:rPr>
        <w:t>Suitability of Investment</w:t>
      </w:r>
    </w:p>
    <w:p w14:paraId="40662C44" w14:textId="77777777" w:rsidR="005466ED" w:rsidRPr="002B6894" w:rsidRDefault="005466ED" w:rsidP="005466ED">
      <w:pPr>
        <w:pStyle w:val="ALGNo3"/>
        <w:numPr>
          <w:ilvl w:val="0"/>
          <w:numId w:val="0"/>
        </w:numPr>
        <w:ind w:left="624"/>
        <w:rPr>
          <w:rFonts w:cs="Arial"/>
          <w:b/>
          <w:i/>
          <w:lang w:val="en-GB"/>
        </w:rPr>
      </w:pPr>
      <w:r w:rsidRPr="002B6894">
        <w:rPr>
          <w:rFonts w:cs="Arial"/>
        </w:rPr>
        <w:t>You should inform yourself as to (a) the possible tax consequences, (b) the legal and regulatory requirements, (c) any foreign exchange restrictions or exchange control requirements and (d) any other requisite governmental or other consents or formalities which you might encounter under the laws of the country of your citizenship, residence or domicile and which might be relevant to your purchase, holding or disposal of the Shares.</w:t>
      </w:r>
    </w:p>
    <w:p w14:paraId="2ABD123C" w14:textId="77777777" w:rsidR="005466ED" w:rsidRPr="002B6894" w:rsidRDefault="005466ED" w:rsidP="005466ED">
      <w:pPr>
        <w:pStyle w:val="ALGNo3"/>
        <w:numPr>
          <w:ilvl w:val="0"/>
          <w:numId w:val="0"/>
        </w:numPr>
        <w:ind w:left="624"/>
        <w:rPr>
          <w:rFonts w:cs="Arial"/>
          <w:b/>
          <w:i/>
          <w:lang w:val="en-GB"/>
        </w:rPr>
      </w:pPr>
      <w:r w:rsidRPr="002B6894">
        <w:rPr>
          <w:rFonts w:cs="Arial"/>
        </w:rPr>
        <w:t xml:space="preserve">The Shares are not principal protected. The value of the Shares may go up or down and you may not get back the amount you have invested. See the section entitled Risk Factors of the Prospectus and the section entitled </w:t>
      </w:r>
      <w:r w:rsidRPr="00803380">
        <w:rPr>
          <w:rFonts w:cs="Arial"/>
          <w:b/>
        </w:rPr>
        <w:t>Risk Factors</w:t>
      </w:r>
      <w:r w:rsidRPr="002B6894">
        <w:rPr>
          <w:rFonts w:cs="Arial"/>
        </w:rPr>
        <w:t xml:space="preserve"> of this Supplement for a discussion of certain risks that should be considered by </w:t>
      </w:r>
      <w:r>
        <w:rPr>
          <w:rFonts w:cs="Arial"/>
        </w:rPr>
        <w:t>investors</w:t>
      </w:r>
      <w:r w:rsidRPr="002B6894">
        <w:rPr>
          <w:rFonts w:cs="Arial"/>
        </w:rPr>
        <w:t>.</w:t>
      </w:r>
    </w:p>
    <w:p w14:paraId="32713FFF" w14:textId="77777777" w:rsidR="005466ED" w:rsidRPr="002B6894" w:rsidRDefault="005466ED" w:rsidP="005466ED">
      <w:pPr>
        <w:pStyle w:val="ALGNo3"/>
        <w:numPr>
          <w:ilvl w:val="0"/>
          <w:numId w:val="0"/>
        </w:numPr>
        <w:ind w:left="624"/>
        <w:rPr>
          <w:rFonts w:cs="Arial"/>
          <w:b/>
          <w:i/>
          <w:lang w:val="en-GB"/>
        </w:rPr>
      </w:pPr>
      <w:r w:rsidRPr="002B6894">
        <w:rPr>
          <w:rFonts w:cs="Arial"/>
        </w:rPr>
        <w:t>An investment in the Shares is only suitable for you if you are a sophisticated investor and (either alone or with the help of an appropriate financial or other advisor) are able to assess the merits and risks of such an investment and have sufficient resources to be able to bear any losses that may result from such an investment. The contents of this document are not intended to contain and should not be regarded as containing advice relating to legal, taxation, investment or any other matters.</w:t>
      </w:r>
    </w:p>
    <w:p w14:paraId="3DB0D5F4" w14:textId="77777777" w:rsidR="005466ED" w:rsidRPr="005D7320" w:rsidRDefault="005466ED" w:rsidP="005466ED">
      <w:pPr>
        <w:pStyle w:val="ALGNo2"/>
        <w:rPr>
          <w:b/>
          <w:lang w:val="en-GB"/>
        </w:rPr>
      </w:pPr>
      <w:r w:rsidRPr="005D7320">
        <w:rPr>
          <w:b/>
        </w:rPr>
        <w:t>Distribution of this Supplement and Selling Restrictions</w:t>
      </w:r>
    </w:p>
    <w:p w14:paraId="440CD3F2" w14:textId="77777777" w:rsidR="005466ED" w:rsidRPr="002B6894" w:rsidRDefault="005466ED" w:rsidP="005466ED">
      <w:pPr>
        <w:pStyle w:val="Body1ALG"/>
        <w:rPr>
          <w:rFonts w:cs="Arial"/>
          <w:lang w:val="en-GB"/>
        </w:rPr>
      </w:pPr>
      <w:r w:rsidRPr="002B6894">
        <w:rPr>
          <w:rFonts w:cs="Arial"/>
        </w:rPr>
        <w:t>Distribution of this Supplement is not authorised unless accompanied by a copy of the Prospectus and is not authorised in any jurisdiction after publication of the audited annual report of the ICAV unless a copy of the then latest annual report and, if distributed after the semi-annual report has been produced, a copy of the then latest published semi-annual report and unaudited accounts is made available in conjunction with the Prospectus and this Supplement. The distribution of this Supplement and the offering or purchase of the Shares may be restricted in certain jurisdictions. If you receive a copy of this Supplement and/or the Prospectus you may not treat such document(s) as constituting an offer, invitation or solicitation to you to subscribe for any Shares unless, in the relevant jurisdiction, such an offer, invitation or solicitation could lawfully be made to you without compliance with any registration or other legal requirement other than those with which the ICAV has already complied. If you wish to apply for the opportunity to purchase any Shares it is your duty to inform yourself of, and to observe, all applicable laws and regulations of any relevant jurisdiction. In particular, you should inform yourself as to the legal requirements of so applying, and any applicable exchange control regulations and taxes in the countries of your respective citizenship, residence or domicile.</w:t>
      </w:r>
    </w:p>
    <w:p w14:paraId="3B2BD0BE" w14:textId="77777777" w:rsidR="005466ED" w:rsidRPr="002B6894" w:rsidRDefault="005466ED" w:rsidP="005466ED">
      <w:pPr>
        <w:keepNext/>
        <w:numPr>
          <w:ilvl w:val="0"/>
          <w:numId w:val="3"/>
        </w:numPr>
        <w:jc w:val="left"/>
        <w:outlineLvl w:val="0"/>
        <w:rPr>
          <w:rFonts w:cs="Arial"/>
          <w:b/>
        </w:rPr>
      </w:pPr>
      <w:bookmarkStart w:id="2" w:name="_Toc161244415"/>
      <w:r w:rsidRPr="002B6894">
        <w:rPr>
          <w:rFonts w:cs="Arial"/>
          <w:b/>
        </w:rPr>
        <w:t xml:space="preserve">INVESTMENT </w:t>
      </w:r>
      <w:r w:rsidRPr="002B6894">
        <w:rPr>
          <w:rFonts w:cs="Arial"/>
          <w:b/>
          <w:caps/>
        </w:rPr>
        <w:t>MANAGER</w:t>
      </w:r>
      <w:bookmarkEnd w:id="2"/>
    </w:p>
    <w:p w14:paraId="1AF3DD18" w14:textId="482C27A5" w:rsidR="005466ED" w:rsidRPr="002B6894" w:rsidRDefault="005466ED" w:rsidP="005466ED">
      <w:pPr>
        <w:pStyle w:val="ALGNo2"/>
        <w:rPr>
          <w:rFonts w:cs="Arial"/>
          <w:b/>
        </w:rPr>
      </w:pPr>
      <w:r w:rsidRPr="002B6894">
        <w:rPr>
          <w:rFonts w:cs="Arial"/>
        </w:rPr>
        <w:t xml:space="preserve">The Manager has appointed </w:t>
      </w:r>
      <w:r w:rsidR="00EB1929" w:rsidRPr="00EB1929">
        <w:rPr>
          <w:rFonts w:cs="Arial"/>
        </w:rPr>
        <w:t xml:space="preserve">ODDO BHF Asset Management SAS </w:t>
      </w:r>
      <w:r w:rsidRPr="002B6894">
        <w:rPr>
          <w:rFonts w:cs="Arial"/>
        </w:rPr>
        <w:t xml:space="preserve">as investment manager for the Sub-Fund (the </w:t>
      </w:r>
      <w:r w:rsidRPr="002B6894">
        <w:rPr>
          <w:rFonts w:cs="Arial"/>
          <w:b/>
        </w:rPr>
        <w:t>Investment Manager</w:t>
      </w:r>
      <w:r w:rsidRPr="002B6894">
        <w:rPr>
          <w:rFonts w:cs="Arial"/>
        </w:rPr>
        <w:t xml:space="preserve">) with a discretionary mandate pursuant to an investment management agreement dated </w:t>
      </w:r>
      <w:r w:rsidRPr="00651740">
        <w:rPr>
          <w:rFonts w:cs="Arial"/>
        </w:rPr>
        <w:t xml:space="preserve">[ • ] </w:t>
      </w:r>
      <w:r>
        <w:rPr>
          <w:rFonts w:cs="Arial"/>
        </w:rPr>
        <w:t xml:space="preserve">2025 </w:t>
      </w:r>
      <w:r w:rsidRPr="002B6894">
        <w:rPr>
          <w:rFonts w:cs="Arial"/>
        </w:rPr>
        <w:t>between the Manager and the Investment Manager (the</w:t>
      </w:r>
      <w:r w:rsidRPr="002B6894">
        <w:rPr>
          <w:rFonts w:cs="Arial"/>
          <w:b/>
        </w:rPr>
        <w:t xml:space="preserve"> Investment Management Agreement</w:t>
      </w:r>
      <w:r w:rsidRPr="002B6894">
        <w:rPr>
          <w:rFonts w:cs="Arial"/>
        </w:rPr>
        <w:t>) described under the heading Material Contracts below.</w:t>
      </w:r>
    </w:p>
    <w:p w14:paraId="1875B3EB" w14:textId="77777777" w:rsidR="005466ED" w:rsidRPr="00E35AAA" w:rsidRDefault="005466ED" w:rsidP="005466ED">
      <w:pPr>
        <w:pStyle w:val="ALGNo2"/>
        <w:rPr>
          <w:rFonts w:cs="Arial"/>
          <w:b/>
        </w:rPr>
      </w:pPr>
      <w:r w:rsidRPr="00427110">
        <w:rPr>
          <w:rFonts w:cs="Arial"/>
        </w:rPr>
        <w:t>U</w:t>
      </w:r>
      <w:r w:rsidRPr="00E35AAA">
        <w:rPr>
          <w:rFonts w:cs="Arial"/>
        </w:rPr>
        <w:t>nder the terms of the Investment Management Agreement, the Investment Manager provides, subject to the overall supervision and control of the Manager, investment management services to the Manager in respect of the Sub-Fund's portfolio of assets. It may delegate all or part of the investment management responsibilities to one or more sub-investment managers, may obtain the services of investment advisers on a non-discretionary basis and may obtain third party research advice with the fees in respect of any such delegation being paid by the Investment Manager out of its own fee.</w:t>
      </w:r>
    </w:p>
    <w:p w14:paraId="7683FBCF" w14:textId="77777777" w:rsidR="005466ED" w:rsidRPr="002B6894" w:rsidRDefault="005466ED" w:rsidP="005466ED">
      <w:pPr>
        <w:keepNext/>
        <w:numPr>
          <w:ilvl w:val="0"/>
          <w:numId w:val="3"/>
        </w:numPr>
        <w:jc w:val="left"/>
        <w:outlineLvl w:val="0"/>
        <w:rPr>
          <w:rFonts w:cs="Arial"/>
          <w:b/>
        </w:rPr>
      </w:pPr>
      <w:bookmarkStart w:id="3" w:name="_Toc161244416"/>
      <w:r w:rsidRPr="002B6894">
        <w:rPr>
          <w:rFonts w:cs="Arial"/>
          <w:b/>
        </w:rPr>
        <w:t>INVESTMENT OBJECTIVE AND POLICIES</w:t>
      </w:r>
      <w:bookmarkEnd w:id="3"/>
    </w:p>
    <w:p w14:paraId="4060324E" w14:textId="77777777" w:rsidR="005466ED" w:rsidRPr="002B6894" w:rsidRDefault="005466ED" w:rsidP="005466ED">
      <w:pPr>
        <w:pStyle w:val="ALGNo2"/>
        <w:rPr>
          <w:rFonts w:cs="Arial"/>
          <w:b/>
        </w:rPr>
      </w:pPr>
      <w:r w:rsidRPr="002B6894">
        <w:rPr>
          <w:rFonts w:cs="Arial"/>
          <w:b/>
        </w:rPr>
        <w:t>Investment objective</w:t>
      </w:r>
    </w:p>
    <w:p w14:paraId="4576A8C9" w14:textId="6425919A" w:rsidR="005466ED" w:rsidRDefault="005466ED" w:rsidP="005466ED">
      <w:pPr>
        <w:pStyle w:val="Body2ALG"/>
        <w:rPr>
          <w:rFonts w:cs="Arial"/>
        </w:rPr>
      </w:pPr>
      <w:r w:rsidRPr="007409DC">
        <w:rPr>
          <w:rFonts w:cs="Arial"/>
        </w:rPr>
        <w:t xml:space="preserve">The </w:t>
      </w:r>
      <w:r>
        <w:rPr>
          <w:rFonts w:cs="Arial"/>
        </w:rPr>
        <w:t>investment objective is</w:t>
      </w:r>
      <w:r w:rsidRPr="007409DC">
        <w:rPr>
          <w:rFonts w:cs="Arial"/>
        </w:rPr>
        <w:t xml:space="preserve"> to achieve </w:t>
      </w:r>
      <w:r>
        <w:rPr>
          <w:rFonts w:cs="Arial"/>
        </w:rPr>
        <w:t xml:space="preserve">long-term </w:t>
      </w:r>
      <w:r w:rsidRPr="007409DC">
        <w:rPr>
          <w:rFonts w:cs="Arial"/>
        </w:rPr>
        <w:t>capital growth</w:t>
      </w:r>
      <w:r>
        <w:rPr>
          <w:rFonts w:cs="Arial"/>
        </w:rPr>
        <w:t xml:space="preserve"> by investing in </w:t>
      </w:r>
      <w:r w:rsidRPr="000A1E4E">
        <w:rPr>
          <w:rFonts w:cs="Arial"/>
        </w:rPr>
        <w:t>a portfolio of</w:t>
      </w:r>
      <w:r w:rsidR="00AE0AA1">
        <w:rPr>
          <w:rFonts w:cs="Arial"/>
        </w:rPr>
        <w:t xml:space="preserve"> US </w:t>
      </w:r>
      <w:r w:rsidRPr="000A1E4E">
        <w:rPr>
          <w:rFonts w:cs="Arial"/>
        </w:rPr>
        <w:t>equity securitie</w:t>
      </w:r>
      <w:r w:rsidR="00E2146D">
        <w:rPr>
          <w:rFonts w:cs="Arial"/>
        </w:rPr>
        <w:t>s</w:t>
      </w:r>
      <w:r>
        <w:rPr>
          <w:rFonts w:cs="Arial"/>
        </w:rPr>
        <w:t xml:space="preserve">. </w:t>
      </w:r>
    </w:p>
    <w:p w14:paraId="743607AD" w14:textId="77777777" w:rsidR="005466ED" w:rsidRPr="002B6894" w:rsidRDefault="005466ED" w:rsidP="005466ED">
      <w:pPr>
        <w:pStyle w:val="ALGNo2"/>
        <w:rPr>
          <w:rFonts w:cs="Arial"/>
          <w:b/>
        </w:rPr>
      </w:pPr>
      <w:r w:rsidRPr="002B6894">
        <w:rPr>
          <w:rFonts w:cs="Arial"/>
          <w:b/>
        </w:rPr>
        <w:t>Investment policy</w:t>
      </w:r>
    </w:p>
    <w:p w14:paraId="57D15DD3" w14:textId="40AB8F18" w:rsidR="005466ED" w:rsidRDefault="005466ED" w:rsidP="005466ED">
      <w:pPr>
        <w:pStyle w:val="ALGNo3"/>
        <w:numPr>
          <w:ilvl w:val="0"/>
          <w:numId w:val="0"/>
        </w:numPr>
        <w:ind w:left="624"/>
        <w:rPr>
          <w:rFonts w:cs="Arial"/>
        </w:rPr>
      </w:pPr>
      <w:r w:rsidRPr="007409DC">
        <w:rPr>
          <w:rFonts w:cs="Arial"/>
        </w:rPr>
        <w:t>The Sub-Fund is actively managed</w:t>
      </w:r>
      <w:r>
        <w:rPr>
          <w:rFonts w:cs="Arial"/>
        </w:rPr>
        <w:t>,</w:t>
      </w:r>
      <w:r w:rsidRPr="007409DC">
        <w:rPr>
          <w:rFonts w:cs="Arial"/>
        </w:rPr>
        <w:t xml:space="preserve"> and</w:t>
      </w:r>
      <w:r>
        <w:rPr>
          <w:rFonts w:cs="Arial"/>
        </w:rPr>
        <w:t>,</w:t>
      </w:r>
      <w:r w:rsidRPr="007409DC">
        <w:rPr>
          <w:rFonts w:cs="Arial"/>
        </w:rPr>
        <w:t xml:space="preserve"> in order to achieve its investment objective, the Sub-Fund will invest, in a manner consistent with the UCITS Regulations and Central Bank requirements,</w:t>
      </w:r>
      <w:r w:rsidRPr="00E6105F">
        <w:rPr>
          <w:rFonts w:cs="Arial"/>
        </w:rPr>
        <w:t xml:space="preserve"> </w:t>
      </w:r>
      <w:r w:rsidRPr="007409DC">
        <w:rPr>
          <w:rFonts w:cs="Arial"/>
        </w:rPr>
        <w:t xml:space="preserve">at least </w:t>
      </w:r>
      <w:r>
        <w:rPr>
          <w:rFonts w:cs="Arial"/>
        </w:rPr>
        <w:t>7</w:t>
      </w:r>
      <w:r w:rsidRPr="007409DC">
        <w:rPr>
          <w:rFonts w:cs="Arial"/>
        </w:rPr>
        <w:t>0%</w:t>
      </w:r>
      <w:r>
        <w:rPr>
          <w:rFonts w:cs="Arial"/>
        </w:rPr>
        <w:t xml:space="preserve"> of its net assets</w:t>
      </w:r>
      <w:r w:rsidRPr="007409DC">
        <w:rPr>
          <w:rFonts w:cs="Arial"/>
        </w:rPr>
        <w:t xml:space="preserve"> in </w:t>
      </w:r>
      <w:r>
        <w:rPr>
          <w:rFonts w:cs="Arial"/>
        </w:rPr>
        <w:t>equities which are constituents of the S&amp;P 500</w:t>
      </w:r>
      <w:r w:rsidRPr="00A31738">
        <w:rPr>
          <w:rFonts w:cs="Arial"/>
        </w:rPr>
        <w:t xml:space="preserve"> Index (</w:t>
      </w:r>
      <w:r>
        <w:rPr>
          <w:rFonts w:cs="Arial"/>
        </w:rPr>
        <w:t>USD</w:t>
      </w:r>
      <w:r w:rsidRPr="00A31738">
        <w:rPr>
          <w:rFonts w:cs="Arial"/>
        </w:rPr>
        <w:t xml:space="preserve">, NR) (the </w:t>
      </w:r>
      <w:r w:rsidRPr="005D7320">
        <w:rPr>
          <w:b/>
        </w:rPr>
        <w:t>Benchmark</w:t>
      </w:r>
      <w:r w:rsidRPr="00A31738">
        <w:rPr>
          <w:rFonts w:cs="Arial"/>
        </w:rPr>
        <w:t>)</w:t>
      </w:r>
      <w:r>
        <w:rPr>
          <w:rFonts w:cs="Arial"/>
        </w:rPr>
        <w:t xml:space="preserve"> and up to 30% of its net assets in the equities of issuers whose registered office is not located in the </w:t>
      </w:r>
      <w:r w:rsidR="008245EF">
        <w:rPr>
          <w:rFonts w:cs="Arial"/>
        </w:rPr>
        <w:t>US</w:t>
      </w:r>
      <w:r>
        <w:rPr>
          <w:rFonts w:cs="Arial"/>
        </w:rPr>
        <w:t xml:space="preserve">. </w:t>
      </w:r>
    </w:p>
    <w:p w14:paraId="160949BD" w14:textId="5D8E1041" w:rsidR="005466ED" w:rsidRDefault="005466ED" w:rsidP="005466ED">
      <w:pPr>
        <w:pStyle w:val="ALGNo3"/>
        <w:numPr>
          <w:ilvl w:val="0"/>
          <w:numId w:val="0"/>
        </w:numPr>
        <w:ind w:left="624"/>
        <w:rPr>
          <w:rFonts w:cs="Arial"/>
        </w:rPr>
      </w:pPr>
      <w:r>
        <w:rPr>
          <w:rFonts w:cs="Arial"/>
        </w:rPr>
        <w:t xml:space="preserve">The Sub-Fund will invest no more than 10% of its net asset in issuers whose registered office is not located in a country of the </w:t>
      </w:r>
      <w:r w:rsidR="008245EF">
        <w:rPr>
          <w:rFonts w:cs="Arial"/>
        </w:rPr>
        <w:t>OECD</w:t>
      </w:r>
      <w:r>
        <w:rPr>
          <w:rFonts w:cs="Arial"/>
        </w:rPr>
        <w:t>.</w:t>
      </w:r>
    </w:p>
    <w:p w14:paraId="7D5E8237" w14:textId="4B521779" w:rsidR="005466ED" w:rsidRPr="007409DC" w:rsidRDefault="005466ED" w:rsidP="008B2AAB">
      <w:pPr>
        <w:pStyle w:val="ALGNo3"/>
        <w:numPr>
          <w:ilvl w:val="0"/>
          <w:numId w:val="0"/>
        </w:numPr>
        <w:ind w:left="624"/>
        <w:rPr>
          <w:rFonts w:cs="Arial"/>
        </w:rPr>
      </w:pPr>
      <w:r>
        <w:rPr>
          <w:rFonts w:cs="Arial"/>
        </w:rPr>
        <w:t xml:space="preserve">The Sub-Fund may invest up to 30% of its net assets in investment grade </w:t>
      </w:r>
      <w:r w:rsidR="008B2AAB">
        <w:rPr>
          <w:rFonts w:cs="Arial"/>
        </w:rPr>
        <w:t>fixed or floating rate bonds issued by corporate or sovereign issuers. An investment grade rating is a classification of</w:t>
      </w:r>
      <w:r w:rsidR="008B2AAB" w:rsidRPr="005D29C6">
        <w:rPr>
          <w:rFonts w:cs="Arial"/>
        </w:rPr>
        <w:t xml:space="preserve"> BBB- </w:t>
      </w:r>
      <w:r w:rsidR="008B2AAB">
        <w:rPr>
          <w:rFonts w:cs="Arial"/>
        </w:rPr>
        <w:t xml:space="preserve">or above </w:t>
      </w:r>
      <w:r w:rsidR="008B2AAB" w:rsidRPr="005D29C6">
        <w:rPr>
          <w:rFonts w:cs="Arial"/>
        </w:rPr>
        <w:t>by Standard &amp; Poor</w:t>
      </w:r>
      <w:r w:rsidR="008B2AAB">
        <w:rPr>
          <w:rFonts w:cs="Arial"/>
        </w:rPr>
        <w:t xml:space="preserve"> or the</w:t>
      </w:r>
      <w:r w:rsidR="008B2AAB" w:rsidRPr="005D29C6">
        <w:rPr>
          <w:rFonts w:cs="Arial"/>
        </w:rPr>
        <w:t xml:space="preserve"> deemed equivalent by the Investment Manager or the Investment Manager’s internal rating.</w:t>
      </w:r>
    </w:p>
    <w:p w14:paraId="2DB67EC7" w14:textId="77777777" w:rsidR="005466ED" w:rsidRDefault="005466ED" w:rsidP="005466ED">
      <w:pPr>
        <w:pStyle w:val="Body2ALG"/>
      </w:pPr>
      <w:r>
        <w:t xml:space="preserve">For the avoidance of doubt, investors should note that the Sub-Fund will not seek to track the performance of, or replicate, the Benchmark. Rather the Sub-Fund will provide exposure to a portfolio of equity securities issued by large and mid-capitalisation companies. </w:t>
      </w:r>
    </w:p>
    <w:p w14:paraId="4D2A6971" w14:textId="77777777" w:rsidR="005466ED" w:rsidRPr="00CC0BC6" w:rsidRDefault="005466ED" w:rsidP="005466ED">
      <w:pPr>
        <w:pStyle w:val="ALGNo3"/>
        <w:numPr>
          <w:ilvl w:val="0"/>
          <w:numId w:val="0"/>
        </w:numPr>
        <w:ind w:left="624"/>
        <w:rPr>
          <w:rFonts w:cs="Arial"/>
        </w:rPr>
      </w:pPr>
      <w:r w:rsidRPr="00CC0BC6">
        <w:rPr>
          <w:rFonts w:cs="Arial"/>
        </w:rPr>
        <w:t>The Sub-Fund may invest in ancillary liquid assets and money market instruments which may include bank deposits, certificates of deposit, commercial paper, floating rate notes and freely transferable promissory</w:t>
      </w:r>
      <w:r>
        <w:rPr>
          <w:rFonts w:cs="Arial"/>
        </w:rPr>
        <w:t xml:space="preserve"> </w:t>
      </w:r>
      <w:r w:rsidRPr="00CC0BC6">
        <w:rPr>
          <w:rFonts w:cs="Arial"/>
        </w:rPr>
        <w:t>notes.</w:t>
      </w:r>
    </w:p>
    <w:p w14:paraId="6F1BE306" w14:textId="77777777" w:rsidR="005466ED" w:rsidRDefault="005466ED" w:rsidP="005466ED">
      <w:pPr>
        <w:pStyle w:val="ALGNo3"/>
        <w:numPr>
          <w:ilvl w:val="0"/>
          <w:numId w:val="0"/>
        </w:numPr>
        <w:ind w:left="624"/>
        <w:rPr>
          <w:rFonts w:cs="Arial"/>
        </w:rPr>
      </w:pPr>
      <w:r w:rsidRPr="006C2CE5">
        <w:rPr>
          <w:rFonts w:cs="Arial"/>
        </w:rPr>
        <w:t>Investors should also note that the Sub-Fund may invest in ETFs established as collective investment schemes and authorised as UCITS in pursuit of its investment objective, subject to the investment restrictions outlined in the Prospectus.</w:t>
      </w:r>
    </w:p>
    <w:p w14:paraId="1BE14841" w14:textId="77777777" w:rsidR="005466ED" w:rsidRPr="00075CF4" w:rsidRDefault="005466ED" w:rsidP="005466ED">
      <w:pPr>
        <w:pStyle w:val="ALGNo3"/>
        <w:numPr>
          <w:ilvl w:val="0"/>
          <w:numId w:val="0"/>
        </w:numPr>
        <w:ind w:left="624"/>
        <w:rPr>
          <w:rFonts w:cs="Arial"/>
        </w:rPr>
      </w:pPr>
      <w:r w:rsidRPr="00075CF4">
        <w:rPr>
          <w:rFonts w:cs="Arial"/>
        </w:rPr>
        <w:t xml:space="preserve">The transferable securities, ancillary liquid assets, money market instruments and FDI (other than permitted unlisted investments) held by the Sub-Fund will be listed or traded on </w:t>
      </w:r>
      <w:r>
        <w:rPr>
          <w:rFonts w:cs="Arial"/>
        </w:rPr>
        <w:t xml:space="preserve">the Regulated Markets referred to in Appendix 1 of the Prospectus. </w:t>
      </w:r>
    </w:p>
    <w:p w14:paraId="2C9DAED2" w14:textId="77777777" w:rsidR="005466ED" w:rsidRDefault="005466ED" w:rsidP="005466ED">
      <w:pPr>
        <w:pStyle w:val="ALGNo2"/>
        <w:rPr>
          <w:rFonts w:cs="Arial"/>
          <w:b/>
          <w:lang w:val="en-GB"/>
        </w:rPr>
      </w:pPr>
      <w:r>
        <w:rPr>
          <w:rFonts w:cs="Arial"/>
          <w:b/>
          <w:lang w:val="en-GB"/>
        </w:rPr>
        <w:t>Investment Process</w:t>
      </w:r>
    </w:p>
    <w:p w14:paraId="16DB18DF" w14:textId="77777777" w:rsidR="00336B6E" w:rsidRDefault="005466ED" w:rsidP="005466ED">
      <w:pPr>
        <w:pStyle w:val="Body2ALG"/>
      </w:pPr>
      <w:r>
        <w:rPr>
          <w:lang w:val="en-GB"/>
        </w:rPr>
        <w:t>The</w:t>
      </w:r>
      <w:r w:rsidRPr="006258FE">
        <w:rPr>
          <w:lang w:val="en-GB"/>
        </w:rPr>
        <w:t xml:space="preserve"> selection of equity securities for the Sub-Fund is performed using the Investment Manager’s proprietary quantitative trend-following model. The quantitative model rates all </w:t>
      </w:r>
      <w:r w:rsidR="00336B6E">
        <w:rPr>
          <w:lang w:val="en-GB"/>
        </w:rPr>
        <w:t xml:space="preserve">in scope US </w:t>
      </w:r>
      <w:r>
        <w:rPr>
          <w:lang w:val="en-GB"/>
        </w:rPr>
        <w:t>equities</w:t>
      </w:r>
      <w:r w:rsidR="00336B6E">
        <w:rPr>
          <w:lang w:val="en-GB"/>
        </w:rPr>
        <w:t xml:space="preserve"> (being </w:t>
      </w:r>
      <w:r w:rsidR="00336B6E">
        <w:t xml:space="preserve">mainly comprised of </w:t>
      </w:r>
      <w:r w:rsidR="00336B6E">
        <w:rPr>
          <w:lang w:val="en-GB"/>
        </w:rPr>
        <w:t>the constituents of the Benchmark)</w:t>
      </w:r>
      <w:r w:rsidRPr="006258FE">
        <w:rPr>
          <w:lang w:val="en-GB"/>
        </w:rPr>
        <w:t xml:space="preserve"> </w:t>
      </w:r>
      <w:r w:rsidR="00336B6E">
        <w:rPr>
          <w:lang w:val="en-GB"/>
        </w:rPr>
        <w:t>using</w:t>
      </w:r>
      <w:r w:rsidRPr="006258FE">
        <w:rPr>
          <w:lang w:val="en-GB"/>
        </w:rPr>
        <w:t xml:space="preserve"> a momentum strategy </w:t>
      </w:r>
      <w:r w:rsidR="00336B6E">
        <w:rPr>
          <w:lang w:val="en-GB"/>
        </w:rPr>
        <w:t xml:space="preserve">(selecting equities which are performing well and expected to continue to do so) by </w:t>
      </w:r>
      <w:r w:rsidRPr="006258FE">
        <w:rPr>
          <w:lang w:val="en-GB"/>
        </w:rPr>
        <w:t xml:space="preserve">analysing extensive historical data to detect stable </w:t>
      </w:r>
      <w:r w:rsidR="00336B6E">
        <w:rPr>
          <w:lang w:val="en-GB"/>
        </w:rPr>
        <w:t xml:space="preserve">momentum </w:t>
      </w:r>
      <w:r w:rsidRPr="006258FE">
        <w:rPr>
          <w:lang w:val="en-GB"/>
        </w:rPr>
        <w:t>trends in the market.</w:t>
      </w:r>
      <w:r w:rsidR="00A11CC9" w:rsidRPr="00F055FF">
        <w:t xml:space="preserve"> </w:t>
      </w:r>
    </w:p>
    <w:p w14:paraId="38487386" w14:textId="6998C3BD" w:rsidR="005466ED" w:rsidRDefault="005466ED" w:rsidP="005466ED">
      <w:pPr>
        <w:pStyle w:val="Body2ALG"/>
        <w:rPr>
          <w:lang w:val="en-GB"/>
        </w:rPr>
      </w:pPr>
      <w:r w:rsidRPr="006258FE">
        <w:rPr>
          <w:lang w:val="en-GB"/>
        </w:rPr>
        <w:t xml:space="preserve">The portfolio construction process </w:t>
      </w:r>
      <w:r>
        <w:rPr>
          <w:lang w:val="en-GB"/>
        </w:rPr>
        <w:t>is optimised</w:t>
      </w:r>
      <w:r w:rsidRPr="006258FE">
        <w:rPr>
          <w:lang w:val="en-GB"/>
        </w:rPr>
        <w:t xml:space="preserve"> in order to build a high-momentum portfolio under various risk management constraints</w:t>
      </w:r>
      <w:r w:rsidR="00336B6E">
        <w:rPr>
          <w:lang w:val="en-GB"/>
        </w:rPr>
        <w:t xml:space="preserve"> (being … </w:t>
      </w:r>
      <w:r w:rsidR="00336B6E">
        <w:rPr>
          <w:rFonts w:cs="Arial"/>
        </w:rPr>
        <w:t xml:space="preserve"> </w:t>
      </w:r>
      <w:r w:rsidR="00336B6E" w:rsidRPr="00E87D3F">
        <w:rPr>
          <w:rFonts w:cs="Arial"/>
          <w:b/>
          <w:bCs/>
          <w:i/>
          <w:iCs/>
          <w:highlight w:val="yellow"/>
        </w:rPr>
        <w:t>[Oddo to elaborate]</w:t>
      </w:r>
      <w:r w:rsidR="00336B6E">
        <w:rPr>
          <w:rFonts w:cs="Arial"/>
        </w:rPr>
        <w:t>)</w:t>
      </w:r>
      <w:r w:rsidRPr="006258FE">
        <w:rPr>
          <w:lang w:val="en-GB"/>
        </w:rPr>
        <w:t xml:space="preserve">. </w:t>
      </w:r>
      <w:r w:rsidR="00336B6E">
        <w:rPr>
          <w:lang w:val="en-GB"/>
        </w:rPr>
        <w:t xml:space="preserve">The selected portfolio is then subject to the </w:t>
      </w:r>
      <w:r>
        <w:rPr>
          <w:lang w:val="en-GB"/>
        </w:rPr>
        <w:t>ESG investment process described below</w:t>
      </w:r>
      <w:r w:rsidRPr="006258FE">
        <w:rPr>
          <w:lang w:val="en-GB"/>
        </w:rPr>
        <w:t>.</w:t>
      </w:r>
    </w:p>
    <w:p w14:paraId="4E84AF39" w14:textId="77777777" w:rsidR="005466ED" w:rsidRDefault="005466ED" w:rsidP="005466ED">
      <w:pPr>
        <w:pStyle w:val="ALGNo2"/>
        <w:rPr>
          <w:rFonts w:cs="Arial"/>
          <w:b/>
        </w:rPr>
      </w:pPr>
      <w:r>
        <w:rPr>
          <w:rFonts w:cs="Arial"/>
          <w:b/>
        </w:rPr>
        <w:t xml:space="preserve">ESG </w:t>
      </w:r>
      <w:r w:rsidRPr="004E0040">
        <w:rPr>
          <w:rFonts w:cs="Arial"/>
          <w:b/>
        </w:rPr>
        <w:t>Investment Process</w:t>
      </w:r>
      <w:r>
        <w:rPr>
          <w:rFonts w:cs="Arial"/>
          <w:b/>
        </w:rPr>
        <w:t xml:space="preserve"> </w:t>
      </w:r>
    </w:p>
    <w:p w14:paraId="53430BDA" w14:textId="77777777" w:rsidR="005466ED" w:rsidRDefault="005466ED" w:rsidP="005466ED">
      <w:pPr>
        <w:pStyle w:val="ALGNo3"/>
        <w:numPr>
          <w:ilvl w:val="0"/>
          <w:numId w:val="0"/>
        </w:numPr>
        <w:ind w:left="624"/>
        <w:rPr>
          <w:rFonts w:cs="Arial"/>
          <w:bCs/>
        </w:rPr>
      </w:pPr>
      <w:bookmarkStart w:id="4" w:name="_Hlk172557404"/>
      <w:r>
        <w:rPr>
          <w:rFonts w:cs="Arial"/>
          <w:bCs/>
        </w:rPr>
        <w:t>T</w:t>
      </w:r>
      <w:r w:rsidRPr="00DA1DDB">
        <w:rPr>
          <w:rFonts w:cs="Arial"/>
          <w:bCs/>
        </w:rPr>
        <w:t xml:space="preserve">he </w:t>
      </w:r>
      <w:r>
        <w:rPr>
          <w:rFonts w:cs="Arial"/>
          <w:bCs/>
        </w:rPr>
        <w:t xml:space="preserve">Investment Manager will consider </w:t>
      </w:r>
      <w:r w:rsidRPr="00DA1DDB">
        <w:rPr>
          <w:rFonts w:cs="Arial"/>
          <w:bCs/>
        </w:rPr>
        <w:t>current and future sustainability activities of issuers and sustainability opportunities</w:t>
      </w:r>
      <w:r>
        <w:rPr>
          <w:rFonts w:cs="Arial"/>
          <w:bCs/>
        </w:rPr>
        <w:t>/</w:t>
      </w:r>
      <w:r w:rsidRPr="00DA1DDB">
        <w:rPr>
          <w:rFonts w:cs="Arial"/>
          <w:bCs/>
        </w:rPr>
        <w:t>risks when making investment decisions, as well as the</w:t>
      </w:r>
      <w:r>
        <w:rPr>
          <w:rFonts w:cs="Arial"/>
          <w:bCs/>
        </w:rPr>
        <w:t xml:space="preserve"> </w:t>
      </w:r>
      <w:r w:rsidRPr="00DA1DDB">
        <w:rPr>
          <w:rFonts w:cs="Arial"/>
          <w:bCs/>
        </w:rPr>
        <w:t>significant negative impact of investment decisions on sustainability factors. This is based on internal research and the use of data</w:t>
      </w:r>
      <w:r>
        <w:rPr>
          <w:rFonts w:cs="Arial"/>
          <w:bCs/>
        </w:rPr>
        <w:t xml:space="preserve"> </w:t>
      </w:r>
      <w:r w:rsidRPr="00DA1DDB">
        <w:rPr>
          <w:rFonts w:cs="Arial"/>
          <w:bCs/>
        </w:rPr>
        <w:t>and research from third parties.</w:t>
      </w:r>
    </w:p>
    <w:p w14:paraId="4E2A847C" w14:textId="5D809AB2" w:rsidR="005466ED" w:rsidRDefault="005466ED" w:rsidP="005466ED">
      <w:pPr>
        <w:pStyle w:val="ALGNo3"/>
        <w:numPr>
          <w:ilvl w:val="0"/>
          <w:numId w:val="0"/>
        </w:numPr>
        <w:ind w:left="624"/>
        <w:rPr>
          <w:rFonts w:cs="Arial"/>
          <w:bCs/>
        </w:rPr>
      </w:pPr>
      <w:r w:rsidRPr="006F04CF">
        <w:rPr>
          <w:rFonts w:cs="Arial"/>
          <w:bCs/>
        </w:rPr>
        <w:t xml:space="preserve">The Sub-Fund </w:t>
      </w:r>
      <w:r>
        <w:rPr>
          <w:rFonts w:cs="Arial"/>
          <w:bCs/>
        </w:rPr>
        <w:t>will</w:t>
      </w:r>
      <w:r w:rsidRPr="006F04CF">
        <w:rPr>
          <w:rFonts w:cs="Arial"/>
          <w:bCs/>
        </w:rPr>
        <w:t xml:space="preserve"> exclude </w:t>
      </w:r>
      <w:r>
        <w:rPr>
          <w:rFonts w:cs="Arial"/>
          <w:bCs/>
        </w:rPr>
        <w:t xml:space="preserve">securities </w:t>
      </w:r>
      <w:r w:rsidRPr="006F04CF">
        <w:rPr>
          <w:rFonts w:cs="Arial"/>
          <w:bCs/>
        </w:rPr>
        <w:t>on the basis of environmental, social and governance (</w:t>
      </w:r>
      <w:r w:rsidRPr="006F04CF">
        <w:rPr>
          <w:rFonts w:cs="Arial"/>
          <w:b/>
          <w:bCs/>
        </w:rPr>
        <w:t>ESG</w:t>
      </w:r>
      <w:r w:rsidRPr="006F04CF">
        <w:rPr>
          <w:rFonts w:cs="Arial"/>
          <w:bCs/>
        </w:rPr>
        <w:t>) criteria</w:t>
      </w:r>
      <w:r>
        <w:rPr>
          <w:rFonts w:cs="Arial"/>
          <w:bCs/>
        </w:rPr>
        <w:t>, using t</w:t>
      </w:r>
      <w:r w:rsidRPr="006F04CF">
        <w:rPr>
          <w:rFonts w:cs="Arial"/>
          <w:bCs/>
        </w:rPr>
        <w:t xml:space="preserve">he ESG ratings produced </w:t>
      </w:r>
      <w:r w:rsidRPr="009E670E">
        <w:rPr>
          <w:rFonts w:cs="Arial"/>
          <w:bCs/>
        </w:rPr>
        <w:t xml:space="preserve">and monitoring of controversies </w:t>
      </w:r>
      <w:r w:rsidRPr="006F04CF">
        <w:rPr>
          <w:rFonts w:cs="Arial"/>
          <w:bCs/>
        </w:rPr>
        <w:t xml:space="preserve">by MSCI (the </w:t>
      </w:r>
      <w:r w:rsidRPr="006F04CF">
        <w:rPr>
          <w:rFonts w:cs="Arial"/>
          <w:b/>
          <w:bCs/>
        </w:rPr>
        <w:t>MSCI ESG Rating</w:t>
      </w:r>
      <w:r w:rsidRPr="006F04CF">
        <w:rPr>
          <w:rFonts w:cs="Arial"/>
          <w:bCs/>
        </w:rPr>
        <w:t>)</w:t>
      </w:r>
      <w:r>
        <w:rPr>
          <w:rFonts w:cs="Arial"/>
          <w:bCs/>
        </w:rPr>
        <w:t xml:space="preserve"> or another </w:t>
      </w:r>
      <w:r w:rsidR="00C8370D">
        <w:rPr>
          <w:rFonts w:cs="Arial"/>
          <w:bCs/>
        </w:rPr>
        <w:t>source of information</w:t>
      </w:r>
      <w:r>
        <w:rPr>
          <w:rFonts w:cs="Arial"/>
          <w:bCs/>
        </w:rPr>
        <w:t xml:space="preserve"> deemed acceptable to the Investment Manager</w:t>
      </w:r>
      <w:r w:rsidRPr="006F04CF">
        <w:rPr>
          <w:rFonts w:cs="Arial"/>
          <w:bCs/>
        </w:rPr>
        <w:t xml:space="preserve">. </w:t>
      </w:r>
    </w:p>
    <w:p w14:paraId="5E809394" w14:textId="6CA94F7D" w:rsidR="00EB05C6" w:rsidRPr="006F04CF" w:rsidRDefault="00EB05C6" w:rsidP="005466ED">
      <w:pPr>
        <w:pStyle w:val="ALGNo3"/>
        <w:numPr>
          <w:ilvl w:val="0"/>
          <w:numId w:val="0"/>
        </w:numPr>
        <w:ind w:left="624"/>
        <w:rPr>
          <w:rFonts w:cs="Arial"/>
          <w:bCs/>
        </w:rPr>
      </w:pPr>
      <w:r w:rsidRPr="00BA049C">
        <w:rPr>
          <w:rFonts w:cs="Arial"/>
          <w:bCs/>
        </w:rPr>
        <w:t xml:space="preserve">MSCI ESG Ratings are designed to measure companies’ resilience to long-term, industry-specific ESG risks and opportunities. The MSCI ESG </w:t>
      </w:r>
      <w:r w:rsidR="00A44C57">
        <w:rPr>
          <w:rFonts w:cs="Arial"/>
          <w:bCs/>
        </w:rPr>
        <w:t>R</w:t>
      </w:r>
      <w:r w:rsidRPr="00BA049C">
        <w:rPr>
          <w:rFonts w:cs="Arial"/>
          <w:bCs/>
        </w:rPr>
        <w:t>ating methodology uses a rules-based methodology by assigning companies an industry-relative letter rating from AAA to CCC based on how well they manage these risks and opportunities relative their peers.</w:t>
      </w:r>
    </w:p>
    <w:p w14:paraId="50295E2A" w14:textId="44921929" w:rsidR="005466ED" w:rsidRPr="009E670E" w:rsidRDefault="005466ED" w:rsidP="00CC4F10">
      <w:pPr>
        <w:pStyle w:val="ALGNo3"/>
        <w:numPr>
          <w:ilvl w:val="0"/>
          <w:numId w:val="0"/>
        </w:numPr>
        <w:ind w:left="624"/>
        <w:rPr>
          <w:rFonts w:cs="Arial"/>
          <w:bCs/>
        </w:rPr>
      </w:pPr>
      <w:r>
        <w:rPr>
          <w:rFonts w:cs="Arial"/>
          <w:bCs/>
        </w:rPr>
        <w:t>Subject and as further defined in the ESG exclusion policy of the Investment Manager published on am.oddo-bhf.com</w:t>
      </w:r>
      <w:r w:rsidRPr="009E670E">
        <w:rPr>
          <w:rFonts w:cs="Arial"/>
          <w:bCs/>
        </w:rPr>
        <w:t>, the Sub-Fund will exclude issuers involved in the manufacture and distribution of non-conventional weapons</w:t>
      </w:r>
      <w:r w:rsidRPr="008C2E3E">
        <w:rPr>
          <w:rFonts w:cs="Arial"/>
          <w:bCs/>
        </w:rPr>
        <w:t>, tobacco</w:t>
      </w:r>
      <w:r w:rsidRPr="00F374A7">
        <w:t xml:space="preserve"> or of </w:t>
      </w:r>
      <w:r w:rsidRPr="009E670E">
        <w:rPr>
          <w:rFonts w:cs="Arial"/>
          <w:bCs/>
        </w:rPr>
        <w:t>coal development projects or infrastructure. Issuers in other controversial business sectors are excluded if a certain turnover threshold is exceeded. These include coal mining (5% of turnover or more than 8 million tons), coal-fired power generation (15% of production mix or installed capacity)</w:t>
      </w:r>
      <w:r w:rsidR="00CC4F10">
        <w:rPr>
          <w:rFonts w:cs="Arial"/>
          <w:bCs/>
        </w:rPr>
        <w:t xml:space="preserve">, </w:t>
      </w:r>
      <w:r w:rsidRPr="009E670E">
        <w:rPr>
          <w:rFonts w:cs="Arial"/>
          <w:bCs/>
        </w:rPr>
        <w:t>fossil fuel extraction</w:t>
      </w:r>
      <w:r w:rsidR="00001E04">
        <w:rPr>
          <w:rFonts w:cs="Arial"/>
          <w:bCs/>
        </w:rPr>
        <w:t xml:space="preserve"> </w:t>
      </w:r>
      <w:r w:rsidRPr="009E670E">
        <w:rPr>
          <w:rFonts w:cs="Arial"/>
          <w:bCs/>
        </w:rPr>
        <w:t>in the Arctic (10% o</w:t>
      </w:r>
      <w:r w:rsidR="00CC4F10">
        <w:rPr>
          <w:rFonts w:cs="Arial"/>
          <w:bCs/>
        </w:rPr>
        <w:t>f</w:t>
      </w:r>
      <w:r w:rsidRPr="009E670E">
        <w:rPr>
          <w:rFonts w:cs="Arial"/>
          <w:bCs/>
        </w:rPr>
        <w:t xml:space="preserve"> turnover)</w:t>
      </w:r>
      <w:r w:rsidR="00CC4F10">
        <w:rPr>
          <w:rFonts w:cs="Arial"/>
          <w:bCs/>
        </w:rPr>
        <w:t xml:space="preserve"> and palm oil production (5%</w:t>
      </w:r>
      <w:r w:rsidR="00930A5E">
        <w:rPr>
          <w:rFonts w:cs="Arial"/>
          <w:bCs/>
        </w:rPr>
        <w:t xml:space="preserve"> of turnover</w:t>
      </w:r>
      <w:r w:rsidR="00CC4F10">
        <w:rPr>
          <w:rFonts w:cs="Arial"/>
          <w:bCs/>
        </w:rPr>
        <w:t>) as well as any company involved in serious controversies link</w:t>
      </w:r>
      <w:r w:rsidR="00EE02E9">
        <w:rPr>
          <w:rFonts w:cs="Arial"/>
          <w:bCs/>
        </w:rPr>
        <w:t>ed</w:t>
      </w:r>
      <w:r w:rsidR="00CC4F10">
        <w:rPr>
          <w:rFonts w:cs="Arial"/>
          <w:bCs/>
        </w:rPr>
        <w:t xml:space="preserve"> to biodiversity. I</w:t>
      </w:r>
      <w:r w:rsidR="00CC4F10" w:rsidRPr="009E670E">
        <w:rPr>
          <w:rFonts w:cs="Arial"/>
          <w:bCs/>
        </w:rPr>
        <w:t>n addition, issuers from the following sectors are excluded if more than 5% of their revenue is generated from the exploration, production and use of unconventional oil and gas (shale oil/gas and oil sands). Issuers that significantly violate the principles of the U</w:t>
      </w:r>
      <w:r w:rsidR="00CC4F10">
        <w:rPr>
          <w:rFonts w:cs="Arial"/>
          <w:bCs/>
        </w:rPr>
        <w:t xml:space="preserve">nited </w:t>
      </w:r>
      <w:r w:rsidR="00CC4F10" w:rsidRPr="009E670E">
        <w:rPr>
          <w:rFonts w:cs="Arial"/>
          <w:bCs/>
        </w:rPr>
        <w:t>N</w:t>
      </w:r>
      <w:r w:rsidR="00CC4F10">
        <w:rPr>
          <w:rFonts w:cs="Arial"/>
          <w:bCs/>
        </w:rPr>
        <w:t>ations</w:t>
      </w:r>
      <w:r w:rsidR="00CC4F10" w:rsidRPr="009E670E">
        <w:rPr>
          <w:rFonts w:cs="Arial"/>
          <w:bCs/>
        </w:rPr>
        <w:t xml:space="preserve"> Global Compact (the </w:t>
      </w:r>
      <w:r w:rsidR="00CC4F10" w:rsidRPr="009E670E">
        <w:rPr>
          <w:rFonts w:cs="Arial"/>
          <w:b/>
          <w:bCs/>
        </w:rPr>
        <w:t>UNGC</w:t>
      </w:r>
      <w:r w:rsidR="00CC4F10" w:rsidRPr="009E670E">
        <w:rPr>
          <w:rFonts w:cs="Arial"/>
          <w:bCs/>
        </w:rPr>
        <w:t>) or</w:t>
      </w:r>
      <w:r w:rsidR="00CC4F10">
        <w:rPr>
          <w:rFonts w:cs="Arial"/>
          <w:bCs/>
        </w:rPr>
        <w:t xml:space="preserve"> the</w:t>
      </w:r>
      <w:r w:rsidR="00CC4F10" w:rsidRPr="009E670E">
        <w:rPr>
          <w:rFonts w:cs="Arial"/>
          <w:bCs/>
        </w:rPr>
        <w:t xml:space="preserve"> O</w:t>
      </w:r>
      <w:r w:rsidR="00CC4F10">
        <w:rPr>
          <w:rFonts w:cs="Arial"/>
          <w:bCs/>
        </w:rPr>
        <w:t xml:space="preserve">rganisation for </w:t>
      </w:r>
      <w:r w:rsidR="00CC4F10" w:rsidRPr="009E670E">
        <w:rPr>
          <w:rFonts w:cs="Arial"/>
          <w:bCs/>
        </w:rPr>
        <w:t>E</w:t>
      </w:r>
      <w:r w:rsidR="00CC4F10">
        <w:rPr>
          <w:rFonts w:cs="Arial"/>
          <w:bCs/>
        </w:rPr>
        <w:t xml:space="preserve">conomic </w:t>
      </w:r>
      <w:r w:rsidR="00CC4F10" w:rsidRPr="009E670E">
        <w:rPr>
          <w:rFonts w:cs="Arial"/>
          <w:bCs/>
        </w:rPr>
        <w:t>C</w:t>
      </w:r>
      <w:r w:rsidR="00CC4F10">
        <w:rPr>
          <w:rFonts w:cs="Arial"/>
          <w:bCs/>
        </w:rPr>
        <w:t xml:space="preserve">ooperation and </w:t>
      </w:r>
      <w:r w:rsidR="00CC4F10" w:rsidRPr="009E670E">
        <w:rPr>
          <w:rFonts w:cs="Arial"/>
          <w:bCs/>
        </w:rPr>
        <w:t>D</w:t>
      </w:r>
      <w:r w:rsidR="00CC4F10">
        <w:rPr>
          <w:rFonts w:cs="Arial"/>
          <w:bCs/>
        </w:rPr>
        <w:t>evelopment (</w:t>
      </w:r>
      <w:r w:rsidR="00CC4F10" w:rsidRPr="007155CB">
        <w:rPr>
          <w:rFonts w:cs="Arial"/>
          <w:b/>
        </w:rPr>
        <w:t>OECD</w:t>
      </w:r>
      <w:r w:rsidR="00CC4F10">
        <w:rPr>
          <w:rFonts w:cs="Arial"/>
          <w:bCs/>
        </w:rPr>
        <w:t>)</w:t>
      </w:r>
      <w:r w:rsidR="00CC4F10" w:rsidRPr="009E670E">
        <w:rPr>
          <w:rFonts w:cs="Arial"/>
          <w:bCs/>
        </w:rPr>
        <w:t xml:space="preserve"> Guidelines for</w:t>
      </w:r>
      <w:r w:rsidR="00CC4F10">
        <w:rPr>
          <w:rFonts w:cs="Arial"/>
          <w:bCs/>
        </w:rPr>
        <w:t xml:space="preserve"> </w:t>
      </w:r>
      <w:r w:rsidR="00CC4F10" w:rsidRPr="009E670E">
        <w:rPr>
          <w:rFonts w:cs="Arial"/>
          <w:bCs/>
        </w:rPr>
        <w:t>Multinational Enterprises</w:t>
      </w:r>
      <w:r w:rsidR="00CC4F10">
        <w:rPr>
          <w:rFonts w:cs="Arial"/>
          <w:bCs/>
        </w:rPr>
        <w:t xml:space="preserve"> </w:t>
      </w:r>
      <w:r w:rsidR="00CC4F10" w:rsidRPr="009E670E">
        <w:rPr>
          <w:rFonts w:cs="Arial"/>
          <w:bCs/>
        </w:rPr>
        <w:t xml:space="preserve">are also excluded. </w:t>
      </w:r>
      <w:r w:rsidR="00694388">
        <w:rPr>
          <w:rFonts w:cs="Arial"/>
          <w:bCs/>
        </w:rPr>
        <w:t>The Investment manager will rely on MSCI’s data to determine whether c</w:t>
      </w:r>
      <w:proofErr w:type="spellStart"/>
      <w:r w:rsidR="00936A0A">
        <w:rPr>
          <w:rFonts w:eastAsia="Arial" w:cs="Arial"/>
          <w:lang w:val="en-US"/>
        </w:rPr>
        <w:t>ompanies</w:t>
      </w:r>
      <w:proofErr w:type="spellEnd"/>
      <w:r w:rsidR="00936A0A">
        <w:rPr>
          <w:rFonts w:eastAsia="Arial" w:cs="Arial"/>
          <w:lang w:val="en-US"/>
        </w:rPr>
        <w:t xml:space="preserve"> </w:t>
      </w:r>
      <w:r w:rsidR="00694388">
        <w:rPr>
          <w:rFonts w:eastAsia="Arial" w:cs="Arial"/>
          <w:lang w:val="en-US"/>
        </w:rPr>
        <w:t>are</w:t>
      </w:r>
      <w:r w:rsidR="00936A0A">
        <w:rPr>
          <w:rFonts w:eastAsia="Arial" w:cs="Arial"/>
          <w:lang w:val="en-US"/>
        </w:rPr>
        <w:t xml:space="preserve"> considered to </w:t>
      </w:r>
      <w:r w:rsidR="00A13D6C">
        <w:rPr>
          <w:rFonts w:eastAsia="Arial" w:cs="Arial"/>
          <w:lang w:val="en-US"/>
        </w:rPr>
        <w:t xml:space="preserve">have </w:t>
      </w:r>
      <w:r w:rsidR="00936A0A" w:rsidRPr="00A11CC9">
        <w:rPr>
          <w:rFonts w:eastAsia="Arial" w:cs="Arial"/>
          <w:lang w:val="en-US"/>
        </w:rPr>
        <w:t>significantly violate</w:t>
      </w:r>
      <w:r w:rsidR="00A13D6C">
        <w:rPr>
          <w:rFonts w:eastAsia="Arial" w:cs="Arial"/>
          <w:lang w:val="en-US"/>
        </w:rPr>
        <w:t>d</w:t>
      </w:r>
      <w:r w:rsidR="00936A0A">
        <w:rPr>
          <w:rFonts w:eastAsia="Arial" w:cs="Arial"/>
          <w:lang w:val="en-US"/>
        </w:rPr>
        <w:t xml:space="preserve"> the UNGC </w:t>
      </w:r>
      <w:r w:rsidR="00A11CC9">
        <w:rPr>
          <w:rFonts w:eastAsia="Arial" w:cs="Arial"/>
          <w:lang w:val="en-US"/>
        </w:rPr>
        <w:t>principles and/</w:t>
      </w:r>
      <w:r w:rsidR="00936A0A">
        <w:rPr>
          <w:rFonts w:eastAsia="Arial" w:cs="Arial"/>
          <w:lang w:val="en-US"/>
        </w:rPr>
        <w:t>or OECD</w:t>
      </w:r>
      <w:r w:rsidR="00A11CC9">
        <w:rPr>
          <w:rFonts w:eastAsia="Arial" w:cs="Arial"/>
          <w:lang w:val="en-US"/>
        </w:rPr>
        <w:t xml:space="preserve"> Guidelines</w:t>
      </w:r>
      <w:r w:rsidR="00936A0A">
        <w:rPr>
          <w:rFonts w:eastAsia="Arial" w:cs="Arial"/>
          <w:lang w:val="en-US"/>
        </w:rPr>
        <w:t xml:space="preserve">. </w:t>
      </w:r>
    </w:p>
    <w:p w14:paraId="675DB8FE" w14:textId="40F109CA" w:rsidR="005466ED" w:rsidRPr="006F04CF" w:rsidRDefault="005466ED" w:rsidP="005466ED">
      <w:pPr>
        <w:pStyle w:val="ALGNo3"/>
        <w:numPr>
          <w:ilvl w:val="0"/>
          <w:numId w:val="0"/>
        </w:numPr>
        <w:ind w:left="624"/>
        <w:rPr>
          <w:rFonts w:cs="Arial"/>
          <w:bCs/>
        </w:rPr>
      </w:pPr>
      <w:r>
        <w:rPr>
          <w:rFonts w:cs="Arial"/>
          <w:bCs/>
        </w:rPr>
        <w:t xml:space="preserve">It is anticipated </w:t>
      </w:r>
      <w:r w:rsidR="00D91611" w:rsidRPr="00D91611">
        <w:rPr>
          <w:rFonts w:cs="Arial"/>
          <w:bCs/>
        </w:rPr>
        <w:t>that at least 90% of the Sub-Fund’s net asset</w:t>
      </w:r>
      <w:r w:rsidR="00D62129">
        <w:rPr>
          <w:rFonts w:cs="Arial"/>
          <w:bCs/>
        </w:rPr>
        <w:t>s will be</w:t>
      </w:r>
      <w:r w:rsidR="00D91611" w:rsidRPr="00D91611">
        <w:rPr>
          <w:rFonts w:cs="Arial"/>
          <w:bCs/>
        </w:rPr>
        <w:t xml:space="preserve"> invested in securities with an ESG rating (accounting for the weight of each security)</w:t>
      </w:r>
      <w:r w:rsidRPr="00D127D3">
        <w:rPr>
          <w:rFonts w:cs="Arial"/>
          <w:bCs/>
        </w:rPr>
        <w:t xml:space="preserve">. The Investment Manager will construct the portfolio with an average ESG </w:t>
      </w:r>
      <w:r w:rsidR="00D91611">
        <w:rPr>
          <w:rFonts w:cs="Arial"/>
          <w:bCs/>
        </w:rPr>
        <w:t>score</w:t>
      </w:r>
      <w:r w:rsidR="00D91611" w:rsidRPr="00D127D3">
        <w:rPr>
          <w:rFonts w:cs="Arial"/>
          <w:bCs/>
        </w:rPr>
        <w:t xml:space="preserve"> </w:t>
      </w:r>
      <w:r w:rsidRPr="00D127D3">
        <w:rPr>
          <w:rFonts w:cs="Arial"/>
          <w:bCs/>
        </w:rPr>
        <w:t xml:space="preserve">better than the average ESG </w:t>
      </w:r>
      <w:r w:rsidR="00D91611">
        <w:rPr>
          <w:rFonts w:cs="Arial"/>
          <w:bCs/>
        </w:rPr>
        <w:t>score</w:t>
      </w:r>
      <w:r w:rsidR="00D91611" w:rsidRPr="00D127D3">
        <w:rPr>
          <w:rFonts w:cs="Arial"/>
          <w:bCs/>
        </w:rPr>
        <w:t xml:space="preserve"> </w:t>
      </w:r>
      <w:r w:rsidRPr="00D127D3">
        <w:rPr>
          <w:rFonts w:cs="Arial"/>
          <w:bCs/>
        </w:rPr>
        <w:t xml:space="preserve">of the </w:t>
      </w:r>
      <w:r>
        <w:rPr>
          <w:rFonts w:cs="Arial"/>
          <w:bCs/>
        </w:rPr>
        <w:t>Benchmark</w:t>
      </w:r>
      <w:r w:rsidRPr="00D127D3">
        <w:rPr>
          <w:rFonts w:cs="Arial"/>
          <w:bCs/>
        </w:rPr>
        <w:t>.</w:t>
      </w:r>
      <w:r w:rsidR="002E07A9">
        <w:rPr>
          <w:rFonts w:cs="Arial"/>
          <w:bCs/>
        </w:rPr>
        <w:t xml:space="preserve"> </w:t>
      </w:r>
      <w:r w:rsidRPr="006F04CF">
        <w:rPr>
          <w:rFonts w:cs="Arial"/>
          <w:bCs/>
        </w:rPr>
        <w:t xml:space="preserve">This results in positive bias for issuers with lower sustainability risks, employing a best-in-class approach. </w:t>
      </w:r>
    </w:p>
    <w:p w14:paraId="118EC543" w14:textId="77777777" w:rsidR="005466ED" w:rsidRDefault="005466ED" w:rsidP="005466ED">
      <w:pPr>
        <w:pStyle w:val="ALGNo2"/>
        <w:rPr>
          <w:rFonts w:cs="Arial"/>
          <w:b/>
          <w:lang w:val="en-GB"/>
        </w:rPr>
      </w:pPr>
      <w:r>
        <w:rPr>
          <w:rFonts w:cs="Arial"/>
          <w:b/>
          <w:lang w:val="en-GB"/>
        </w:rPr>
        <w:t>Sustainability risks</w:t>
      </w:r>
    </w:p>
    <w:p w14:paraId="2D325EC7" w14:textId="77777777" w:rsidR="005466ED" w:rsidRPr="00F33CA2" w:rsidRDefault="005466ED" w:rsidP="005466ED">
      <w:pPr>
        <w:pStyle w:val="ALGNo3"/>
        <w:numPr>
          <w:ilvl w:val="0"/>
          <w:numId w:val="0"/>
        </w:numPr>
        <w:ind w:left="624"/>
        <w:rPr>
          <w:rFonts w:cs="Arial"/>
          <w:bCs/>
        </w:rPr>
      </w:pPr>
      <w:bookmarkStart w:id="5" w:name="_BPDCI_6"/>
      <w:bookmarkEnd w:id="4"/>
      <w:r>
        <w:t>The Sub-Fund promotes environmental and social characteristics and qualifies as a financial product subject to Article 8(1) of Regulation (EU) 2019/2088 of the European Parliament and of the Council of 27 November 2019 on sustainability-related disclosures in the financial services sector (as may be amended from time to time) (</w:t>
      </w:r>
      <w:r w:rsidRPr="005D7320">
        <w:t>SFDR</w:t>
      </w:r>
      <w:r>
        <w:t xml:space="preserve">). </w:t>
      </w:r>
      <w:bookmarkEnd w:id="5"/>
      <w:r>
        <w:t xml:space="preserve">The Sub-Fund promotes environmental characteristics by excluding companies involved in </w:t>
      </w:r>
      <w:r w:rsidRPr="006F04CF">
        <w:rPr>
          <w:rFonts w:cs="Arial"/>
          <w:bCs/>
        </w:rPr>
        <w:t xml:space="preserve">controversial business sectors if a certain turnover threshold is exceeded. </w:t>
      </w:r>
      <w:r w:rsidRPr="005D7320">
        <w:t>Please also refer to Environmental, Social and Governance</w:t>
      </w:r>
      <w:r>
        <w:t xml:space="preserve"> (</w:t>
      </w:r>
      <w:r w:rsidRPr="007A1664">
        <w:rPr>
          <w:b/>
          <w:bCs/>
        </w:rPr>
        <w:t>ESG</w:t>
      </w:r>
      <w:r>
        <w:t>)</w:t>
      </w:r>
      <w:r w:rsidRPr="005D7320">
        <w:t xml:space="preserve"> Standards under the section entitled Risk Factors of the Prospectus. Further disclosures in relation to the application of the SFDR are set out in the Annex to this Supplement.</w:t>
      </w:r>
      <w:r>
        <w:t xml:space="preserve"> </w:t>
      </w:r>
    </w:p>
    <w:p w14:paraId="006ABE0E" w14:textId="4D0B3FEF" w:rsidR="005466ED" w:rsidRDefault="005466ED" w:rsidP="005466ED">
      <w:pPr>
        <w:pStyle w:val="ALGNo2"/>
        <w:numPr>
          <w:ilvl w:val="0"/>
          <w:numId w:val="0"/>
        </w:numPr>
        <w:ind w:left="624"/>
      </w:pPr>
      <w:bookmarkStart w:id="6" w:name="_BPDCI_7"/>
      <w:r>
        <w:t>A sustainability risk in this context means an ESG event or condition that, if it occurs, could cause an actual or a potential material negative impact on the value of the investment (</w:t>
      </w:r>
      <w:r w:rsidRPr="004047E1">
        <w:rPr>
          <w:b/>
          <w:bCs/>
        </w:rPr>
        <w:t>Sustainability Risk</w:t>
      </w:r>
      <w:r>
        <w:t xml:space="preserve">). </w:t>
      </w:r>
      <w:bookmarkEnd w:id="6"/>
      <w:r w:rsidR="00A11CC9">
        <w:t>The Investment Manager integrates the consideration of Sustainability Risks into the investment process through the use of ESG ratings and application of mandatory exclusions.</w:t>
      </w:r>
    </w:p>
    <w:p w14:paraId="1A09D6AF" w14:textId="766C729C" w:rsidR="005466ED" w:rsidRPr="005D7320" w:rsidRDefault="00FD5D0D" w:rsidP="007A1664">
      <w:pPr>
        <w:pStyle w:val="ALGNo3"/>
        <w:numPr>
          <w:ilvl w:val="0"/>
          <w:numId w:val="0"/>
        </w:numPr>
        <w:ind w:left="624"/>
        <w:rPr>
          <w:b/>
        </w:rPr>
      </w:pPr>
      <w:r>
        <w:t>The</w:t>
      </w:r>
      <w:r w:rsidR="005466ED">
        <w:t xml:space="preserve"> Manager, in conjunction with the Investment Manager, has assessed the likely impacts of Sustainability Risks on the returns of the Sub-Fund, and considers it unlikely that Sustainability Risks will have a material impact on the returns of the Sub-Fund.</w:t>
      </w:r>
      <w:r w:rsidR="005466ED" w:rsidRPr="002B6894">
        <w:rPr>
          <w:rFonts w:cs="Arial"/>
          <w:b/>
        </w:rPr>
        <w:t xml:space="preserve"> </w:t>
      </w:r>
    </w:p>
    <w:p w14:paraId="067DC8E0" w14:textId="77777777" w:rsidR="005466ED" w:rsidRPr="00D20826" w:rsidRDefault="005466ED" w:rsidP="005466ED">
      <w:pPr>
        <w:pStyle w:val="ALGNo2"/>
        <w:rPr>
          <w:rFonts w:cs="Arial"/>
          <w:b/>
        </w:rPr>
      </w:pPr>
      <w:r w:rsidRPr="002B6894">
        <w:rPr>
          <w:rFonts w:cs="Arial"/>
          <w:b/>
        </w:rPr>
        <w:t>Use of financial derivative instruments and efficient portfolio management</w:t>
      </w:r>
    </w:p>
    <w:p w14:paraId="228FFB6D" w14:textId="671D7E2D" w:rsidR="005466ED" w:rsidRDefault="005466ED" w:rsidP="005466ED">
      <w:pPr>
        <w:pStyle w:val="ALGNo3"/>
        <w:numPr>
          <w:ilvl w:val="0"/>
          <w:numId w:val="0"/>
        </w:numPr>
        <w:ind w:left="624"/>
        <w:rPr>
          <w:rFonts w:cs="Arial"/>
        </w:rPr>
      </w:pPr>
      <w:r w:rsidRPr="002B6894">
        <w:rPr>
          <w:rFonts w:cs="Arial"/>
        </w:rPr>
        <w:t>Investors should note that the Sub-Fund may also invest in</w:t>
      </w:r>
      <w:r w:rsidR="00B66A7E">
        <w:rPr>
          <w:rFonts w:cs="Arial"/>
        </w:rPr>
        <w:t xml:space="preserve"> Financial Derivative Instruments (</w:t>
      </w:r>
      <w:r w:rsidRPr="00B66A7E">
        <w:rPr>
          <w:rFonts w:cs="Arial"/>
          <w:b/>
          <w:bCs/>
        </w:rPr>
        <w:t>FDIs</w:t>
      </w:r>
      <w:r w:rsidR="00B66A7E">
        <w:rPr>
          <w:rFonts w:cs="Arial"/>
        </w:rPr>
        <w:t>)</w:t>
      </w:r>
      <w:r w:rsidRPr="002B6894">
        <w:rPr>
          <w:rFonts w:cs="Arial"/>
        </w:rPr>
        <w:t xml:space="preserve"> for efficient portfolio management and/or hedging purposes. </w:t>
      </w:r>
      <w:r w:rsidRPr="006C010C">
        <w:rPr>
          <w:rFonts w:cs="Arial"/>
        </w:rPr>
        <w:t>The Sub-Fund may use FDIs such as futures, options</w:t>
      </w:r>
      <w:r>
        <w:rPr>
          <w:rFonts w:cs="Arial"/>
        </w:rPr>
        <w:t xml:space="preserve"> and</w:t>
      </w:r>
      <w:r w:rsidRPr="006C010C">
        <w:rPr>
          <w:rFonts w:cs="Arial"/>
        </w:rPr>
        <w:t xml:space="preserve"> forward contracts</w:t>
      </w:r>
      <w:r>
        <w:rPr>
          <w:rFonts w:cs="Arial"/>
        </w:rPr>
        <w:t xml:space="preserve"> </w:t>
      </w:r>
      <w:r w:rsidRPr="006C010C">
        <w:rPr>
          <w:rFonts w:cs="Arial"/>
        </w:rPr>
        <w:t xml:space="preserve">which are described in the section entitled </w:t>
      </w:r>
      <w:r w:rsidRPr="00D20826">
        <w:rPr>
          <w:rFonts w:cs="Arial"/>
          <w:b/>
          <w:bCs/>
        </w:rPr>
        <w:t xml:space="preserve">Use of </w:t>
      </w:r>
      <w:bookmarkStart w:id="7" w:name="_Hlk195172137"/>
      <w:r w:rsidRPr="00D20826">
        <w:rPr>
          <w:rFonts w:cs="Arial"/>
          <w:b/>
          <w:bCs/>
        </w:rPr>
        <w:t xml:space="preserve">Financial Derivative Instruments </w:t>
      </w:r>
      <w:bookmarkEnd w:id="7"/>
      <w:r w:rsidRPr="00D20826">
        <w:rPr>
          <w:rFonts w:cs="Arial"/>
          <w:b/>
          <w:bCs/>
        </w:rPr>
        <w:t xml:space="preserve">and Efficient Portfolio Management </w:t>
      </w:r>
      <w:r w:rsidRPr="006C010C">
        <w:rPr>
          <w:rFonts w:cs="Arial"/>
        </w:rPr>
        <w:t>in the Prospectus. This</w:t>
      </w:r>
      <w:r w:rsidRPr="002B6894">
        <w:rPr>
          <w:rFonts w:cs="Arial"/>
        </w:rPr>
        <w:t xml:space="preserve"> may on occasions lead to an increase in the risk profile of the Sub-Fund or result in a fluctuation in the expected level of volatility. Please see the section entitled </w:t>
      </w:r>
      <w:r w:rsidRPr="002B6894">
        <w:rPr>
          <w:rFonts w:cs="Arial"/>
          <w:b/>
        </w:rPr>
        <w:t>Risk Factors</w:t>
      </w:r>
      <w:r w:rsidRPr="002B6894">
        <w:rPr>
          <w:rFonts w:cs="Arial"/>
        </w:rPr>
        <w:t xml:space="preserve"> in the Prospectus in relation to such risks. </w:t>
      </w:r>
    </w:p>
    <w:p w14:paraId="08AD4FB8" w14:textId="77777777" w:rsidR="005466ED" w:rsidRPr="002B6894" w:rsidRDefault="005466ED" w:rsidP="005466ED">
      <w:pPr>
        <w:pStyle w:val="ALGNo3"/>
        <w:numPr>
          <w:ilvl w:val="0"/>
          <w:numId w:val="0"/>
        </w:numPr>
        <w:ind w:left="624"/>
        <w:rPr>
          <w:rFonts w:cs="Arial"/>
          <w:b/>
          <w:i/>
          <w:lang w:val="en-GB"/>
        </w:rPr>
      </w:pPr>
      <w:r w:rsidRPr="002B6894">
        <w:rPr>
          <w:rFonts w:cs="Arial"/>
        </w:rPr>
        <w:t xml:space="preserve">The Sub-Fund will employ the commitment approach to assess the Sub-Fund's global exposure and to ensure that the Sub-Fund's use of derivative instruments is within the limits specified by the Central Bank. Global exposure will be calculated daily. </w:t>
      </w:r>
      <w:bookmarkStart w:id="8" w:name="_Hlk195172122"/>
      <w:r>
        <w:rPr>
          <w:rFonts w:cs="Arial"/>
        </w:rPr>
        <w:t>T</w:t>
      </w:r>
      <w:r w:rsidRPr="002B6894">
        <w:rPr>
          <w:rFonts w:cs="Arial"/>
        </w:rPr>
        <w:t xml:space="preserve">he Sub-Fund </w:t>
      </w:r>
      <w:r>
        <w:rPr>
          <w:rFonts w:cs="Arial"/>
        </w:rPr>
        <w:t>will not be</w:t>
      </w:r>
      <w:r w:rsidRPr="002B6894">
        <w:rPr>
          <w:rFonts w:cs="Arial"/>
        </w:rPr>
        <w:t xml:space="preserve"> leveraged through the use of FDIs</w:t>
      </w:r>
      <w:bookmarkEnd w:id="8"/>
      <w:r>
        <w:rPr>
          <w:rFonts w:cs="Arial"/>
        </w:rPr>
        <w:t>.</w:t>
      </w:r>
      <w:r w:rsidRPr="00333D7C">
        <w:t xml:space="preserve"> </w:t>
      </w:r>
    </w:p>
    <w:p w14:paraId="7BD7E9C5" w14:textId="77777777" w:rsidR="005466ED" w:rsidRPr="002B6894" w:rsidRDefault="005466ED" w:rsidP="005466ED">
      <w:pPr>
        <w:pStyle w:val="ALGNo3"/>
        <w:numPr>
          <w:ilvl w:val="0"/>
          <w:numId w:val="0"/>
        </w:numPr>
        <w:ind w:left="624"/>
        <w:rPr>
          <w:rFonts w:cs="Arial"/>
          <w:b/>
          <w:i/>
          <w:lang w:val="en-GB"/>
        </w:rPr>
      </w:pPr>
      <w:r w:rsidRPr="002B6894">
        <w:rPr>
          <w:rFonts w:cs="Arial"/>
        </w:rPr>
        <w:t>Investment in FDIs is subject to the conditions and limits contained in the Central Bank UCITS Regulations issued by the Central Bank. Subject to these limits, the Sub-Fund may invest in FDIs dealt on any of the regulated markets set out in the list of Regulated Markets in Appendix 1 to the Prospectus (and/or over the counter FDIs (</w:t>
      </w:r>
      <w:r w:rsidRPr="00605D88">
        <w:rPr>
          <w:rFonts w:cs="Arial"/>
          <w:b/>
          <w:bCs/>
        </w:rPr>
        <w:t>OTCs</w:t>
      </w:r>
      <w:r w:rsidRPr="002B6894">
        <w:rPr>
          <w:rFonts w:cs="Arial"/>
        </w:rPr>
        <w:t xml:space="preserve">)) which will be used for investment, efficient portfolio management and/or for hedging purposes. </w:t>
      </w:r>
    </w:p>
    <w:p w14:paraId="25301B4C" w14:textId="77777777" w:rsidR="005466ED" w:rsidRPr="002B6894" w:rsidRDefault="005466ED" w:rsidP="005466ED">
      <w:pPr>
        <w:pStyle w:val="ALGNo3"/>
        <w:numPr>
          <w:ilvl w:val="0"/>
          <w:numId w:val="0"/>
        </w:numPr>
        <w:ind w:left="624"/>
        <w:rPr>
          <w:rFonts w:cs="Arial"/>
          <w:b/>
          <w:i/>
          <w:lang w:val="en-GB"/>
        </w:rPr>
      </w:pPr>
      <w:r w:rsidRPr="002B6894">
        <w:rPr>
          <w:rFonts w:cs="Arial"/>
        </w:rPr>
        <w:t>The ICAV employs a risk management process which enables it to accurately measure, monitor and manage at any time the various risks associated with FDIs and their contribution to the overall risk profile of the portfolio of assets of the Sub-Fund. The ICAV will, on request, provide supplementary information to Shareholders relating to the risk management methods employed, including the quantitative limits that are applied and any recent developments in the risk and yield characteristics of the main categories of investments. The Sub-Fund will only invest in FDIs in accordance with the risk management policy filed with the Central Bank.</w:t>
      </w:r>
    </w:p>
    <w:p w14:paraId="4194040F" w14:textId="77777777" w:rsidR="005466ED" w:rsidRPr="002B6894" w:rsidRDefault="005466ED" w:rsidP="005466ED">
      <w:pPr>
        <w:pStyle w:val="ALGNo3"/>
        <w:numPr>
          <w:ilvl w:val="0"/>
          <w:numId w:val="0"/>
        </w:numPr>
        <w:ind w:left="567"/>
        <w:rPr>
          <w:rFonts w:cs="Arial"/>
          <w:b/>
          <w:i/>
          <w:lang w:val="en-GB"/>
        </w:rPr>
      </w:pPr>
      <w:r w:rsidRPr="002B6894">
        <w:rPr>
          <w:rFonts w:cs="Arial"/>
        </w:rPr>
        <w:t xml:space="preserve">The Sub-Fund may invest in FDIs dealt over the counter provided that the counterparties to over-the-counter transactions are institutions subject to prudential supervision and belonging to categories approved by the Central Bank. </w:t>
      </w:r>
    </w:p>
    <w:p w14:paraId="666C77EF" w14:textId="77777777" w:rsidR="005466ED" w:rsidRPr="002B6894" w:rsidRDefault="005466ED" w:rsidP="005466ED">
      <w:pPr>
        <w:pStyle w:val="ALGNo3"/>
        <w:numPr>
          <w:ilvl w:val="0"/>
          <w:numId w:val="0"/>
        </w:numPr>
        <w:ind w:left="567"/>
        <w:rPr>
          <w:rFonts w:cs="Arial"/>
          <w:b/>
          <w:i/>
          <w:lang w:val="en-GB"/>
        </w:rPr>
      </w:pPr>
      <w:r w:rsidRPr="002B6894">
        <w:rPr>
          <w:rFonts w:cs="Arial"/>
        </w:rPr>
        <w:t xml:space="preserve">Position exposure to the underlying assets of FDIs, when combined where relevant with positions resulting from direct investments, may not exceed the investment limits set out in the Central Bank UCITS Regulations. </w:t>
      </w:r>
    </w:p>
    <w:p w14:paraId="6A41E669" w14:textId="77777777" w:rsidR="005466ED" w:rsidRPr="002B6894" w:rsidRDefault="005466ED" w:rsidP="005466ED">
      <w:pPr>
        <w:pStyle w:val="ALGNo3"/>
        <w:numPr>
          <w:ilvl w:val="0"/>
          <w:numId w:val="0"/>
        </w:numPr>
        <w:ind w:left="567"/>
        <w:rPr>
          <w:rFonts w:cs="Arial"/>
          <w:b/>
          <w:i/>
        </w:rPr>
      </w:pPr>
      <w:r w:rsidRPr="002B6894">
        <w:rPr>
          <w:rFonts w:cs="Arial"/>
        </w:rPr>
        <w:t xml:space="preserve">Please see the section entitled </w:t>
      </w:r>
      <w:r w:rsidRPr="002B6894">
        <w:rPr>
          <w:rFonts w:cs="Arial"/>
          <w:b/>
        </w:rPr>
        <w:t xml:space="preserve">Use of Financial Derivative Instruments and Efficient Portfolio Management </w:t>
      </w:r>
      <w:r w:rsidRPr="002B6894">
        <w:rPr>
          <w:rFonts w:cs="Arial"/>
        </w:rPr>
        <w:t>in the Prospectus in relation to FDI.</w:t>
      </w:r>
    </w:p>
    <w:p w14:paraId="48FCAA06" w14:textId="77777777" w:rsidR="005466ED" w:rsidRPr="002B6894" w:rsidRDefault="005466ED" w:rsidP="005466ED">
      <w:pPr>
        <w:keepNext/>
        <w:numPr>
          <w:ilvl w:val="0"/>
          <w:numId w:val="3"/>
        </w:numPr>
        <w:jc w:val="left"/>
        <w:outlineLvl w:val="0"/>
        <w:rPr>
          <w:rFonts w:cs="Arial"/>
          <w:b/>
        </w:rPr>
      </w:pPr>
      <w:bookmarkStart w:id="9" w:name="_Toc161244417"/>
      <w:r w:rsidRPr="002B6894">
        <w:rPr>
          <w:rFonts w:cs="Arial"/>
          <w:b/>
        </w:rPr>
        <w:t>PORTFOLIO TRANSPARENCY</w:t>
      </w:r>
      <w:bookmarkEnd w:id="9"/>
      <w:r w:rsidRPr="002B6894">
        <w:rPr>
          <w:rFonts w:cs="Arial"/>
          <w:b/>
        </w:rPr>
        <w:t xml:space="preserve"> </w:t>
      </w:r>
    </w:p>
    <w:p w14:paraId="20137E0D" w14:textId="4B0170A0" w:rsidR="005466ED" w:rsidRPr="002B6894" w:rsidRDefault="005466ED" w:rsidP="005466ED">
      <w:pPr>
        <w:pStyle w:val="Body1ALG"/>
        <w:rPr>
          <w:rFonts w:cs="Arial"/>
        </w:rPr>
      </w:pPr>
      <w:r w:rsidRPr="002B6894">
        <w:rPr>
          <w:rFonts w:cs="Arial"/>
          <w:color w:val="000000" w:themeColor="text1"/>
        </w:rPr>
        <w:t xml:space="preserve">Information about the Investments of the Sub-Fund shall be made available on a daily basis. The Sub-Fund will disclose on </w:t>
      </w:r>
      <w:hyperlink r:id="rId14" w:history="1">
        <w:r w:rsidRPr="002B6894">
          <w:rPr>
            <w:rStyle w:val="Lienhypertexte"/>
            <w:rFonts w:cs="Arial"/>
          </w:rPr>
          <w:t>www.HANetf.com</w:t>
        </w:r>
      </w:hyperlink>
      <w:r w:rsidRPr="002B6894">
        <w:rPr>
          <w:rFonts w:cs="Arial"/>
          <w:color w:val="000000" w:themeColor="text1"/>
        </w:rPr>
        <w:t xml:space="preserve"> at the start of each Business Day the identities and quantities of the securities and other assets held by it.</w:t>
      </w:r>
      <w:r w:rsidR="00CE5389" w:rsidRPr="002B6894">
        <w:rPr>
          <w:rFonts w:cs="Arial"/>
          <w:color w:val="000000" w:themeColor="text1"/>
        </w:rPr>
        <w:t xml:space="preserve"> </w:t>
      </w:r>
      <w:r w:rsidRPr="002B6894">
        <w:rPr>
          <w:rFonts w:cs="Arial"/>
          <w:color w:val="000000" w:themeColor="text1"/>
        </w:rPr>
        <w:t>The portfolio holdings will be based on information as of the close of business on the prior Business Day and/or trades that have been completed prior to the opening of business on that Business Day and that are expected to settle on that Business Day.</w:t>
      </w:r>
    </w:p>
    <w:p w14:paraId="26D77258" w14:textId="77777777" w:rsidR="005466ED" w:rsidRDefault="005466ED" w:rsidP="005466ED">
      <w:pPr>
        <w:keepNext/>
        <w:numPr>
          <w:ilvl w:val="0"/>
          <w:numId w:val="3"/>
        </w:numPr>
        <w:jc w:val="left"/>
        <w:outlineLvl w:val="0"/>
        <w:rPr>
          <w:rFonts w:cs="Arial"/>
          <w:b/>
        </w:rPr>
      </w:pPr>
      <w:bookmarkStart w:id="10" w:name="_Toc161244418"/>
      <w:bookmarkStart w:id="11" w:name="_Toc161244419"/>
      <w:r>
        <w:rPr>
          <w:rFonts w:cs="Arial"/>
          <w:b/>
        </w:rPr>
        <w:t>BENCHMARK</w:t>
      </w:r>
      <w:bookmarkEnd w:id="10"/>
    </w:p>
    <w:p w14:paraId="324A6798" w14:textId="77777777" w:rsidR="005466ED" w:rsidRPr="00682AC0" w:rsidRDefault="005466ED" w:rsidP="005466ED">
      <w:pPr>
        <w:pStyle w:val="Body2ALG"/>
      </w:pPr>
      <w:r>
        <w:t xml:space="preserve">The Sub-Fund is actively managed however, it will use the </w:t>
      </w:r>
      <w:r w:rsidRPr="005D7320">
        <w:t>Benchmark</w:t>
      </w:r>
      <w:r>
        <w:t xml:space="preserve"> for performance comparison purposes. T</w:t>
      </w:r>
      <w:r w:rsidRPr="00F055FF">
        <w:t xml:space="preserve">he </w:t>
      </w:r>
      <w:r>
        <w:t>Sub-</w:t>
      </w:r>
      <w:r w:rsidRPr="00F055FF">
        <w:t xml:space="preserve">Fund will not be managed to the Benchmark and may invest in securities not included in the Benchmark. Investment returns may deviate materially from the performance of the Benchmark. The </w:t>
      </w:r>
      <w:r>
        <w:t>Sub-</w:t>
      </w:r>
      <w:r w:rsidRPr="00F055FF">
        <w:t>Fund is monitored, but is not constrained, in reference to the Benchmark</w:t>
      </w:r>
      <w:r>
        <w:t xml:space="preserve">. </w:t>
      </w:r>
    </w:p>
    <w:p w14:paraId="6B7512F3" w14:textId="77777777" w:rsidR="005466ED" w:rsidRPr="002B6894" w:rsidRDefault="005466ED" w:rsidP="005466ED">
      <w:pPr>
        <w:keepNext/>
        <w:numPr>
          <w:ilvl w:val="0"/>
          <w:numId w:val="3"/>
        </w:numPr>
        <w:jc w:val="left"/>
        <w:outlineLvl w:val="0"/>
        <w:rPr>
          <w:rFonts w:cs="Arial"/>
          <w:b/>
        </w:rPr>
      </w:pPr>
      <w:r w:rsidRPr="002B6894">
        <w:rPr>
          <w:rFonts w:cs="Arial"/>
          <w:b/>
        </w:rPr>
        <w:t>INVESTMENT RESTRICTIONS</w:t>
      </w:r>
      <w:bookmarkEnd w:id="11"/>
    </w:p>
    <w:p w14:paraId="0564E13A" w14:textId="77777777" w:rsidR="005466ED" w:rsidRPr="002B6894" w:rsidRDefault="005466ED" w:rsidP="005466ED">
      <w:pPr>
        <w:pStyle w:val="Body1ALG"/>
        <w:rPr>
          <w:rFonts w:cs="Arial"/>
          <w:lang w:val="en-GB"/>
        </w:rPr>
      </w:pPr>
      <w:r w:rsidRPr="002B6894">
        <w:rPr>
          <w:rFonts w:cs="Arial"/>
        </w:rPr>
        <w:t xml:space="preserve">The general investment restrictions as set out in the Prospectus shall apply. </w:t>
      </w:r>
    </w:p>
    <w:p w14:paraId="0A2125BF" w14:textId="77777777" w:rsidR="005466ED" w:rsidRPr="002B6894" w:rsidRDefault="005466ED" w:rsidP="005466ED">
      <w:pPr>
        <w:pStyle w:val="Body1ALG"/>
        <w:rPr>
          <w:rFonts w:cs="Arial"/>
          <w:lang w:val="en-GB"/>
        </w:rPr>
      </w:pPr>
      <w:r w:rsidRPr="002B6894">
        <w:rPr>
          <w:rFonts w:cs="Arial"/>
        </w:rPr>
        <w:t>The Sub-Fund may not invest more than 10% of its Net Asset Value in open-ended collective investment schemes.</w:t>
      </w:r>
    </w:p>
    <w:p w14:paraId="34B1C24A" w14:textId="77777777" w:rsidR="005466ED" w:rsidRPr="002B6894" w:rsidRDefault="005466ED" w:rsidP="005466ED">
      <w:pPr>
        <w:pStyle w:val="Body1ALG"/>
        <w:rPr>
          <w:rFonts w:cs="Arial"/>
          <w:lang w:val="en-GB"/>
        </w:rPr>
      </w:pPr>
      <w:r w:rsidRPr="002B6894">
        <w:rPr>
          <w:rFonts w:cs="Arial"/>
        </w:rPr>
        <w:t>The Directors may from time to time impose such further investment restrictions as shall be compatible with or in the interests of Shareholders.</w:t>
      </w:r>
    </w:p>
    <w:p w14:paraId="227769AD" w14:textId="77777777" w:rsidR="005466ED" w:rsidRPr="002B6894" w:rsidRDefault="005466ED" w:rsidP="005466ED">
      <w:pPr>
        <w:keepNext/>
        <w:numPr>
          <w:ilvl w:val="0"/>
          <w:numId w:val="3"/>
        </w:numPr>
        <w:jc w:val="left"/>
        <w:outlineLvl w:val="0"/>
        <w:rPr>
          <w:rFonts w:cs="Arial"/>
          <w:b/>
        </w:rPr>
      </w:pPr>
      <w:bookmarkStart w:id="12" w:name="_Toc161244420"/>
      <w:r w:rsidRPr="002B6894">
        <w:rPr>
          <w:rFonts w:cs="Arial"/>
          <w:b/>
        </w:rPr>
        <w:t>BORROWING</w:t>
      </w:r>
      <w:bookmarkEnd w:id="12"/>
    </w:p>
    <w:p w14:paraId="5A1DCEB0" w14:textId="77777777" w:rsidR="005466ED" w:rsidRPr="002E1D9E" w:rsidRDefault="005466ED" w:rsidP="005466ED">
      <w:pPr>
        <w:pStyle w:val="ALGNo2"/>
        <w:keepNext/>
        <w:keepLines/>
        <w:numPr>
          <w:ilvl w:val="1"/>
          <w:numId w:val="9"/>
        </w:numPr>
        <w:rPr>
          <w:lang w:val="en-GB"/>
        </w:rPr>
      </w:pPr>
      <w:bookmarkStart w:id="13" w:name="_Toc161244421"/>
      <w:r w:rsidRPr="002E1D9E">
        <w:rPr>
          <w:rFonts w:cs="Arial"/>
          <w:color w:val="000000"/>
        </w:rPr>
        <w:t>The Sub-Fund may borrow money in an amount up to 10% of the market value of its net assets at any time</w:t>
      </w:r>
      <w:r w:rsidRPr="002B6894">
        <w:t xml:space="preserve"> for the account of the Sub-Fund and the Depositary may charge the assets of the Sub-Fund as security for any such borrowing, provided that such borrowing is only for temporary purposes. </w:t>
      </w:r>
    </w:p>
    <w:p w14:paraId="448F22A9" w14:textId="77777777" w:rsidR="005466ED" w:rsidRPr="002E1D9E" w:rsidRDefault="005466ED" w:rsidP="005466ED">
      <w:pPr>
        <w:pStyle w:val="ALGNo2"/>
        <w:keepNext/>
        <w:keepLines/>
        <w:numPr>
          <w:ilvl w:val="1"/>
          <w:numId w:val="9"/>
        </w:numPr>
        <w:rPr>
          <w:lang w:val="en-GB"/>
        </w:rPr>
      </w:pPr>
      <w:r w:rsidRPr="002B6894">
        <w:t>The Sub-Fund may acquire currency by means of a back-to-back loan agreement. Foreign currency obtained in this manner is not classified as borrowing for the purposes of the UCITS Regulations provided that the offsetting deposit is denominated in the Base Currency of the Sub-Fund and equals or exceeds the value of the foreign currency loan outstanding.</w:t>
      </w:r>
    </w:p>
    <w:p w14:paraId="42317660" w14:textId="77777777" w:rsidR="005466ED" w:rsidRPr="002B6894" w:rsidRDefault="005466ED" w:rsidP="005466ED">
      <w:pPr>
        <w:keepNext/>
        <w:numPr>
          <w:ilvl w:val="0"/>
          <w:numId w:val="3"/>
        </w:numPr>
        <w:jc w:val="left"/>
        <w:outlineLvl w:val="0"/>
        <w:rPr>
          <w:rFonts w:cs="Arial"/>
          <w:b/>
        </w:rPr>
      </w:pPr>
      <w:r w:rsidRPr="002B6894">
        <w:rPr>
          <w:rFonts w:cs="Arial"/>
          <w:b/>
        </w:rPr>
        <w:t>RISK FACTORS</w:t>
      </w:r>
      <w:bookmarkEnd w:id="13"/>
    </w:p>
    <w:p w14:paraId="7E971790" w14:textId="77777777" w:rsidR="005466ED" w:rsidRPr="00856395" w:rsidRDefault="005466ED" w:rsidP="005466ED">
      <w:pPr>
        <w:pStyle w:val="ALGNo2"/>
        <w:keepNext/>
        <w:keepLines/>
        <w:numPr>
          <w:ilvl w:val="1"/>
          <w:numId w:val="9"/>
        </w:numPr>
        <w:rPr>
          <w:rFonts w:cs="Arial"/>
          <w:b/>
        </w:rPr>
      </w:pPr>
      <w:r w:rsidRPr="002B6894">
        <w:rPr>
          <w:rFonts w:cs="Arial"/>
          <w:color w:val="000000"/>
        </w:rPr>
        <w:t>While the general risk factors set out in the section</w:t>
      </w:r>
      <w:r w:rsidRPr="002B6894">
        <w:rPr>
          <w:rFonts w:cs="Arial"/>
          <w:b/>
          <w:color w:val="000000"/>
        </w:rPr>
        <w:t xml:space="preserve"> </w:t>
      </w:r>
      <w:r w:rsidRPr="002B6894">
        <w:rPr>
          <w:rFonts w:cs="Arial"/>
          <w:color w:val="000000"/>
        </w:rPr>
        <w:t>entitled</w:t>
      </w:r>
      <w:r w:rsidRPr="002B6894">
        <w:rPr>
          <w:rFonts w:cs="Arial"/>
          <w:b/>
          <w:color w:val="000000"/>
        </w:rPr>
        <w:t xml:space="preserve"> Risk Factors</w:t>
      </w:r>
      <w:r w:rsidRPr="002B6894">
        <w:rPr>
          <w:rFonts w:cs="Arial"/>
          <w:color w:val="000000"/>
        </w:rPr>
        <w:t xml:space="preserve"> in the Prospectus apply to the Sub-Fund, the following risk factors described in the Prospectus under the headings </w:t>
      </w:r>
      <w:r>
        <w:rPr>
          <w:rFonts w:cs="Arial"/>
          <w:b/>
          <w:color w:val="000000"/>
        </w:rPr>
        <w:t>Secondary Market Trading Risk</w:t>
      </w:r>
      <w:r w:rsidRPr="002B6894">
        <w:rPr>
          <w:rFonts w:cs="Arial"/>
        </w:rPr>
        <w:t xml:space="preserve">, </w:t>
      </w:r>
      <w:r w:rsidRPr="002B6894">
        <w:rPr>
          <w:rFonts w:cs="Arial"/>
          <w:b/>
        </w:rPr>
        <w:t>Concentration Risk</w:t>
      </w:r>
      <w:r w:rsidRPr="002B6894">
        <w:rPr>
          <w:rFonts w:cs="Arial"/>
        </w:rPr>
        <w:t xml:space="preserve">, </w:t>
      </w:r>
      <w:r w:rsidRPr="005577DA">
        <w:rPr>
          <w:rFonts w:cs="Arial"/>
          <w:b/>
          <w:bCs/>
        </w:rPr>
        <w:t>Emerging Markets Risk</w:t>
      </w:r>
      <w:r>
        <w:rPr>
          <w:rFonts w:cs="Arial"/>
        </w:rPr>
        <w:t xml:space="preserve">, </w:t>
      </w:r>
      <w:r w:rsidRPr="002B6894">
        <w:rPr>
          <w:rFonts w:cs="Arial"/>
          <w:b/>
        </w:rPr>
        <w:t>Currency Risk,</w:t>
      </w:r>
      <w:r>
        <w:rPr>
          <w:rFonts w:cs="Arial"/>
          <w:b/>
        </w:rPr>
        <w:t xml:space="preserve"> </w:t>
      </w:r>
      <w:r w:rsidRPr="00A50F4C">
        <w:rPr>
          <w:rFonts w:cs="Arial"/>
          <w:b/>
          <w:bCs/>
        </w:rPr>
        <w:t>ETF Class and Non-ETF Class Risk</w:t>
      </w:r>
      <w:r>
        <w:rPr>
          <w:rFonts w:cs="Arial"/>
          <w:b/>
          <w:bCs/>
        </w:rPr>
        <w:t xml:space="preserve">, </w:t>
      </w:r>
      <w:r w:rsidRPr="00A50F4C">
        <w:rPr>
          <w:rFonts w:cs="Arial"/>
          <w:b/>
        </w:rPr>
        <w:t>Environmental, Social and Governance Standards</w:t>
      </w:r>
      <w:r>
        <w:rPr>
          <w:rFonts w:cs="Arial"/>
          <w:b/>
        </w:rPr>
        <w:t xml:space="preserve">, </w:t>
      </w:r>
      <w:r w:rsidRPr="00A50F4C">
        <w:rPr>
          <w:rFonts w:cs="Arial"/>
          <w:b/>
        </w:rPr>
        <w:t>SF</w:t>
      </w:r>
      <w:r>
        <w:rPr>
          <w:rFonts w:cs="Arial"/>
          <w:b/>
        </w:rPr>
        <w:t xml:space="preserve">DR Sub-Fund Classification Risk, </w:t>
      </w:r>
      <w:r w:rsidRPr="00A50F4C">
        <w:rPr>
          <w:rFonts w:cs="Arial"/>
          <w:b/>
        </w:rPr>
        <w:t>Screening Risk</w:t>
      </w:r>
      <w:r w:rsidRPr="00856395">
        <w:rPr>
          <w:rFonts w:cs="Arial"/>
          <w:b/>
          <w:color w:val="000000"/>
        </w:rPr>
        <w:t>, Liquidity of Investments</w:t>
      </w:r>
      <w:r w:rsidRPr="00856395">
        <w:rPr>
          <w:rFonts w:cs="Arial"/>
          <w:color w:val="000000"/>
        </w:rPr>
        <w:t xml:space="preserve">, </w:t>
      </w:r>
      <w:r w:rsidRPr="00856395">
        <w:rPr>
          <w:rFonts w:cs="Arial"/>
          <w:b/>
          <w:color w:val="000000"/>
        </w:rPr>
        <w:t>Small- and Mid-Capitalisation Risk, Political and/or Legal/Regulatory Risk,</w:t>
      </w:r>
      <w:r w:rsidRPr="00856395">
        <w:rPr>
          <w:rFonts w:cs="Arial"/>
          <w:color w:val="000000"/>
        </w:rPr>
        <w:t xml:space="preserve"> </w:t>
      </w:r>
      <w:r w:rsidRPr="00856395">
        <w:rPr>
          <w:rFonts w:cs="Arial"/>
          <w:b/>
          <w:color w:val="000000"/>
        </w:rPr>
        <w:t>Regulatory Restrictions</w:t>
      </w:r>
      <w:r>
        <w:rPr>
          <w:rFonts w:cs="Arial"/>
          <w:b/>
          <w:color w:val="000000"/>
        </w:rPr>
        <w:t xml:space="preserve">, </w:t>
      </w:r>
      <w:r w:rsidRPr="00856395">
        <w:rPr>
          <w:rFonts w:cs="Arial"/>
          <w:color w:val="000000"/>
        </w:rPr>
        <w:t>and</w:t>
      </w:r>
      <w:r w:rsidRPr="00856395">
        <w:rPr>
          <w:rFonts w:cs="Arial"/>
          <w:b/>
          <w:color w:val="000000"/>
        </w:rPr>
        <w:t xml:space="preserve"> Issuer-specific Risk are</w:t>
      </w:r>
      <w:r w:rsidRPr="00856395">
        <w:rPr>
          <w:rFonts w:cs="Arial"/>
          <w:color w:val="000000"/>
        </w:rPr>
        <w:t xml:space="preserve"> particularly relevant for the Sub-Fund.</w:t>
      </w:r>
    </w:p>
    <w:p w14:paraId="056FF597" w14:textId="77777777" w:rsidR="005466ED" w:rsidRPr="002B6894" w:rsidRDefault="005466ED" w:rsidP="005466ED">
      <w:pPr>
        <w:pStyle w:val="Body1ALG"/>
        <w:rPr>
          <w:rFonts w:cs="Arial"/>
          <w:lang w:eastAsia="en-GB"/>
        </w:rPr>
      </w:pPr>
      <w:r w:rsidRPr="002B6894">
        <w:rPr>
          <w:rFonts w:cs="Arial"/>
          <w:color w:val="000000"/>
        </w:rPr>
        <w:t>The following risks relate specifically to the Sub-Fund:</w:t>
      </w:r>
    </w:p>
    <w:p w14:paraId="332D4227" w14:textId="77777777" w:rsidR="005466ED" w:rsidRPr="005577DA" w:rsidRDefault="005466ED" w:rsidP="005466ED">
      <w:pPr>
        <w:pStyle w:val="ALGNo2"/>
        <w:keepNext/>
        <w:keepLines/>
        <w:numPr>
          <w:ilvl w:val="1"/>
          <w:numId w:val="15"/>
        </w:numPr>
        <w:outlineLvl w:val="1"/>
        <w:rPr>
          <w:rFonts w:cs="Arial"/>
          <w:b/>
          <w:bCs/>
        </w:rPr>
      </w:pPr>
      <w:bookmarkStart w:id="14" w:name="_Hlk47960522"/>
      <w:r w:rsidRPr="005577DA">
        <w:rPr>
          <w:rFonts w:cs="Arial"/>
          <w:b/>
          <w:bCs/>
        </w:rPr>
        <w:t xml:space="preserve">Investment Strategy Risk </w:t>
      </w:r>
    </w:p>
    <w:p w14:paraId="6A4F90A8" w14:textId="77777777" w:rsidR="005466ED" w:rsidRDefault="005466ED" w:rsidP="005466ED">
      <w:pPr>
        <w:keepNext/>
        <w:keepLines/>
        <w:ind w:left="624"/>
        <w:outlineLvl w:val="1"/>
        <w:rPr>
          <w:rFonts w:cs="Arial"/>
          <w:bCs/>
        </w:rPr>
      </w:pPr>
      <w:r w:rsidRPr="00ED1625">
        <w:rPr>
          <w:rFonts w:cs="Arial"/>
          <w:bCs/>
        </w:rPr>
        <w:t>Th</w:t>
      </w:r>
      <w:r>
        <w:rPr>
          <w:rFonts w:cs="Arial"/>
          <w:bCs/>
        </w:rPr>
        <w:t xml:space="preserve">ere is a risk that third party data provided by external data providers may be inaccurate. Sustainable investing may mitigate security-specific risk however the screens used in connection with sustainable investing reduce the investable universe, which may limit the opportunities and may increase the risk of loss during market declines. </w:t>
      </w:r>
    </w:p>
    <w:p w14:paraId="096D699B" w14:textId="77777777" w:rsidR="005466ED" w:rsidRDefault="005466ED" w:rsidP="005466ED">
      <w:pPr>
        <w:keepNext/>
        <w:keepLines/>
        <w:numPr>
          <w:ilvl w:val="1"/>
          <w:numId w:val="3"/>
        </w:numPr>
        <w:outlineLvl w:val="1"/>
        <w:rPr>
          <w:rFonts w:cs="Arial"/>
          <w:b/>
          <w:bCs/>
        </w:rPr>
      </w:pPr>
      <w:r w:rsidRPr="00EA29CE">
        <w:rPr>
          <w:rFonts w:cs="Arial"/>
          <w:b/>
          <w:bCs/>
        </w:rPr>
        <w:t>Active</w:t>
      </w:r>
      <w:r w:rsidRPr="00AD04BD">
        <w:rPr>
          <w:rFonts w:cs="Arial"/>
          <w:b/>
          <w:bCs/>
        </w:rPr>
        <w:t xml:space="preserve"> Management Risk</w:t>
      </w:r>
    </w:p>
    <w:p w14:paraId="45791A5A" w14:textId="77777777" w:rsidR="005466ED" w:rsidRDefault="005466ED" w:rsidP="005466ED">
      <w:pPr>
        <w:keepNext/>
        <w:keepLines/>
        <w:ind w:left="624"/>
        <w:outlineLvl w:val="1"/>
        <w:rPr>
          <w:rFonts w:cs="Arial"/>
          <w:bCs/>
        </w:rPr>
      </w:pPr>
      <w:r w:rsidRPr="00AD04BD">
        <w:rPr>
          <w:rFonts w:cs="Arial"/>
          <w:bCs/>
        </w:rPr>
        <w:t>The Sub-Fund’s assets will be actively managed by the Investment Manager who will have discretion (subject to the Sub-Fund’s investment restrictions) to invest the Sub-Fund’s assets in investments that it considers will enable the Sub-Fund to achieve its investment objective. There is no guarantee that the Sub-Fund’s investment objective will be achieved based on the investments selected.</w:t>
      </w:r>
      <w:r>
        <w:rPr>
          <w:rFonts w:cs="Arial"/>
          <w:bCs/>
        </w:rPr>
        <w:t xml:space="preserve"> </w:t>
      </w:r>
      <w:bookmarkEnd w:id="14"/>
    </w:p>
    <w:p w14:paraId="5027C99A" w14:textId="77777777" w:rsidR="00936A0A" w:rsidRPr="00622249" w:rsidRDefault="00936A0A" w:rsidP="00936A0A">
      <w:pPr>
        <w:pStyle w:val="ALGNo2"/>
        <w:keepNext/>
        <w:keepLines/>
        <w:numPr>
          <w:ilvl w:val="1"/>
          <w:numId w:val="15"/>
        </w:numPr>
        <w:outlineLvl w:val="1"/>
        <w:rPr>
          <w:rFonts w:cs="Arial"/>
          <w:bCs/>
        </w:rPr>
      </w:pPr>
      <w:r w:rsidRPr="00E1006A">
        <w:rPr>
          <w:rFonts w:eastAsia="Times New Roman"/>
          <w:b/>
          <w:bCs/>
          <w:sz w:val="20"/>
          <w:szCs w:val="20"/>
        </w:rPr>
        <w:t xml:space="preserve">Quantitative Model Risk </w:t>
      </w:r>
    </w:p>
    <w:p w14:paraId="216DF6AF" w14:textId="374D3058" w:rsidR="00936A0A" w:rsidRPr="00936A0A" w:rsidRDefault="00936A0A" w:rsidP="00936A0A">
      <w:pPr>
        <w:ind w:left="624"/>
        <w:rPr>
          <w:rFonts w:cs="Arial"/>
          <w:bCs/>
        </w:rPr>
      </w:pPr>
      <w:r w:rsidRPr="00936A0A">
        <w:rPr>
          <w:rFonts w:cs="Arial"/>
          <w:bCs/>
        </w:rPr>
        <w:t xml:space="preserve">There can be no assurance that the use of the quantitative model will result in the Sub-Fund achieving its investment objective. The Investment Manager will apply the model to </w:t>
      </w:r>
      <w:r w:rsidR="002E07A9">
        <w:rPr>
          <w:rFonts w:cs="Arial"/>
          <w:bCs/>
        </w:rPr>
        <w:t>in scope US equities</w:t>
      </w:r>
      <w:r w:rsidRPr="00936A0A">
        <w:rPr>
          <w:rFonts w:cs="Arial"/>
          <w:bCs/>
        </w:rPr>
        <w:t xml:space="preserve"> to construct the portfolio and to manage the overall portfolio risk. The final selection of companies for inclusion in the </w:t>
      </w:r>
      <w:r w:rsidR="002E07A9">
        <w:rPr>
          <w:rFonts w:cs="Arial"/>
          <w:bCs/>
        </w:rPr>
        <w:t>portfolio</w:t>
      </w:r>
      <w:r w:rsidRPr="00936A0A">
        <w:rPr>
          <w:rFonts w:cs="Arial"/>
          <w:bCs/>
        </w:rPr>
        <w:t xml:space="preserve"> will depend on a variety of factors, such as the quality and accuracy of data inputs and the successful integration of the quantitative models.</w:t>
      </w:r>
    </w:p>
    <w:p w14:paraId="129D53F8" w14:textId="77777777" w:rsidR="00936A0A" w:rsidRPr="00936A0A" w:rsidRDefault="00936A0A" w:rsidP="00936A0A">
      <w:pPr>
        <w:ind w:left="624"/>
        <w:rPr>
          <w:rFonts w:cs="Arial"/>
          <w:bCs/>
        </w:rPr>
      </w:pPr>
      <w:r w:rsidRPr="00936A0A">
        <w:rPr>
          <w:rFonts w:cs="Arial"/>
          <w:bCs/>
        </w:rPr>
        <w:t xml:space="preserve">Any errors or limitations in the systematic quantitative models may result in different outcomes to those anticipated by the Investment Manager. Such models that have been formulated on the basis of past market data may not be predictive of future price movements and may not be reliable if unusual or disruptive events cause market moves, the nature or size of which are inconsistent with the historic performance of individual markets. </w:t>
      </w:r>
    </w:p>
    <w:p w14:paraId="248652EB" w14:textId="179B8453" w:rsidR="00936A0A" w:rsidRPr="00936A0A" w:rsidRDefault="00936A0A" w:rsidP="00936A0A">
      <w:pPr>
        <w:kinsoku w:val="0"/>
        <w:overflowPunct w:val="0"/>
        <w:ind w:left="624"/>
        <w:outlineLvl w:val="0"/>
        <w:rPr>
          <w:rFonts w:cs="Arial"/>
          <w:bCs/>
        </w:rPr>
      </w:pPr>
      <w:r w:rsidRPr="00936A0A">
        <w:rPr>
          <w:rFonts w:cs="Arial"/>
          <w:bCs/>
        </w:rPr>
        <w:t>The use of the quantitative model techniques also present the risk that errors may go undetected for a long period of time. Such errors might never be detected or might be detected only after the Sub-Fund has sustained a loss (or reduced performance). Quantitative investment techniques also require timely and efficient execution of transactions as failure to do so may result in lost profits for the Sub-Fund.</w:t>
      </w:r>
    </w:p>
    <w:p w14:paraId="51F4CDA1" w14:textId="77777777" w:rsidR="005466ED" w:rsidRPr="001374A2" w:rsidRDefault="005466ED" w:rsidP="005466ED">
      <w:pPr>
        <w:keepNext/>
        <w:numPr>
          <w:ilvl w:val="0"/>
          <w:numId w:val="3"/>
        </w:numPr>
        <w:jc w:val="left"/>
        <w:outlineLvl w:val="0"/>
        <w:rPr>
          <w:rFonts w:cs="Arial"/>
          <w:b/>
        </w:rPr>
      </w:pPr>
      <w:bookmarkStart w:id="15" w:name="_BPDC_LN_INS_1005"/>
      <w:bookmarkStart w:id="16" w:name="_BPDC_PR_INS_1006"/>
      <w:bookmarkStart w:id="17" w:name="_BPDC_LN_INS_1003"/>
      <w:bookmarkStart w:id="18" w:name="_BPDC_PR_INS_1004"/>
      <w:bookmarkStart w:id="19" w:name="_BPDC_LN_INS_1001"/>
      <w:bookmarkStart w:id="20" w:name="_BPDC_PR_INS_1002"/>
      <w:bookmarkStart w:id="21" w:name="_Toc161244422"/>
      <w:bookmarkEnd w:id="15"/>
      <w:bookmarkEnd w:id="16"/>
      <w:bookmarkEnd w:id="17"/>
      <w:bookmarkEnd w:id="18"/>
      <w:bookmarkEnd w:id="19"/>
      <w:bookmarkEnd w:id="20"/>
      <w:r w:rsidRPr="002B6894">
        <w:rPr>
          <w:rFonts w:cs="Arial"/>
          <w:b/>
        </w:rPr>
        <w:t>DIVIDEND POLICY</w:t>
      </w:r>
      <w:bookmarkEnd w:id="21"/>
    </w:p>
    <w:p w14:paraId="378178A6" w14:textId="77777777" w:rsidR="005466ED" w:rsidRPr="002B6894" w:rsidRDefault="005466ED" w:rsidP="005466ED">
      <w:pPr>
        <w:pStyle w:val="Body1ALG"/>
        <w:rPr>
          <w:rFonts w:cs="Arial"/>
        </w:rPr>
      </w:pPr>
      <w:r w:rsidRPr="002B6894">
        <w:rPr>
          <w:rFonts w:cs="Arial"/>
        </w:rPr>
        <w:t>The Sub-Fund may issue Distributing Shares and Accumulating Shares. Where any Distributing Shares are issued, the Directors may declare dividends annually on or about December in each year to the Shareholders of such Shares out of the net income of the Sub-Fund attributable to the Distributing Shares, in accordance with the terms of the Prospectus. The profits attributable to the Accumulating Shares in the Sub-Fund shall be retained within the Sub-Fund and will be reflected in the Net Asset Value of the Accumulating Shares.</w:t>
      </w:r>
    </w:p>
    <w:p w14:paraId="7CFE4600" w14:textId="77777777" w:rsidR="005466ED" w:rsidRPr="00856395" w:rsidRDefault="005466ED" w:rsidP="005466ED">
      <w:pPr>
        <w:keepNext/>
        <w:numPr>
          <w:ilvl w:val="0"/>
          <w:numId w:val="3"/>
        </w:numPr>
        <w:jc w:val="left"/>
        <w:outlineLvl w:val="0"/>
        <w:rPr>
          <w:rFonts w:cs="Arial"/>
          <w:b/>
        </w:rPr>
      </w:pPr>
      <w:bookmarkStart w:id="22" w:name="_Toc161244423"/>
      <w:r w:rsidRPr="002B6894">
        <w:rPr>
          <w:rFonts w:cs="Arial"/>
          <w:b/>
        </w:rPr>
        <w:t>KEY INFORMATION FOR SHARE DEALING</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3813"/>
        <w:gridCol w:w="33"/>
        <w:gridCol w:w="3845"/>
      </w:tblGrid>
      <w:tr w:rsidR="005466ED" w:rsidRPr="00EA29CE" w14:paraId="1C59F848" w14:textId="77777777" w:rsidTr="00721AB4">
        <w:trPr>
          <w:trHeight w:val="543"/>
          <w:tblHeader/>
        </w:trPr>
        <w:tc>
          <w:tcPr>
            <w:tcW w:w="1006" w:type="pct"/>
            <w:shd w:val="clear" w:color="auto" w:fill="2CD5C4"/>
          </w:tcPr>
          <w:p w14:paraId="41D07C10" w14:textId="77777777" w:rsidR="005466ED" w:rsidRPr="00EA29CE" w:rsidRDefault="005466ED" w:rsidP="00721AB4">
            <w:pPr>
              <w:spacing w:after="80"/>
              <w:rPr>
                <w:rFonts w:cs="Arial"/>
                <w:b/>
                <w:bCs/>
                <w:lang w:val="en-GB"/>
              </w:rPr>
            </w:pPr>
          </w:p>
        </w:tc>
        <w:tc>
          <w:tcPr>
            <w:tcW w:w="1980" w:type="pct"/>
            <w:shd w:val="clear" w:color="auto" w:fill="2CD5C4"/>
          </w:tcPr>
          <w:p w14:paraId="76345AA2" w14:textId="77777777" w:rsidR="005466ED" w:rsidRPr="00EA29CE" w:rsidRDefault="005466ED" w:rsidP="00721AB4">
            <w:pPr>
              <w:spacing w:after="80"/>
              <w:rPr>
                <w:rFonts w:cs="Arial"/>
                <w:b/>
                <w:lang w:val="en-GB"/>
              </w:rPr>
            </w:pPr>
            <w:r w:rsidRPr="00EA29CE">
              <w:rPr>
                <w:rFonts w:cs="Arial"/>
                <w:b/>
                <w:lang w:val="en-GB"/>
              </w:rPr>
              <w:t>ETF Classes</w:t>
            </w:r>
          </w:p>
        </w:tc>
        <w:tc>
          <w:tcPr>
            <w:tcW w:w="2014" w:type="pct"/>
            <w:gridSpan w:val="2"/>
            <w:shd w:val="clear" w:color="auto" w:fill="2CD5C4"/>
          </w:tcPr>
          <w:p w14:paraId="5185FD79" w14:textId="77777777" w:rsidR="005466ED" w:rsidRPr="00EA29CE" w:rsidRDefault="005466ED" w:rsidP="00721AB4">
            <w:pPr>
              <w:spacing w:after="80"/>
              <w:rPr>
                <w:rFonts w:cs="Arial"/>
                <w:b/>
                <w:lang w:val="en-GB"/>
              </w:rPr>
            </w:pPr>
            <w:r w:rsidRPr="00EA29CE">
              <w:rPr>
                <w:rFonts w:cs="Arial"/>
                <w:b/>
                <w:lang w:val="en-GB"/>
              </w:rPr>
              <w:t>Non-ETF Classes</w:t>
            </w:r>
          </w:p>
        </w:tc>
      </w:tr>
      <w:tr w:rsidR="005466ED" w:rsidRPr="00EA29CE" w14:paraId="1C53884E" w14:textId="77777777" w:rsidTr="00721AB4">
        <w:trPr>
          <w:trHeight w:val="543"/>
          <w:tblHeader/>
        </w:trPr>
        <w:tc>
          <w:tcPr>
            <w:tcW w:w="1006" w:type="pct"/>
            <w:shd w:val="clear" w:color="auto" w:fill="auto"/>
          </w:tcPr>
          <w:p w14:paraId="42969628" w14:textId="77777777" w:rsidR="005466ED" w:rsidRPr="00EA29CE" w:rsidRDefault="005466ED" w:rsidP="00721AB4">
            <w:pPr>
              <w:spacing w:after="80"/>
              <w:rPr>
                <w:rFonts w:cs="Arial"/>
                <w:b/>
                <w:bCs/>
                <w:lang w:val="en-GB"/>
              </w:rPr>
            </w:pPr>
            <w:r w:rsidRPr="00EA29CE">
              <w:rPr>
                <w:rFonts w:cs="Arial"/>
                <w:b/>
                <w:bCs/>
                <w:lang w:val="en-GB"/>
              </w:rPr>
              <w:t xml:space="preserve">Base Currency  </w:t>
            </w:r>
          </w:p>
        </w:tc>
        <w:tc>
          <w:tcPr>
            <w:tcW w:w="3994" w:type="pct"/>
            <w:gridSpan w:val="3"/>
            <w:shd w:val="clear" w:color="auto" w:fill="auto"/>
          </w:tcPr>
          <w:p w14:paraId="260B589F" w14:textId="218DB664" w:rsidR="005466ED" w:rsidRPr="00EA29CE" w:rsidRDefault="005466ED" w:rsidP="00721AB4">
            <w:pPr>
              <w:spacing w:after="80"/>
              <w:rPr>
                <w:rFonts w:cs="Arial"/>
                <w:lang w:val="en-GB"/>
              </w:rPr>
            </w:pPr>
            <w:r>
              <w:rPr>
                <w:rFonts w:cs="Arial"/>
                <w:lang w:val="en-GB"/>
              </w:rPr>
              <w:t>USD</w:t>
            </w:r>
          </w:p>
        </w:tc>
      </w:tr>
      <w:tr w:rsidR="005466ED" w:rsidRPr="00EA29CE" w14:paraId="698F4853" w14:textId="77777777" w:rsidTr="00721AB4">
        <w:trPr>
          <w:trHeight w:val="543"/>
          <w:tblHeader/>
        </w:trPr>
        <w:tc>
          <w:tcPr>
            <w:tcW w:w="1006" w:type="pct"/>
            <w:shd w:val="clear" w:color="auto" w:fill="auto"/>
          </w:tcPr>
          <w:p w14:paraId="4BA0E92F" w14:textId="77777777" w:rsidR="005466ED" w:rsidRPr="00EA29CE" w:rsidRDefault="005466ED" w:rsidP="00721AB4">
            <w:pPr>
              <w:spacing w:after="80"/>
              <w:rPr>
                <w:rFonts w:cs="Arial"/>
                <w:b/>
                <w:bCs/>
                <w:lang w:val="en-GB"/>
              </w:rPr>
            </w:pPr>
            <w:r w:rsidRPr="00EA29CE">
              <w:rPr>
                <w:rFonts w:eastAsia="Times New Roman" w:cs="Arial"/>
                <w:b/>
              </w:rPr>
              <w:t>Minimum Sub-Fund Size</w:t>
            </w:r>
          </w:p>
        </w:tc>
        <w:tc>
          <w:tcPr>
            <w:tcW w:w="3994" w:type="pct"/>
            <w:gridSpan w:val="3"/>
            <w:shd w:val="clear" w:color="auto" w:fill="auto"/>
          </w:tcPr>
          <w:p w14:paraId="771E8989" w14:textId="718D59B8" w:rsidR="005466ED" w:rsidRPr="00EA29CE" w:rsidRDefault="005466ED" w:rsidP="00721AB4">
            <w:pPr>
              <w:spacing w:after="80"/>
              <w:rPr>
                <w:rFonts w:cs="Arial"/>
                <w:lang w:val="en-GB"/>
              </w:rPr>
            </w:pPr>
            <w:r w:rsidRPr="00EA29CE">
              <w:rPr>
                <w:rFonts w:eastAsia="Times New Roman" w:cs="Arial"/>
              </w:rPr>
              <w:t xml:space="preserve">The minimum size of the Sub-Fund will be </w:t>
            </w:r>
            <w:r>
              <w:rPr>
                <w:rFonts w:eastAsia="Times New Roman" w:cs="Arial"/>
              </w:rPr>
              <w:t>USD</w:t>
            </w:r>
            <w:r w:rsidR="00CE5389">
              <w:rPr>
                <w:rFonts w:eastAsia="Times New Roman" w:cs="Arial"/>
              </w:rPr>
              <w:t>$</w:t>
            </w:r>
            <w:r>
              <w:rPr>
                <w:rFonts w:eastAsia="Times New Roman" w:cs="Arial"/>
              </w:rPr>
              <w:t>[30</w:t>
            </w:r>
            <w:r w:rsidRPr="00EA29CE">
              <w:rPr>
                <w:rFonts w:eastAsia="Times New Roman" w:cs="Arial"/>
              </w:rPr>
              <w:t>,000,000</w:t>
            </w:r>
            <w:r>
              <w:rPr>
                <w:rFonts w:eastAsia="Times New Roman" w:cs="Arial"/>
              </w:rPr>
              <w:t>]</w:t>
            </w:r>
            <w:r w:rsidRPr="00EA29CE">
              <w:rPr>
                <w:rFonts w:eastAsia="Times New Roman" w:cs="Arial"/>
              </w:rPr>
              <w:t xml:space="preserve"> or foreign currency equivalent thereof or such other amount as may be determined by the Directors at their discretion. When the size of the Sub-Fund is below </w:t>
            </w:r>
            <w:r>
              <w:rPr>
                <w:rFonts w:eastAsia="Times New Roman" w:cs="Arial"/>
              </w:rPr>
              <w:t>USD</w:t>
            </w:r>
            <w:r w:rsidR="00CE5389">
              <w:rPr>
                <w:rFonts w:eastAsia="Times New Roman" w:cs="Arial"/>
              </w:rPr>
              <w:t>$</w:t>
            </w:r>
            <w:r>
              <w:rPr>
                <w:rFonts w:eastAsia="Times New Roman" w:cs="Arial"/>
              </w:rPr>
              <w:t>[30</w:t>
            </w:r>
            <w:r w:rsidRPr="00EA29CE">
              <w:rPr>
                <w:rFonts w:eastAsia="Times New Roman" w:cs="Arial"/>
              </w:rPr>
              <w:t>,000,000</w:t>
            </w:r>
            <w:r>
              <w:rPr>
                <w:rFonts w:eastAsia="Times New Roman" w:cs="Arial"/>
              </w:rPr>
              <w:t>]</w:t>
            </w:r>
            <w:r w:rsidRPr="00EA29CE">
              <w:rPr>
                <w:rFonts w:eastAsia="Times New Roman" w:cs="Arial"/>
              </w:rPr>
              <w:t xml:space="preserve"> or foreign currency equivalent, the Directors of the ICAV may compulsorily redeem all of the Shares of the Sub-Fund in accordance with the </w:t>
            </w:r>
            <w:r w:rsidRPr="00EA29CE">
              <w:rPr>
                <w:rFonts w:eastAsia="Times New Roman" w:cs="Arial"/>
                <w:b/>
              </w:rPr>
              <w:t>Mandatory Redemptions</w:t>
            </w:r>
            <w:r w:rsidRPr="00EA29CE">
              <w:rPr>
                <w:rFonts w:eastAsia="Times New Roman" w:cs="Arial"/>
              </w:rPr>
              <w:t xml:space="preserve"> section of the Prospectus.</w:t>
            </w:r>
          </w:p>
        </w:tc>
      </w:tr>
      <w:tr w:rsidR="005466ED" w:rsidRPr="00EA29CE" w14:paraId="52427C4F" w14:textId="77777777" w:rsidTr="00721AB4">
        <w:trPr>
          <w:trHeight w:val="1078"/>
          <w:tblHeader/>
        </w:trPr>
        <w:tc>
          <w:tcPr>
            <w:tcW w:w="1006" w:type="pct"/>
            <w:shd w:val="clear" w:color="auto" w:fill="auto"/>
          </w:tcPr>
          <w:p w14:paraId="38D68639" w14:textId="77777777" w:rsidR="005466ED" w:rsidRPr="00EA29CE" w:rsidRDefault="005466ED" w:rsidP="00721AB4">
            <w:pPr>
              <w:rPr>
                <w:rFonts w:eastAsia="Times New Roman" w:cs="Arial"/>
                <w:b/>
              </w:rPr>
            </w:pPr>
            <w:r w:rsidRPr="00EA29CE">
              <w:rPr>
                <w:rFonts w:cs="Arial"/>
                <w:b/>
              </w:rPr>
              <w:t xml:space="preserve">Minimum Initial Investment Amount </w:t>
            </w:r>
          </w:p>
        </w:tc>
        <w:tc>
          <w:tcPr>
            <w:tcW w:w="1997" w:type="pct"/>
            <w:gridSpan w:val="2"/>
            <w:shd w:val="clear" w:color="auto" w:fill="auto"/>
          </w:tcPr>
          <w:p w14:paraId="18E80C08" w14:textId="77777777" w:rsidR="005466ED" w:rsidRPr="00EA29CE" w:rsidRDefault="005466ED" w:rsidP="00721AB4">
            <w:pPr>
              <w:spacing w:after="80"/>
              <w:rPr>
                <w:rFonts w:eastAsia="Times New Roman" w:cs="Arial"/>
              </w:rPr>
            </w:pPr>
            <w:r>
              <w:rPr>
                <w:rFonts w:eastAsia="Times New Roman" w:cs="Arial"/>
              </w:rPr>
              <w:t>N/A</w:t>
            </w:r>
          </w:p>
        </w:tc>
        <w:tc>
          <w:tcPr>
            <w:tcW w:w="1997" w:type="pct"/>
            <w:shd w:val="clear" w:color="auto" w:fill="auto"/>
          </w:tcPr>
          <w:p w14:paraId="192241C9" w14:textId="72316C16" w:rsidR="005466ED" w:rsidRPr="00981355" w:rsidRDefault="00CE5389" w:rsidP="00721AB4">
            <w:pPr>
              <w:spacing w:after="80"/>
              <w:rPr>
                <w:rFonts w:cs="Arial"/>
              </w:rPr>
            </w:pPr>
            <w:r>
              <w:rPr>
                <w:rFonts w:cs="Arial"/>
                <w:lang w:val="en-GB"/>
              </w:rPr>
              <w:t>USD$</w:t>
            </w:r>
            <w:r w:rsidR="005466ED">
              <w:rPr>
                <w:rFonts w:cs="Arial"/>
                <w:lang w:val="en-GB"/>
              </w:rPr>
              <w:t>1</w:t>
            </w:r>
            <w:r w:rsidR="005466ED" w:rsidRPr="00981355">
              <w:rPr>
                <w:rFonts w:cs="Arial"/>
                <w:lang w:val="en-GB"/>
              </w:rPr>
              <w:t>50,000</w:t>
            </w:r>
          </w:p>
        </w:tc>
      </w:tr>
      <w:tr w:rsidR="005466ED" w:rsidRPr="00EA29CE" w14:paraId="663B33C0" w14:textId="77777777" w:rsidTr="00721AB4">
        <w:trPr>
          <w:trHeight w:val="543"/>
          <w:tblHeader/>
        </w:trPr>
        <w:tc>
          <w:tcPr>
            <w:tcW w:w="1006" w:type="pct"/>
            <w:shd w:val="clear" w:color="auto" w:fill="auto"/>
          </w:tcPr>
          <w:p w14:paraId="5BA7B6B1" w14:textId="77777777" w:rsidR="005466ED" w:rsidRPr="00EA29CE" w:rsidRDefault="005466ED" w:rsidP="00721AB4">
            <w:pPr>
              <w:spacing w:after="80"/>
              <w:rPr>
                <w:rFonts w:cs="Arial"/>
                <w:b/>
                <w:bCs/>
                <w:lang w:val="en-GB"/>
              </w:rPr>
            </w:pPr>
            <w:r w:rsidRPr="00EA29CE">
              <w:rPr>
                <w:rFonts w:cs="Arial"/>
                <w:b/>
                <w:lang w:val="en-GB"/>
              </w:rPr>
              <w:t>Business Day</w:t>
            </w:r>
          </w:p>
        </w:tc>
        <w:tc>
          <w:tcPr>
            <w:tcW w:w="3994" w:type="pct"/>
            <w:gridSpan w:val="3"/>
            <w:shd w:val="clear" w:color="auto" w:fill="auto"/>
          </w:tcPr>
          <w:p w14:paraId="4C1895E4" w14:textId="77777777" w:rsidR="005466ED" w:rsidRPr="00EA29CE" w:rsidRDefault="005466ED" w:rsidP="00721AB4">
            <w:pPr>
              <w:spacing w:after="80"/>
              <w:rPr>
                <w:rFonts w:cs="Arial"/>
                <w:lang w:val="en-GB"/>
              </w:rPr>
            </w:pPr>
            <w:r w:rsidRPr="00EA29CE">
              <w:rPr>
                <w:rFonts w:cs="Arial"/>
                <w:bCs/>
                <w:lang w:val="en-GB"/>
              </w:rPr>
              <w:t>means a day on which markets are open for business in London (or such other day(s) as the Directors may from time to time determine and notify in advance to Shareholders).</w:t>
            </w:r>
          </w:p>
        </w:tc>
      </w:tr>
      <w:tr w:rsidR="005466ED" w:rsidRPr="00EA29CE" w14:paraId="53C405AC" w14:textId="77777777" w:rsidTr="00721AB4">
        <w:trPr>
          <w:trHeight w:val="543"/>
          <w:tblHeader/>
        </w:trPr>
        <w:tc>
          <w:tcPr>
            <w:tcW w:w="1006" w:type="pct"/>
            <w:shd w:val="clear" w:color="auto" w:fill="auto"/>
          </w:tcPr>
          <w:p w14:paraId="083D4A7C" w14:textId="77777777" w:rsidR="005466ED" w:rsidRPr="00EA29CE" w:rsidRDefault="005466ED" w:rsidP="00721AB4">
            <w:pPr>
              <w:spacing w:after="80"/>
              <w:rPr>
                <w:rFonts w:cs="Arial"/>
                <w:b/>
                <w:bCs/>
                <w:lang w:val="en-GB"/>
              </w:rPr>
            </w:pPr>
            <w:r w:rsidRPr="00EA29CE">
              <w:rPr>
                <w:rFonts w:cs="Arial"/>
                <w:b/>
                <w:bCs/>
                <w:lang w:val="en-GB"/>
              </w:rPr>
              <w:t>Creation Unit</w:t>
            </w:r>
          </w:p>
        </w:tc>
        <w:tc>
          <w:tcPr>
            <w:tcW w:w="1980" w:type="pct"/>
            <w:shd w:val="clear" w:color="auto" w:fill="auto"/>
          </w:tcPr>
          <w:p w14:paraId="325F2295" w14:textId="5EC6A12D" w:rsidR="005466ED" w:rsidRPr="00EA29CE" w:rsidRDefault="00646E37" w:rsidP="00721AB4">
            <w:pPr>
              <w:spacing w:before="0" w:after="80"/>
              <w:rPr>
                <w:rFonts w:cs="Arial"/>
                <w:lang w:val="en-GB"/>
              </w:rPr>
            </w:pPr>
            <w:r w:rsidRPr="00646E37">
              <w:rPr>
                <w:bCs/>
              </w:rPr>
              <w:t>100,000</w:t>
            </w:r>
            <w:r w:rsidR="005466ED" w:rsidRPr="001806C2">
              <w:rPr>
                <w:b/>
              </w:rPr>
              <w:t xml:space="preserve"> </w:t>
            </w:r>
            <w:r w:rsidR="005466ED" w:rsidRPr="00EA29CE">
              <w:rPr>
                <w:rFonts w:cs="Arial"/>
                <w:lang w:val="en-GB"/>
              </w:rPr>
              <w:t xml:space="preserve">Shares </w:t>
            </w:r>
            <w:r w:rsidR="005466ED" w:rsidRPr="00EA29CE">
              <w:rPr>
                <w:rFonts w:cs="Arial"/>
                <w:lang w:val="en-US"/>
              </w:rPr>
              <w:t>or such other amount as may be determined by the Directors at their discretion</w:t>
            </w:r>
            <w:r w:rsidR="005466ED" w:rsidRPr="00EA29CE">
              <w:rPr>
                <w:rFonts w:cs="Arial"/>
                <w:lang w:val="en-GB"/>
              </w:rPr>
              <w:t>.</w:t>
            </w:r>
          </w:p>
        </w:tc>
        <w:tc>
          <w:tcPr>
            <w:tcW w:w="2014" w:type="pct"/>
            <w:gridSpan w:val="2"/>
          </w:tcPr>
          <w:p w14:paraId="06BE7610" w14:textId="77777777" w:rsidR="005466ED" w:rsidRPr="00EA29CE" w:rsidRDefault="005466ED" w:rsidP="00721AB4">
            <w:pPr>
              <w:spacing w:before="0" w:after="80"/>
              <w:rPr>
                <w:rFonts w:cs="Arial"/>
              </w:rPr>
            </w:pPr>
            <w:r w:rsidRPr="00EA29CE">
              <w:rPr>
                <w:rFonts w:cs="Arial"/>
              </w:rPr>
              <w:t>N/A</w:t>
            </w:r>
          </w:p>
        </w:tc>
      </w:tr>
      <w:tr w:rsidR="005466ED" w:rsidRPr="00EA29CE" w14:paraId="52B17EF5" w14:textId="77777777" w:rsidTr="00721AB4">
        <w:trPr>
          <w:trHeight w:val="496"/>
          <w:tblHeader/>
        </w:trPr>
        <w:tc>
          <w:tcPr>
            <w:tcW w:w="1006" w:type="pct"/>
            <w:shd w:val="clear" w:color="auto" w:fill="auto"/>
          </w:tcPr>
          <w:p w14:paraId="221A8ABA" w14:textId="77777777" w:rsidR="005466ED" w:rsidRPr="00EA29CE" w:rsidRDefault="005466ED" w:rsidP="00721AB4">
            <w:pPr>
              <w:spacing w:after="80"/>
              <w:rPr>
                <w:rFonts w:cs="Arial"/>
                <w:b/>
                <w:lang w:val="en-GB"/>
              </w:rPr>
            </w:pPr>
          </w:p>
          <w:p w14:paraId="6F48C2FB" w14:textId="77777777" w:rsidR="005466ED" w:rsidRPr="00EA29CE" w:rsidRDefault="005466ED" w:rsidP="00721AB4">
            <w:pPr>
              <w:spacing w:after="80"/>
              <w:rPr>
                <w:rFonts w:cs="Arial"/>
              </w:rPr>
            </w:pPr>
            <w:r w:rsidRPr="00EA29CE">
              <w:rPr>
                <w:rFonts w:cs="Arial"/>
                <w:b/>
                <w:lang w:val="en-GB"/>
              </w:rPr>
              <w:t>Dealing Day</w:t>
            </w:r>
            <w:r w:rsidRPr="00EA29CE">
              <w:rPr>
                <w:rFonts w:cs="Arial"/>
              </w:rPr>
              <w:t xml:space="preserve"> </w:t>
            </w:r>
          </w:p>
        </w:tc>
        <w:tc>
          <w:tcPr>
            <w:tcW w:w="3994" w:type="pct"/>
            <w:gridSpan w:val="3"/>
            <w:shd w:val="clear" w:color="auto" w:fill="auto"/>
          </w:tcPr>
          <w:p w14:paraId="556D06FA" w14:textId="77777777" w:rsidR="005466ED" w:rsidRPr="00EA29CE" w:rsidRDefault="005466ED" w:rsidP="00721AB4">
            <w:pPr>
              <w:spacing w:before="0"/>
              <w:rPr>
                <w:rFonts w:cs="Arial"/>
              </w:rPr>
            </w:pPr>
            <w:r w:rsidRPr="00EA29CE">
              <w:rPr>
                <w:rFonts w:cs="Arial"/>
              </w:rPr>
              <w:t>In general, each Business Day will be a Dealing Day. However, certain Business Days will not be Dealing Days where, in the sole determination of the Directors: (</w:t>
            </w:r>
            <w:proofErr w:type="spellStart"/>
            <w:r w:rsidRPr="00EA29CE">
              <w:rPr>
                <w:rFonts w:cs="Arial"/>
              </w:rPr>
              <w:t>i</w:t>
            </w:r>
            <w:proofErr w:type="spellEnd"/>
            <w:r w:rsidRPr="00EA29CE">
              <w:rPr>
                <w:rFonts w:cs="Arial"/>
              </w:rPr>
              <w:t xml:space="preserve">) markets on which the Sub-Fund's investments are listed or traded, or (ii) a significant (30% or more) proportion of markets on which </w:t>
            </w:r>
            <w:r>
              <w:rPr>
                <w:rFonts w:cs="Arial"/>
              </w:rPr>
              <w:t>investments</w:t>
            </w:r>
            <w:r w:rsidRPr="00EA29CE">
              <w:rPr>
                <w:rFonts w:cs="Arial"/>
              </w:rPr>
              <w:t xml:space="preserve"> are listed or traded are closed; provided there is at least one Dealing Day per fortnight. The Dealing Days for the Sub-Fund are available from the Administrator and can be found at </w:t>
            </w:r>
            <w:hyperlink r:id="rId15" w:history="1">
              <w:r w:rsidRPr="00EA29CE">
                <w:rPr>
                  <w:rStyle w:val="Lienhypertexte"/>
                  <w:rFonts w:cs="Arial"/>
                </w:rPr>
                <w:t>www.HANetf.com</w:t>
              </w:r>
            </w:hyperlink>
            <w:r w:rsidRPr="00EA29CE">
              <w:rPr>
                <w:rFonts w:cs="Arial"/>
              </w:rPr>
              <w:t>.</w:t>
            </w:r>
          </w:p>
        </w:tc>
      </w:tr>
      <w:tr w:rsidR="005466ED" w:rsidRPr="00EA29CE" w14:paraId="7D14FDC9" w14:textId="77777777" w:rsidTr="00721AB4">
        <w:trPr>
          <w:trHeight w:val="559"/>
          <w:tblHeader/>
        </w:trPr>
        <w:tc>
          <w:tcPr>
            <w:tcW w:w="1006" w:type="pct"/>
            <w:shd w:val="clear" w:color="auto" w:fill="auto"/>
          </w:tcPr>
          <w:p w14:paraId="7E606A8C" w14:textId="77777777" w:rsidR="005466ED" w:rsidRPr="00EA29CE" w:rsidRDefault="005466ED" w:rsidP="00721AB4">
            <w:pPr>
              <w:spacing w:after="80"/>
              <w:rPr>
                <w:rFonts w:cs="Arial"/>
                <w:b/>
                <w:bCs/>
                <w:lang w:val="en-GB"/>
              </w:rPr>
            </w:pPr>
            <w:r w:rsidRPr="00EA29CE">
              <w:rPr>
                <w:rFonts w:cs="Arial"/>
                <w:b/>
                <w:lang w:val="en-GB"/>
              </w:rPr>
              <w:t>Dealing Deadline</w:t>
            </w:r>
          </w:p>
        </w:tc>
        <w:tc>
          <w:tcPr>
            <w:tcW w:w="3994" w:type="pct"/>
            <w:gridSpan w:val="3"/>
            <w:shd w:val="clear" w:color="auto" w:fill="auto"/>
          </w:tcPr>
          <w:p w14:paraId="53E46C21" w14:textId="3C16890A" w:rsidR="005466ED" w:rsidRPr="00EA29CE" w:rsidRDefault="00741FD4" w:rsidP="00721AB4">
            <w:pPr>
              <w:spacing w:after="80"/>
              <w:rPr>
                <w:rFonts w:cs="Arial"/>
                <w:lang w:val="en-GB"/>
              </w:rPr>
            </w:pPr>
            <w:r>
              <w:rPr>
                <w:rFonts w:cs="Arial"/>
                <w:lang w:val="en-GB"/>
              </w:rPr>
              <w:t>3</w:t>
            </w:r>
            <w:r w:rsidR="005466ED" w:rsidRPr="00EA29CE">
              <w:rPr>
                <w:rFonts w:cs="Arial"/>
                <w:lang w:val="en-GB"/>
              </w:rPr>
              <w:t>.30 pm (Irish time) on the Business Day prior to the</w:t>
            </w:r>
            <w:r w:rsidR="005466ED">
              <w:rPr>
                <w:rFonts w:cs="Arial"/>
                <w:lang w:val="en-GB"/>
              </w:rPr>
              <w:t xml:space="preserve"> relevant</w:t>
            </w:r>
            <w:r w:rsidR="005466ED" w:rsidRPr="00EA29CE">
              <w:rPr>
                <w:rFonts w:cs="Arial"/>
                <w:lang w:val="en-GB"/>
              </w:rPr>
              <w:t xml:space="preserve"> Dealing Day.</w:t>
            </w:r>
          </w:p>
        </w:tc>
      </w:tr>
      <w:tr w:rsidR="005466ED" w:rsidRPr="00EA29CE" w14:paraId="2DDFC591" w14:textId="77777777" w:rsidTr="00721AB4">
        <w:trPr>
          <w:trHeight w:val="355"/>
          <w:tblHeader/>
        </w:trPr>
        <w:tc>
          <w:tcPr>
            <w:tcW w:w="1006" w:type="pct"/>
            <w:shd w:val="clear" w:color="auto" w:fill="auto"/>
          </w:tcPr>
          <w:p w14:paraId="2958F305" w14:textId="77777777" w:rsidR="005466ED" w:rsidRPr="00EA29CE" w:rsidRDefault="005466ED" w:rsidP="00721AB4">
            <w:pPr>
              <w:spacing w:after="80"/>
              <w:jc w:val="left"/>
              <w:rPr>
                <w:rFonts w:cs="Arial"/>
                <w:b/>
                <w:lang w:val="en-GB"/>
              </w:rPr>
            </w:pPr>
            <w:r w:rsidRPr="00EA29CE">
              <w:rPr>
                <w:rFonts w:cs="Arial"/>
                <w:b/>
                <w:lang w:val="en-GB"/>
              </w:rPr>
              <w:t>Initial Offer Period</w:t>
            </w:r>
          </w:p>
          <w:p w14:paraId="546FC8FA" w14:textId="77777777" w:rsidR="005466ED" w:rsidRPr="00EA29CE" w:rsidRDefault="005466ED" w:rsidP="00721AB4">
            <w:pPr>
              <w:spacing w:after="80"/>
              <w:rPr>
                <w:rFonts w:cs="Arial"/>
                <w:b/>
                <w:lang w:val="en-GB"/>
              </w:rPr>
            </w:pPr>
          </w:p>
        </w:tc>
        <w:tc>
          <w:tcPr>
            <w:tcW w:w="3994" w:type="pct"/>
            <w:gridSpan w:val="3"/>
            <w:shd w:val="clear" w:color="auto" w:fill="auto"/>
          </w:tcPr>
          <w:p w14:paraId="5F7E0792" w14:textId="77777777" w:rsidR="005466ED" w:rsidRPr="00894362" w:rsidRDefault="005466ED" w:rsidP="00721AB4">
            <w:pPr>
              <w:tabs>
                <w:tab w:val="left" w:pos="1440"/>
              </w:tabs>
              <w:spacing w:before="0" w:after="80"/>
              <w:outlineLvl w:val="2"/>
              <w:rPr>
                <w:rFonts w:cs="Arial"/>
                <w:b/>
                <w:bCs/>
                <w:lang w:val="en-GB"/>
              </w:rPr>
            </w:pPr>
          </w:p>
          <w:p w14:paraId="00F54356" w14:textId="77777777" w:rsidR="005466ED" w:rsidRPr="00EA29CE" w:rsidRDefault="005466ED" w:rsidP="00721AB4">
            <w:pPr>
              <w:spacing w:after="80"/>
              <w:rPr>
                <w:rFonts w:cs="Arial"/>
                <w:lang w:val="en-GB"/>
              </w:rPr>
            </w:pPr>
            <w:r w:rsidRPr="00EA29CE">
              <w:rPr>
                <w:rFonts w:cs="Arial"/>
                <w:lang w:val="en-GB"/>
              </w:rPr>
              <w:t>The Initial Offer Period shall commen</w:t>
            </w:r>
            <w:r>
              <w:rPr>
                <w:rFonts w:cs="Arial"/>
                <w:lang w:val="en-GB"/>
              </w:rPr>
              <w:t xml:space="preserve">ce at 9.00 am </w:t>
            </w:r>
            <w:r w:rsidRPr="00927DC6">
              <w:rPr>
                <w:rFonts w:cs="Arial"/>
                <w:lang w:val="en-GB"/>
              </w:rPr>
              <w:t xml:space="preserve">(Irish time) on </w:t>
            </w:r>
            <w:r w:rsidRPr="005D7320">
              <w:t xml:space="preserve">[ </w:t>
            </w:r>
            <w:r w:rsidRPr="005D7320">
              <w:sym w:font="Symbol" w:char="F0B7"/>
            </w:r>
            <w:r w:rsidRPr="005D7320">
              <w:t xml:space="preserve"> ] </w:t>
            </w:r>
            <w:r>
              <w:rPr>
                <w:bCs/>
              </w:rPr>
              <w:t>2025</w:t>
            </w:r>
            <w:r w:rsidRPr="005D7320">
              <w:t xml:space="preserve"> </w:t>
            </w:r>
            <w:r w:rsidRPr="00927DC6">
              <w:rPr>
                <w:rFonts w:cs="Arial"/>
                <w:lang w:val="en-GB"/>
              </w:rPr>
              <w:t xml:space="preserve">and close </w:t>
            </w:r>
            <w:r w:rsidRPr="00927DC6">
              <w:rPr>
                <w:rFonts w:cs="Arial"/>
              </w:rPr>
              <w:t xml:space="preserve">on the earlier of the receipt of an initial subscription and </w:t>
            </w:r>
            <w:r w:rsidRPr="00927DC6">
              <w:rPr>
                <w:rFonts w:cs="Arial"/>
                <w:lang w:val="en-GB"/>
              </w:rPr>
              <w:t xml:space="preserve">5.00pm (Irish time) on </w:t>
            </w:r>
            <w:r w:rsidRPr="005D7320">
              <w:t xml:space="preserve">[ </w:t>
            </w:r>
            <w:r w:rsidRPr="005D7320">
              <w:sym w:font="Symbol" w:char="F0B7"/>
            </w:r>
            <w:r w:rsidRPr="005D7320">
              <w:t xml:space="preserve"> ] </w:t>
            </w:r>
            <w:r w:rsidRPr="00682AC0">
              <w:rPr>
                <w:bCs/>
              </w:rPr>
              <w:t>2025</w:t>
            </w:r>
            <w:r w:rsidRPr="001806C2">
              <w:rPr>
                <w:b/>
              </w:rPr>
              <w:t xml:space="preserve"> </w:t>
            </w:r>
            <w:r w:rsidRPr="00EA29CE">
              <w:rPr>
                <w:rFonts w:cs="Arial"/>
                <w:lang w:val="en-GB"/>
              </w:rPr>
              <w:t>as may be shortened or extended by the Directors and notified to the Central Bank.</w:t>
            </w:r>
          </w:p>
          <w:p w14:paraId="5C24DECE" w14:textId="6373887A" w:rsidR="005466ED" w:rsidRPr="00EA29CE" w:rsidRDefault="005466ED" w:rsidP="00721AB4">
            <w:pPr>
              <w:spacing w:before="0" w:after="80"/>
              <w:rPr>
                <w:rFonts w:cs="Arial"/>
              </w:rPr>
            </w:pPr>
            <w:r w:rsidRPr="00EA29CE">
              <w:rPr>
                <w:rFonts w:cs="Arial"/>
              </w:rPr>
              <w:t>Shares will be initially offered at a price of approximately US</w:t>
            </w:r>
            <w:r w:rsidR="00646E37">
              <w:rPr>
                <w:rFonts w:cs="Arial"/>
              </w:rPr>
              <w:t>D 10</w:t>
            </w:r>
            <w:r w:rsidRPr="001806C2">
              <w:rPr>
                <w:b/>
              </w:rPr>
              <w:t xml:space="preserve">  </w:t>
            </w:r>
            <w:r w:rsidRPr="00EA29CE">
              <w:rPr>
                <w:rFonts w:cs="Arial"/>
              </w:rPr>
              <w:t>per Share (or its foreign currency equivalent).</w:t>
            </w:r>
          </w:p>
          <w:p w14:paraId="0D847742" w14:textId="77777777" w:rsidR="005466ED" w:rsidRPr="00AD04BD" w:rsidRDefault="005466ED" w:rsidP="00721AB4">
            <w:pPr>
              <w:tabs>
                <w:tab w:val="left" w:pos="1440"/>
              </w:tabs>
              <w:spacing w:before="0" w:after="80"/>
              <w:outlineLvl w:val="2"/>
              <w:rPr>
                <w:rFonts w:cs="Arial"/>
              </w:rPr>
            </w:pPr>
          </w:p>
        </w:tc>
      </w:tr>
      <w:tr w:rsidR="005466ED" w:rsidRPr="00EA29CE" w14:paraId="7C887060" w14:textId="77777777" w:rsidTr="00721AB4">
        <w:trPr>
          <w:trHeight w:val="355"/>
          <w:tblHeader/>
        </w:trPr>
        <w:tc>
          <w:tcPr>
            <w:tcW w:w="1006" w:type="pct"/>
            <w:shd w:val="clear" w:color="auto" w:fill="auto"/>
          </w:tcPr>
          <w:p w14:paraId="7CAB140E" w14:textId="77777777" w:rsidR="005466ED" w:rsidRPr="00EA29CE" w:rsidRDefault="005466ED" w:rsidP="00721AB4">
            <w:pPr>
              <w:spacing w:after="80"/>
              <w:rPr>
                <w:rFonts w:cs="Arial"/>
                <w:b/>
                <w:lang w:val="en-GB"/>
              </w:rPr>
            </w:pPr>
            <w:r w:rsidRPr="00EA29CE">
              <w:rPr>
                <w:rFonts w:cs="Arial"/>
                <w:b/>
                <w:lang w:val="en-GB"/>
              </w:rPr>
              <w:t>Settlement Date for Subscriptions</w:t>
            </w:r>
          </w:p>
        </w:tc>
        <w:tc>
          <w:tcPr>
            <w:tcW w:w="1980" w:type="pct"/>
            <w:shd w:val="clear" w:color="auto" w:fill="auto"/>
          </w:tcPr>
          <w:p w14:paraId="4A2D48C2" w14:textId="174C27AE" w:rsidR="005466ED" w:rsidRPr="00894362" w:rsidRDefault="005466ED" w:rsidP="00721AB4">
            <w:pPr>
              <w:tabs>
                <w:tab w:val="left" w:pos="1440"/>
              </w:tabs>
              <w:spacing w:before="0" w:after="80"/>
              <w:outlineLvl w:val="2"/>
              <w:rPr>
                <w:rFonts w:cs="Arial"/>
                <w:bCs/>
              </w:rPr>
            </w:pPr>
            <w:r w:rsidRPr="00894362">
              <w:rPr>
                <w:rFonts w:cs="Arial"/>
                <w:bCs/>
              </w:rPr>
              <w:t>In respect of cash subscriptions</w:t>
            </w:r>
            <w:r>
              <w:rPr>
                <w:rFonts w:cs="Arial"/>
                <w:bCs/>
              </w:rPr>
              <w:t>,</w:t>
            </w:r>
            <w:r w:rsidRPr="00894362">
              <w:rPr>
                <w:rFonts w:cs="Arial"/>
                <w:bCs/>
              </w:rPr>
              <w:t xml:space="preserve"> on the </w:t>
            </w:r>
            <w:r>
              <w:rPr>
                <w:rFonts w:cs="Arial"/>
                <w:bCs/>
              </w:rPr>
              <w:t>first</w:t>
            </w:r>
            <w:r w:rsidRPr="00894362">
              <w:rPr>
                <w:rFonts w:cs="Arial"/>
                <w:bCs/>
              </w:rPr>
              <w:t xml:space="preserve"> Business Day after the relevant Dealing Day; provided that if such day is not a day on which foreign exchange markets are open for settlement of payments in the relevant Share Class Currency (a </w:t>
            </w:r>
            <w:r>
              <w:rPr>
                <w:rFonts w:cs="Arial"/>
                <w:b/>
                <w:bCs/>
              </w:rPr>
              <w:t xml:space="preserve">Currency </w:t>
            </w:r>
            <w:r w:rsidRPr="00894362">
              <w:rPr>
                <w:rFonts w:cs="Arial"/>
                <w:b/>
                <w:bCs/>
              </w:rPr>
              <w:t>Day</w:t>
            </w:r>
            <w:r w:rsidRPr="00894362">
              <w:rPr>
                <w:rFonts w:cs="Arial"/>
                <w:bCs/>
              </w:rPr>
              <w:t xml:space="preserve">), settlement will be postponed to the immediately following Currency Day; </w:t>
            </w:r>
          </w:p>
          <w:p w14:paraId="464D1511" w14:textId="77777777" w:rsidR="005466ED" w:rsidRPr="00894362" w:rsidRDefault="005466ED" w:rsidP="00721AB4">
            <w:pPr>
              <w:tabs>
                <w:tab w:val="left" w:pos="1440"/>
              </w:tabs>
              <w:spacing w:before="0" w:after="80"/>
              <w:outlineLvl w:val="2"/>
              <w:rPr>
                <w:rFonts w:cs="Arial"/>
                <w:bCs/>
              </w:rPr>
            </w:pPr>
            <w:r w:rsidRPr="00894362">
              <w:rPr>
                <w:rFonts w:cs="Arial"/>
                <w:bCs/>
              </w:rPr>
              <w:t xml:space="preserve">In respect of in-kind subscriptions, on the third Business Day after the relevant Dealing Day or within such other period as the Directors may determine (not exceeding 10 Business Days following the relevant Dealing Deadline). </w:t>
            </w:r>
          </w:p>
        </w:tc>
        <w:tc>
          <w:tcPr>
            <w:tcW w:w="2014" w:type="pct"/>
            <w:gridSpan w:val="2"/>
          </w:tcPr>
          <w:p w14:paraId="162DF7CF" w14:textId="77777777" w:rsidR="005466ED" w:rsidRPr="00AD04BD" w:rsidRDefault="005466ED" w:rsidP="00721AB4">
            <w:pPr>
              <w:tabs>
                <w:tab w:val="left" w:pos="1440"/>
              </w:tabs>
              <w:spacing w:before="0" w:after="80"/>
              <w:outlineLvl w:val="2"/>
              <w:rPr>
                <w:rFonts w:cs="Arial"/>
                <w:bCs/>
              </w:rPr>
            </w:pPr>
            <w:r w:rsidRPr="00AD04BD">
              <w:rPr>
                <w:rFonts w:cs="Arial"/>
                <w:bCs/>
              </w:rPr>
              <w:t xml:space="preserve">In respect of cash subscriptions, on the </w:t>
            </w:r>
            <w:r>
              <w:rPr>
                <w:rFonts w:cs="Arial"/>
                <w:bCs/>
              </w:rPr>
              <w:t xml:space="preserve">first </w:t>
            </w:r>
            <w:r w:rsidRPr="00AD04BD">
              <w:rPr>
                <w:rFonts w:cs="Arial"/>
                <w:bCs/>
              </w:rPr>
              <w:t xml:space="preserve">Business Day after the relevant Dealing Day; provided that if such day is not a day on which foreign exchange markets are open for settlement of payments in the relevant </w:t>
            </w:r>
            <w:r>
              <w:rPr>
                <w:rFonts w:cs="Arial"/>
                <w:bCs/>
              </w:rPr>
              <w:t>Currency Day</w:t>
            </w:r>
            <w:r w:rsidRPr="00AD04BD">
              <w:rPr>
                <w:rFonts w:cs="Arial"/>
                <w:bCs/>
              </w:rPr>
              <w:t xml:space="preserve"> settlement will be postponed to the immediately following Currency Day</w:t>
            </w:r>
            <w:r w:rsidRPr="00AD04BD">
              <w:rPr>
                <w:rFonts w:cs="Arial"/>
              </w:rPr>
              <w:t>.</w:t>
            </w:r>
          </w:p>
        </w:tc>
      </w:tr>
      <w:tr w:rsidR="005466ED" w:rsidRPr="00EA29CE" w14:paraId="70C0DC82" w14:textId="77777777" w:rsidTr="00721AB4">
        <w:trPr>
          <w:trHeight w:val="1418"/>
          <w:tblHeader/>
        </w:trPr>
        <w:tc>
          <w:tcPr>
            <w:tcW w:w="1006" w:type="pct"/>
            <w:shd w:val="clear" w:color="auto" w:fill="auto"/>
          </w:tcPr>
          <w:p w14:paraId="194C0B36" w14:textId="77777777" w:rsidR="005466ED" w:rsidRPr="00EA29CE" w:rsidRDefault="005466ED" w:rsidP="00721AB4">
            <w:pPr>
              <w:spacing w:before="0" w:after="80"/>
              <w:rPr>
                <w:rFonts w:cs="Arial"/>
                <w:b/>
              </w:rPr>
            </w:pPr>
            <w:r w:rsidRPr="00EA29CE">
              <w:rPr>
                <w:rFonts w:cs="Arial"/>
                <w:b/>
              </w:rPr>
              <w:t>Redemptions</w:t>
            </w:r>
          </w:p>
          <w:p w14:paraId="1556E5AB" w14:textId="77777777" w:rsidR="005466ED" w:rsidRPr="00EA29CE" w:rsidRDefault="005466ED" w:rsidP="00721AB4">
            <w:pPr>
              <w:spacing w:before="0" w:after="80"/>
              <w:rPr>
                <w:rFonts w:cs="Arial"/>
              </w:rPr>
            </w:pPr>
          </w:p>
          <w:p w14:paraId="41B59CCD" w14:textId="77777777" w:rsidR="005466ED" w:rsidRPr="00EA29CE" w:rsidRDefault="005466ED" w:rsidP="00721AB4">
            <w:pPr>
              <w:spacing w:before="0" w:after="80"/>
              <w:rPr>
                <w:rFonts w:cs="Arial"/>
              </w:rPr>
            </w:pPr>
          </w:p>
          <w:p w14:paraId="6F4D297B" w14:textId="77777777" w:rsidR="005466ED" w:rsidRPr="00EA29CE" w:rsidRDefault="005466ED" w:rsidP="00721AB4">
            <w:pPr>
              <w:spacing w:before="0" w:after="80"/>
              <w:rPr>
                <w:rFonts w:cs="Arial"/>
              </w:rPr>
            </w:pPr>
          </w:p>
          <w:p w14:paraId="7E3D38AF" w14:textId="77777777" w:rsidR="005466ED" w:rsidRPr="00EA29CE" w:rsidRDefault="005466ED" w:rsidP="00721AB4">
            <w:pPr>
              <w:spacing w:before="0" w:after="80"/>
              <w:rPr>
                <w:rFonts w:cs="Arial"/>
              </w:rPr>
            </w:pPr>
          </w:p>
          <w:p w14:paraId="0DB48C16" w14:textId="77777777" w:rsidR="005466ED" w:rsidRPr="00EA29CE" w:rsidRDefault="005466ED" w:rsidP="00721AB4">
            <w:pPr>
              <w:spacing w:before="0" w:after="80"/>
              <w:rPr>
                <w:rFonts w:cs="Arial"/>
              </w:rPr>
            </w:pPr>
          </w:p>
          <w:p w14:paraId="626EDADE" w14:textId="77777777" w:rsidR="005466ED" w:rsidRPr="00EA29CE" w:rsidRDefault="005466ED" w:rsidP="00721AB4">
            <w:pPr>
              <w:spacing w:before="0" w:after="80"/>
              <w:rPr>
                <w:rFonts w:cs="Arial"/>
                <w:b/>
              </w:rPr>
            </w:pPr>
            <w:r w:rsidRPr="00EA29CE">
              <w:rPr>
                <w:rFonts w:cs="Arial"/>
                <w:b/>
              </w:rPr>
              <w:t>Settlement Date for Redemptions</w:t>
            </w:r>
          </w:p>
          <w:p w14:paraId="51CF5D4D" w14:textId="77777777" w:rsidR="005466ED" w:rsidRPr="00EA29CE" w:rsidRDefault="005466ED" w:rsidP="00721AB4">
            <w:pPr>
              <w:spacing w:before="0" w:after="80"/>
              <w:rPr>
                <w:rFonts w:cs="Arial"/>
                <w:b/>
                <w:bCs/>
                <w:lang w:val="en-GB"/>
              </w:rPr>
            </w:pPr>
          </w:p>
        </w:tc>
        <w:tc>
          <w:tcPr>
            <w:tcW w:w="1980" w:type="pct"/>
            <w:shd w:val="clear" w:color="auto" w:fill="auto"/>
          </w:tcPr>
          <w:p w14:paraId="1B3B26F8" w14:textId="77777777" w:rsidR="005466ED" w:rsidRPr="00EA29CE" w:rsidRDefault="005466ED" w:rsidP="00721AB4">
            <w:pPr>
              <w:spacing w:before="0" w:after="80"/>
              <w:rPr>
                <w:rFonts w:cs="Arial"/>
              </w:rPr>
            </w:pPr>
            <w:r w:rsidRPr="00EA29CE">
              <w:rPr>
                <w:rFonts w:cs="Arial"/>
              </w:rPr>
              <w:t xml:space="preserve">Creation Units may be redeemed on a Dealing Day at a price based on the Net Asset Value per Share multiplied by the number of Shares in a Creation Unit. A redeeming Shareholder will have deducted from redemption proceeds an appropriate amount of Duties and Charges, if applicable. </w:t>
            </w:r>
          </w:p>
          <w:p w14:paraId="4752C352" w14:textId="205812C5" w:rsidR="005466ED" w:rsidRPr="00EA29CE" w:rsidRDefault="005466ED" w:rsidP="00721AB4">
            <w:pPr>
              <w:spacing w:before="0" w:after="80"/>
              <w:rPr>
                <w:rFonts w:cs="Arial"/>
              </w:rPr>
            </w:pPr>
            <w:r w:rsidRPr="00EA29CE">
              <w:rPr>
                <w:rFonts w:cs="Arial"/>
              </w:rPr>
              <w:t xml:space="preserve">The Shares in the ETF Classes which are the subject of the redemption must be received by the Sub-Fund by the </w:t>
            </w:r>
            <w:r w:rsidR="00907C29">
              <w:rPr>
                <w:rFonts w:cs="Arial"/>
              </w:rPr>
              <w:t xml:space="preserve">second </w:t>
            </w:r>
            <w:r w:rsidRPr="00EA29CE">
              <w:rPr>
                <w:rFonts w:cs="Arial"/>
              </w:rPr>
              <w:t>Business Day after the relevant Dealing Day.</w:t>
            </w:r>
          </w:p>
          <w:p w14:paraId="4D1C08B7" w14:textId="1B03DA48" w:rsidR="005466ED" w:rsidRPr="00EA29CE" w:rsidRDefault="005466ED" w:rsidP="00721AB4">
            <w:pPr>
              <w:spacing w:before="0" w:after="80"/>
              <w:rPr>
                <w:rFonts w:cs="Arial"/>
                <w:lang w:val="en-GB"/>
              </w:rPr>
            </w:pPr>
            <w:r w:rsidRPr="00EA29CE">
              <w:rPr>
                <w:rFonts w:cs="Arial"/>
              </w:rPr>
              <w:t xml:space="preserve">Redemption proceeds will be typically transferred within </w:t>
            </w:r>
            <w:r w:rsidR="00907C29">
              <w:rPr>
                <w:rFonts w:cs="Arial"/>
              </w:rPr>
              <w:t>2</w:t>
            </w:r>
            <w:r w:rsidRPr="00EA29CE">
              <w:rPr>
                <w:rFonts w:cs="Arial"/>
              </w:rPr>
              <w:t xml:space="preserve"> Business Days of the relevant Dealing Day and, in any event, within such other period as the Directors may determine (not exceeding 10 Business Days following the relevant Dealing Deadline), provided that all required documentation has been furnished to the Administrator and the relevant Shareholder has delivered, in the relevant Securities Settlement System, the Shares to be redeemed.</w:t>
            </w:r>
          </w:p>
        </w:tc>
        <w:tc>
          <w:tcPr>
            <w:tcW w:w="2014" w:type="pct"/>
            <w:gridSpan w:val="2"/>
          </w:tcPr>
          <w:p w14:paraId="47872BD9" w14:textId="77777777" w:rsidR="005466ED" w:rsidRPr="00EA29CE" w:rsidRDefault="005466ED" w:rsidP="00721AB4">
            <w:pPr>
              <w:spacing w:before="0" w:after="80"/>
              <w:rPr>
                <w:rFonts w:cs="Arial"/>
              </w:rPr>
            </w:pPr>
            <w:r w:rsidRPr="00EA29CE">
              <w:rPr>
                <w:rFonts w:cs="Arial"/>
              </w:rPr>
              <w:t xml:space="preserve">Shares in Non-ETF Classes may be redeemed on a Dealing Day at a price based on the Net Asset Value per Share. A redeeming Shareholder will have deducted from redemption proceeds an appropriate amount of Duties and Charges, if applicable. </w:t>
            </w:r>
          </w:p>
          <w:p w14:paraId="27A9F5BB" w14:textId="77777777" w:rsidR="005466ED" w:rsidRPr="00EA29CE" w:rsidRDefault="005466ED" w:rsidP="00721AB4">
            <w:pPr>
              <w:spacing w:before="0" w:after="80"/>
              <w:rPr>
                <w:rFonts w:cs="Arial"/>
              </w:rPr>
            </w:pPr>
            <w:r w:rsidRPr="00EA29CE">
              <w:rPr>
                <w:rFonts w:cs="Arial"/>
              </w:rPr>
              <w:t xml:space="preserve">The Shares which are the subject of the redemption must be received by the Sub-Fund by the </w:t>
            </w:r>
            <w:r>
              <w:rPr>
                <w:rFonts w:cs="Arial"/>
              </w:rPr>
              <w:t>third</w:t>
            </w:r>
            <w:r w:rsidRPr="00EA29CE">
              <w:rPr>
                <w:rFonts w:cs="Arial"/>
              </w:rPr>
              <w:t xml:space="preserve"> Business Day after the relevant Dealing Day.</w:t>
            </w:r>
          </w:p>
          <w:p w14:paraId="3E44CEDD" w14:textId="27C2B705" w:rsidR="005466ED" w:rsidRPr="00EA29CE" w:rsidRDefault="005466ED" w:rsidP="00721AB4">
            <w:pPr>
              <w:spacing w:before="0" w:after="80"/>
              <w:rPr>
                <w:rFonts w:cs="Arial"/>
              </w:rPr>
            </w:pPr>
            <w:r w:rsidRPr="00EA29CE">
              <w:rPr>
                <w:rFonts w:cs="Arial"/>
              </w:rPr>
              <w:t xml:space="preserve">Redemption proceeds will be typically transferred within </w:t>
            </w:r>
            <w:r w:rsidR="00907C29">
              <w:rPr>
                <w:rFonts w:cs="Arial"/>
              </w:rPr>
              <w:t>2</w:t>
            </w:r>
            <w:r w:rsidRPr="00EA29CE">
              <w:rPr>
                <w:rFonts w:cs="Arial"/>
              </w:rPr>
              <w:t xml:space="preserve"> Business Days of the relevant Dealing Day and, in any event, within such other period as the Directors may determine (not exceeding 10 Business Days following the relevant Dealing Deadline), provided that all required documentation has been furnished to the Administrator.</w:t>
            </w:r>
          </w:p>
        </w:tc>
      </w:tr>
      <w:tr w:rsidR="005466ED" w:rsidRPr="00EA29CE" w14:paraId="64451712" w14:textId="77777777" w:rsidTr="00721AB4">
        <w:trPr>
          <w:trHeight w:val="496"/>
          <w:tblHeader/>
        </w:trPr>
        <w:tc>
          <w:tcPr>
            <w:tcW w:w="1006" w:type="pct"/>
            <w:shd w:val="clear" w:color="auto" w:fill="auto"/>
          </w:tcPr>
          <w:p w14:paraId="31D85A78" w14:textId="77777777" w:rsidR="005466ED" w:rsidRPr="00EA29CE" w:rsidRDefault="005466ED" w:rsidP="00721AB4">
            <w:pPr>
              <w:spacing w:after="80"/>
              <w:rPr>
                <w:rFonts w:cs="Arial"/>
                <w:b/>
              </w:rPr>
            </w:pPr>
            <w:r w:rsidRPr="00EA29CE">
              <w:rPr>
                <w:rFonts w:cs="Arial"/>
                <w:b/>
              </w:rPr>
              <w:t xml:space="preserve">Valuation Methodology </w:t>
            </w:r>
          </w:p>
        </w:tc>
        <w:tc>
          <w:tcPr>
            <w:tcW w:w="3994" w:type="pct"/>
            <w:gridSpan w:val="3"/>
            <w:shd w:val="clear" w:color="auto" w:fill="auto"/>
          </w:tcPr>
          <w:p w14:paraId="54136F28" w14:textId="77777777" w:rsidR="005466ED" w:rsidRDefault="005466ED" w:rsidP="00721AB4">
            <w:pPr>
              <w:spacing w:before="0"/>
              <w:rPr>
                <w:rFonts w:cs="Arial"/>
              </w:rPr>
            </w:pPr>
            <w:r w:rsidRPr="00EA29CE">
              <w:rPr>
                <w:rFonts w:cs="Arial"/>
              </w:rPr>
              <w:t xml:space="preserve">Assets and liabilities of the Sub-Fund which are listed or traded on one Regulated Market for which quotations are readily available at the valuation point for the relevant dealing day shall be valued at the </w:t>
            </w:r>
            <w:r w:rsidRPr="00EA29CE">
              <w:rPr>
                <w:rFonts w:cs="Arial"/>
                <w:b/>
              </w:rPr>
              <w:t>last traded price</w:t>
            </w:r>
            <w:r w:rsidRPr="00EA29CE">
              <w:rPr>
                <w:rFonts w:cs="Arial"/>
              </w:rPr>
              <w:t xml:space="preserve"> on such Regulated Market. Where an investment is quoted, listed or traded on or under the rules of more than one Regulated Market, the Regulated Market which in the Manager's opinion constitutes the main Regulated Market for such investment or the Regulated Market which provides the fairest criteria for valuing the relevant Investment shall be used. Where for specific assets the last traded price does not in the opinion of the Manager or its duly authorised delegate, reflect their fair value or are not available, the value shall be calculated with care and in good faith by the Manager or by a competent person appointed by the Manager</w:t>
            </w:r>
            <w:r>
              <w:rPr>
                <w:rFonts w:cs="Arial"/>
              </w:rPr>
              <w:t xml:space="preserve"> and approved for purpose by the Depositary or any other means provided the value is approved by the Depositary. </w:t>
            </w:r>
          </w:p>
          <w:p w14:paraId="089C28E7" w14:textId="77777777" w:rsidR="005466ED" w:rsidRDefault="005466ED" w:rsidP="00721AB4">
            <w:pPr>
              <w:spacing w:before="0"/>
              <w:rPr>
                <w:rFonts w:cs="Arial"/>
              </w:rPr>
            </w:pPr>
          </w:p>
          <w:p w14:paraId="69D9D173" w14:textId="77777777" w:rsidR="005466ED" w:rsidRPr="00EA29CE" w:rsidRDefault="005466ED" w:rsidP="00721AB4">
            <w:pPr>
              <w:spacing w:before="0"/>
              <w:rPr>
                <w:rFonts w:cs="Arial"/>
              </w:rPr>
            </w:pPr>
            <w:r w:rsidRPr="00796836">
              <w:rPr>
                <w:rFonts w:cs="Arial"/>
              </w:rPr>
              <w:t xml:space="preserve">This section entitled </w:t>
            </w:r>
            <w:r w:rsidRPr="00500E35">
              <w:rPr>
                <w:rFonts w:cs="Arial"/>
                <w:b/>
              </w:rPr>
              <w:t>Valuation Methodology</w:t>
            </w:r>
            <w:r w:rsidRPr="00796836">
              <w:rPr>
                <w:rFonts w:cs="Arial"/>
              </w:rPr>
              <w:t xml:space="preserve"> should be read in conjun</w:t>
            </w:r>
            <w:r>
              <w:rPr>
                <w:rFonts w:cs="Arial"/>
              </w:rPr>
              <w:t xml:space="preserve">ction with the section </w:t>
            </w:r>
            <w:r w:rsidRPr="00796836">
              <w:rPr>
                <w:rFonts w:cs="Arial"/>
              </w:rPr>
              <w:t xml:space="preserve">entitled </w:t>
            </w:r>
            <w:r>
              <w:rPr>
                <w:rFonts w:cs="Arial"/>
                <w:b/>
              </w:rPr>
              <w:t>Calculation of Net A</w:t>
            </w:r>
            <w:r w:rsidRPr="00796836">
              <w:rPr>
                <w:rFonts w:cs="Arial"/>
                <w:b/>
              </w:rPr>
              <w:t xml:space="preserve">ssets/ </w:t>
            </w:r>
            <w:r>
              <w:rPr>
                <w:rFonts w:cs="Arial"/>
                <w:b/>
              </w:rPr>
              <w:t>Valuation of A</w:t>
            </w:r>
            <w:r w:rsidRPr="00796836">
              <w:rPr>
                <w:rFonts w:cs="Arial"/>
                <w:b/>
              </w:rPr>
              <w:t>ssets</w:t>
            </w:r>
            <w:r>
              <w:rPr>
                <w:rFonts w:cs="Arial"/>
              </w:rPr>
              <w:t xml:space="preserve"> </w:t>
            </w:r>
            <w:r w:rsidRPr="00796836">
              <w:rPr>
                <w:rFonts w:cs="Arial"/>
              </w:rPr>
              <w:t>in the Prospectus</w:t>
            </w:r>
            <w:r>
              <w:rPr>
                <w:rFonts w:cs="Arial"/>
              </w:rPr>
              <w:t>.</w:t>
            </w:r>
          </w:p>
        </w:tc>
      </w:tr>
      <w:tr w:rsidR="005466ED" w:rsidRPr="00EA29CE" w14:paraId="4A2D400A" w14:textId="77777777" w:rsidTr="00721AB4">
        <w:trPr>
          <w:trHeight w:val="509"/>
          <w:tblHeader/>
        </w:trPr>
        <w:tc>
          <w:tcPr>
            <w:tcW w:w="1006" w:type="pct"/>
            <w:shd w:val="clear" w:color="auto" w:fill="auto"/>
          </w:tcPr>
          <w:p w14:paraId="4992F5C4" w14:textId="77777777" w:rsidR="005466ED" w:rsidRPr="00EA29CE" w:rsidRDefault="005466ED" w:rsidP="00721AB4">
            <w:pPr>
              <w:spacing w:after="80"/>
              <w:rPr>
                <w:rFonts w:cs="Arial"/>
                <w:b/>
                <w:lang w:val="en-GB"/>
              </w:rPr>
            </w:pPr>
            <w:r w:rsidRPr="00EA29CE">
              <w:rPr>
                <w:rFonts w:cs="Arial"/>
                <w:b/>
              </w:rPr>
              <w:t>Publication Time</w:t>
            </w:r>
          </w:p>
        </w:tc>
        <w:tc>
          <w:tcPr>
            <w:tcW w:w="3994" w:type="pct"/>
            <w:gridSpan w:val="3"/>
            <w:shd w:val="clear" w:color="auto" w:fill="auto"/>
          </w:tcPr>
          <w:p w14:paraId="25EB2D15" w14:textId="77777777" w:rsidR="005466ED" w:rsidRPr="00EA29CE" w:rsidRDefault="005466ED" w:rsidP="00721AB4">
            <w:pPr>
              <w:spacing w:after="80"/>
              <w:rPr>
                <w:rFonts w:cs="Arial"/>
                <w:b/>
                <w:bCs/>
                <w:lang w:val="en-GB"/>
              </w:rPr>
            </w:pPr>
            <w:r w:rsidRPr="00EA29CE">
              <w:rPr>
                <w:rFonts w:cs="Arial"/>
                <w:lang w:val="en-GB"/>
              </w:rPr>
              <w:t>8</w:t>
            </w:r>
            <w:r>
              <w:rPr>
                <w:rFonts w:cs="Arial"/>
                <w:lang w:val="en-GB"/>
              </w:rPr>
              <w:t>.00</w:t>
            </w:r>
            <w:r w:rsidRPr="00EA29CE">
              <w:rPr>
                <w:rFonts w:cs="Arial"/>
                <w:lang w:val="en-GB"/>
              </w:rPr>
              <w:t>am (Irish time) on the relevant Dealing Day.</w:t>
            </w:r>
          </w:p>
        </w:tc>
      </w:tr>
      <w:tr w:rsidR="005466ED" w:rsidRPr="00EA29CE" w14:paraId="0DE793D8" w14:textId="77777777" w:rsidTr="00721AB4">
        <w:trPr>
          <w:trHeight w:val="509"/>
          <w:tblHeader/>
        </w:trPr>
        <w:tc>
          <w:tcPr>
            <w:tcW w:w="1006" w:type="pct"/>
            <w:shd w:val="clear" w:color="auto" w:fill="auto"/>
          </w:tcPr>
          <w:p w14:paraId="44FEAF6D" w14:textId="77777777" w:rsidR="005466ED" w:rsidRPr="00EA29CE" w:rsidRDefault="005466ED" w:rsidP="00721AB4">
            <w:pPr>
              <w:spacing w:after="80"/>
              <w:rPr>
                <w:rFonts w:cs="Arial"/>
                <w:b/>
              </w:rPr>
            </w:pPr>
            <w:r w:rsidRPr="00EA29CE">
              <w:rPr>
                <w:rFonts w:cs="Arial"/>
                <w:b/>
                <w:lang w:val="en-GB"/>
              </w:rPr>
              <w:t>Valuation Point</w:t>
            </w:r>
          </w:p>
        </w:tc>
        <w:tc>
          <w:tcPr>
            <w:tcW w:w="3994" w:type="pct"/>
            <w:gridSpan w:val="3"/>
            <w:shd w:val="clear" w:color="auto" w:fill="auto"/>
          </w:tcPr>
          <w:p w14:paraId="799CC2BC" w14:textId="77777777" w:rsidR="005466ED" w:rsidRPr="00EA29CE" w:rsidRDefault="005466ED" w:rsidP="00721AB4">
            <w:pPr>
              <w:spacing w:after="80"/>
              <w:rPr>
                <w:rFonts w:cs="Arial"/>
                <w:lang w:val="en-GB"/>
              </w:rPr>
            </w:pPr>
            <w:r w:rsidRPr="00A949F8">
              <w:rPr>
                <w:rFonts w:cs="Arial"/>
              </w:rPr>
              <w:t>4.00pm (US</w:t>
            </w:r>
            <w:r w:rsidRPr="00EA29CE">
              <w:rPr>
                <w:rFonts w:cs="Arial"/>
              </w:rPr>
              <w:t xml:space="preserve"> EST) </w:t>
            </w:r>
            <w:r w:rsidRPr="00EA29CE">
              <w:rPr>
                <w:rFonts w:cs="Arial"/>
                <w:lang w:val="en-GB"/>
              </w:rPr>
              <w:t>on the relevant Dealing Day.</w:t>
            </w:r>
          </w:p>
        </w:tc>
      </w:tr>
      <w:tr w:rsidR="005466ED" w:rsidRPr="00EA29CE" w14:paraId="789A4D64" w14:textId="77777777" w:rsidTr="00721AB4">
        <w:trPr>
          <w:trHeight w:val="509"/>
          <w:tblHeader/>
        </w:trPr>
        <w:tc>
          <w:tcPr>
            <w:tcW w:w="1006" w:type="pct"/>
            <w:shd w:val="clear" w:color="auto" w:fill="auto"/>
          </w:tcPr>
          <w:p w14:paraId="081F8E87" w14:textId="77777777" w:rsidR="005466ED" w:rsidRPr="00EA29CE" w:rsidRDefault="005466ED" w:rsidP="00721AB4">
            <w:pPr>
              <w:spacing w:after="80"/>
              <w:rPr>
                <w:rFonts w:cs="Arial"/>
                <w:b/>
              </w:rPr>
            </w:pPr>
            <w:r w:rsidRPr="00EA29CE">
              <w:rPr>
                <w:rFonts w:cs="Arial"/>
                <w:b/>
                <w:bCs/>
                <w:lang w:val="en-GB"/>
              </w:rPr>
              <w:t>Website</w:t>
            </w:r>
          </w:p>
        </w:tc>
        <w:tc>
          <w:tcPr>
            <w:tcW w:w="3994" w:type="pct"/>
            <w:gridSpan w:val="3"/>
            <w:shd w:val="clear" w:color="auto" w:fill="auto"/>
          </w:tcPr>
          <w:p w14:paraId="3DAB8857" w14:textId="77777777" w:rsidR="005466ED" w:rsidRPr="00EA29CE" w:rsidRDefault="005466ED" w:rsidP="00721AB4">
            <w:pPr>
              <w:spacing w:after="80"/>
              <w:rPr>
                <w:rFonts w:cs="Arial"/>
                <w:lang w:val="en-GB"/>
              </w:rPr>
            </w:pPr>
            <w:hyperlink r:id="rId16" w:history="1">
              <w:r w:rsidRPr="00484B97">
                <w:rPr>
                  <w:rStyle w:val="Lienhypertexte"/>
                  <w:rFonts w:cs="Arial"/>
                  <w:bCs/>
                  <w:lang w:val="en-GB"/>
                </w:rPr>
                <w:t>www</w:t>
              </w:r>
              <w:r w:rsidRPr="00484B97">
                <w:rPr>
                  <w:rStyle w:val="Lienhypertexte"/>
                  <w:rFonts w:cs="Arial"/>
                </w:rPr>
                <w:t>.HANetf.com</w:t>
              </w:r>
            </w:hyperlink>
          </w:p>
        </w:tc>
      </w:tr>
    </w:tbl>
    <w:p w14:paraId="5297E2B9" w14:textId="77777777" w:rsidR="005466ED" w:rsidRDefault="005466ED" w:rsidP="005466ED">
      <w:pPr>
        <w:rPr>
          <w:b/>
          <w:caps/>
        </w:rPr>
      </w:pPr>
      <w:bookmarkStart w:id="23" w:name="_Toc50991601"/>
      <w:r>
        <w:br w:type="page"/>
      </w:r>
    </w:p>
    <w:p w14:paraId="27E1B48A" w14:textId="77777777" w:rsidR="005466ED" w:rsidRPr="008B72CB" w:rsidRDefault="005466ED" w:rsidP="005466ED">
      <w:pPr>
        <w:keepNext/>
        <w:numPr>
          <w:ilvl w:val="0"/>
          <w:numId w:val="3"/>
        </w:numPr>
        <w:jc w:val="left"/>
        <w:outlineLvl w:val="0"/>
        <w:rPr>
          <w:b/>
        </w:rPr>
      </w:pPr>
      <w:bookmarkStart w:id="24" w:name="_Toc62143157"/>
      <w:bookmarkStart w:id="25" w:name="_Toc161244424"/>
      <w:r w:rsidRPr="008B72CB">
        <w:rPr>
          <w:b/>
        </w:rPr>
        <w:t>DESCRIPTION OF AVAILABLE SHARES</w:t>
      </w:r>
      <w:bookmarkEnd w:id="23"/>
      <w:bookmarkEnd w:id="24"/>
      <w:bookmarkEnd w:id="25"/>
    </w:p>
    <w:p w14:paraId="18D7EA1A" w14:textId="77777777" w:rsidR="005466ED" w:rsidRPr="00EA29CE" w:rsidRDefault="005466ED" w:rsidP="005466ED">
      <w:pPr>
        <w:pStyle w:val="ALGHd2"/>
        <w:rPr>
          <w:lang w:eastAsia="en-GB"/>
        </w:rPr>
      </w:pPr>
      <w:r w:rsidRPr="00EA29CE">
        <w:t>ETF Classes and Non-ETF Classes</w:t>
      </w:r>
    </w:p>
    <w:p w14:paraId="2E3CA45D" w14:textId="77777777" w:rsidR="005466ED" w:rsidRPr="00EA29CE" w:rsidRDefault="005466ED" w:rsidP="005466ED">
      <w:pPr>
        <w:pStyle w:val="Body2ALG"/>
        <w:spacing w:after="240"/>
      </w:pPr>
      <w:r w:rsidRPr="00EA29CE">
        <w:t xml:space="preserve">The Sub-Funds may comprise both listed Classes (being </w:t>
      </w:r>
      <w:r w:rsidRPr="00EA29CE">
        <w:rPr>
          <w:b/>
        </w:rPr>
        <w:t>ETF Classes</w:t>
      </w:r>
      <w:r w:rsidRPr="00EA29CE">
        <w:t xml:space="preserve">) and unlisted Classes (being </w:t>
      </w:r>
      <w:r w:rsidRPr="00EA29CE">
        <w:rPr>
          <w:b/>
        </w:rPr>
        <w:t>Non-ETF Classes</w:t>
      </w:r>
      <w:r w:rsidRPr="00EA29CE">
        <w:t xml:space="preserve">) in accordance with the requirements of the Central Bank. ETF Classes will be identified as such by the denominated "ETF". Classes without the "ETF" denominator are Non-ETF Classes. </w:t>
      </w: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2410"/>
        <w:gridCol w:w="2142"/>
        <w:gridCol w:w="1537"/>
      </w:tblGrid>
      <w:tr w:rsidR="005466ED" w:rsidRPr="00EA29CE" w14:paraId="07F99FC7" w14:textId="77777777" w:rsidTr="00721AB4">
        <w:trPr>
          <w:trHeight w:val="371"/>
        </w:trPr>
        <w:tc>
          <w:tcPr>
            <w:tcW w:w="2835" w:type="dxa"/>
            <w:shd w:val="clear" w:color="auto" w:fill="2CD5C4"/>
          </w:tcPr>
          <w:p w14:paraId="677A511C" w14:textId="77777777" w:rsidR="005466ED" w:rsidRPr="00EA29CE" w:rsidRDefault="005466ED" w:rsidP="00721AB4">
            <w:pPr>
              <w:spacing w:before="0" w:line="60" w:lineRule="atLeast"/>
              <w:rPr>
                <w:rFonts w:cs="Arial"/>
                <w:b/>
                <w:lang w:val="en-GB"/>
              </w:rPr>
            </w:pPr>
            <w:r w:rsidRPr="00EA29CE">
              <w:rPr>
                <w:rFonts w:cs="Arial"/>
                <w:b/>
                <w:lang w:val="en-GB"/>
              </w:rPr>
              <w:t xml:space="preserve">Share Class </w:t>
            </w:r>
            <w:r>
              <w:rPr>
                <w:rFonts w:cs="Arial"/>
                <w:b/>
                <w:lang w:val="en-GB"/>
              </w:rPr>
              <w:t>Name</w:t>
            </w:r>
          </w:p>
        </w:tc>
        <w:tc>
          <w:tcPr>
            <w:tcW w:w="2410" w:type="dxa"/>
            <w:shd w:val="clear" w:color="auto" w:fill="2CD5C4"/>
          </w:tcPr>
          <w:p w14:paraId="5A868A65" w14:textId="77777777" w:rsidR="005466ED" w:rsidRPr="00EA29CE" w:rsidRDefault="005466ED" w:rsidP="00721AB4">
            <w:pPr>
              <w:spacing w:before="0" w:line="60" w:lineRule="atLeast"/>
              <w:rPr>
                <w:rFonts w:cs="Arial"/>
                <w:b/>
                <w:bCs/>
              </w:rPr>
            </w:pPr>
            <w:r>
              <w:rPr>
                <w:rFonts w:cs="Arial"/>
                <w:b/>
                <w:bCs/>
              </w:rPr>
              <w:t>Dividend Policy</w:t>
            </w:r>
          </w:p>
        </w:tc>
        <w:tc>
          <w:tcPr>
            <w:tcW w:w="2142" w:type="dxa"/>
            <w:shd w:val="clear" w:color="auto" w:fill="2CD5C4"/>
          </w:tcPr>
          <w:p w14:paraId="76781BC1" w14:textId="77777777" w:rsidR="005466ED" w:rsidRPr="00EA29CE" w:rsidRDefault="005466ED" w:rsidP="00721AB4">
            <w:pPr>
              <w:spacing w:before="0" w:line="60" w:lineRule="atLeast"/>
              <w:rPr>
                <w:rFonts w:cs="Arial"/>
                <w:b/>
                <w:bCs/>
              </w:rPr>
            </w:pPr>
            <w:r>
              <w:rPr>
                <w:rFonts w:cs="Arial"/>
                <w:b/>
                <w:bCs/>
              </w:rPr>
              <w:t>Hedged/Unhedged</w:t>
            </w:r>
          </w:p>
        </w:tc>
        <w:tc>
          <w:tcPr>
            <w:tcW w:w="1537" w:type="dxa"/>
            <w:shd w:val="clear" w:color="auto" w:fill="2CD5C4"/>
          </w:tcPr>
          <w:p w14:paraId="78CDBDDC" w14:textId="77777777" w:rsidR="005466ED" w:rsidDel="007B29AB" w:rsidRDefault="005466ED" w:rsidP="00721AB4">
            <w:pPr>
              <w:spacing w:before="0" w:line="60" w:lineRule="atLeast"/>
              <w:rPr>
                <w:rFonts w:cs="Arial"/>
                <w:b/>
                <w:bCs/>
              </w:rPr>
            </w:pPr>
            <w:r>
              <w:rPr>
                <w:rFonts w:cs="Arial"/>
                <w:b/>
                <w:bCs/>
              </w:rPr>
              <w:t>Currency</w:t>
            </w:r>
          </w:p>
        </w:tc>
      </w:tr>
      <w:tr w:rsidR="005466ED" w:rsidRPr="0096252A" w14:paraId="24FCA28E" w14:textId="77777777" w:rsidTr="00721AB4">
        <w:trPr>
          <w:trHeight w:val="243"/>
        </w:trPr>
        <w:tc>
          <w:tcPr>
            <w:tcW w:w="2835" w:type="dxa"/>
            <w:shd w:val="clear" w:color="auto" w:fill="FFFFFF" w:themeFill="background1"/>
          </w:tcPr>
          <w:p w14:paraId="0E735CB4" w14:textId="77777777" w:rsidR="005466ED" w:rsidRPr="0096252A" w:rsidRDefault="005466ED" w:rsidP="00721AB4">
            <w:pPr>
              <w:spacing w:before="0"/>
              <w:rPr>
                <w:rFonts w:cs="Arial"/>
                <w:bCs/>
                <w:lang w:val="en-GB"/>
              </w:rPr>
            </w:pPr>
            <w:r>
              <w:rPr>
                <w:rFonts w:cs="Arial"/>
                <w:bCs/>
                <w:lang w:val="en-GB"/>
              </w:rPr>
              <w:t>Accumulating ETF Share Class</w:t>
            </w:r>
          </w:p>
        </w:tc>
        <w:tc>
          <w:tcPr>
            <w:tcW w:w="2410" w:type="dxa"/>
            <w:shd w:val="clear" w:color="auto" w:fill="FFFFFF" w:themeFill="background1"/>
          </w:tcPr>
          <w:p w14:paraId="7AB81CD6" w14:textId="77777777" w:rsidR="005466ED" w:rsidRPr="0096252A" w:rsidRDefault="005466ED" w:rsidP="00721AB4">
            <w:pPr>
              <w:spacing w:before="0"/>
              <w:rPr>
                <w:rFonts w:cs="Arial"/>
                <w:bCs/>
                <w:lang w:val="en-GB"/>
              </w:rPr>
            </w:pPr>
            <w:r>
              <w:rPr>
                <w:rFonts w:cs="Arial"/>
                <w:bCs/>
                <w:lang w:val="en-GB"/>
              </w:rPr>
              <w:t>Accumulating</w:t>
            </w:r>
          </w:p>
        </w:tc>
        <w:tc>
          <w:tcPr>
            <w:tcW w:w="2142" w:type="dxa"/>
            <w:shd w:val="clear" w:color="auto" w:fill="FFFFFF" w:themeFill="background1"/>
          </w:tcPr>
          <w:p w14:paraId="04372778" w14:textId="77777777" w:rsidR="005466ED" w:rsidRPr="0096252A" w:rsidRDefault="005466ED" w:rsidP="00721AB4">
            <w:pPr>
              <w:spacing w:before="0"/>
              <w:rPr>
                <w:rFonts w:cs="Arial"/>
                <w:bCs/>
                <w:lang w:val="en-GB"/>
              </w:rPr>
            </w:pPr>
            <w:r>
              <w:rPr>
                <w:rFonts w:cs="Arial"/>
                <w:bCs/>
                <w:lang w:val="en-GB"/>
              </w:rPr>
              <w:t>Unhedged</w:t>
            </w:r>
          </w:p>
        </w:tc>
        <w:tc>
          <w:tcPr>
            <w:tcW w:w="1537" w:type="dxa"/>
            <w:shd w:val="clear" w:color="auto" w:fill="FFFFFF" w:themeFill="background1"/>
          </w:tcPr>
          <w:p w14:paraId="52F1E575" w14:textId="3644E45E" w:rsidR="005466ED" w:rsidDel="0025177E" w:rsidRDefault="005466ED" w:rsidP="00721AB4">
            <w:pPr>
              <w:spacing w:before="0"/>
              <w:rPr>
                <w:rFonts w:cs="Arial"/>
                <w:bCs/>
                <w:lang w:val="en-GB"/>
              </w:rPr>
            </w:pPr>
            <w:r>
              <w:rPr>
                <w:rFonts w:cs="Arial"/>
                <w:bCs/>
                <w:lang w:val="en-GB"/>
              </w:rPr>
              <w:t>USD</w:t>
            </w:r>
          </w:p>
        </w:tc>
      </w:tr>
    </w:tbl>
    <w:p w14:paraId="0AF4EE64" w14:textId="77777777" w:rsidR="005466ED" w:rsidRPr="002B6894" w:rsidRDefault="005466ED" w:rsidP="005466ED">
      <w:pPr>
        <w:keepNext/>
        <w:numPr>
          <w:ilvl w:val="0"/>
          <w:numId w:val="3"/>
        </w:numPr>
        <w:jc w:val="left"/>
        <w:outlineLvl w:val="0"/>
        <w:rPr>
          <w:rFonts w:cs="Arial"/>
          <w:b/>
        </w:rPr>
      </w:pPr>
      <w:bookmarkStart w:id="26" w:name="_Toc161244425"/>
      <w:r w:rsidRPr="002B6894">
        <w:rPr>
          <w:rFonts w:cs="Arial"/>
          <w:b/>
        </w:rPr>
        <w:t>CHARGES AND EXPENSES</w:t>
      </w:r>
      <w:bookmarkEnd w:id="26"/>
    </w:p>
    <w:p w14:paraId="716A2CC5" w14:textId="77777777" w:rsidR="005466ED" w:rsidRPr="005D02AF" w:rsidRDefault="005466ED" w:rsidP="005466ED">
      <w:pPr>
        <w:pStyle w:val="ALGHd2"/>
        <w:numPr>
          <w:ilvl w:val="0"/>
          <w:numId w:val="0"/>
        </w:numPr>
        <w:spacing w:after="240"/>
        <w:ind w:left="624"/>
        <w:jc w:val="both"/>
        <w:rPr>
          <w:b w:val="0"/>
        </w:rPr>
      </w:pPr>
      <w:r w:rsidRPr="0096252A">
        <w:rPr>
          <w:b w:val="0"/>
        </w:rPr>
        <w:t>The following fees may be charged at the discretion of the Manager, on the Net Asset Value per Share in the Creation Unit subscribed for by Shareholders (and will not be incurred by the ICAV on behalf of the Sub-Fund, and accordingly will not affect the Net Asset Value of the relevant Class of Share of the Sub-Fund)</w:t>
      </w:r>
      <w:r>
        <w:rPr>
          <w:b w:val="0"/>
        </w:rPr>
        <w:t>.</w:t>
      </w:r>
    </w:p>
    <w:tbl>
      <w:tblPr>
        <w:tblStyle w:val="Grilledutableau"/>
        <w:tblW w:w="7333" w:type="dxa"/>
        <w:tblInd w:w="704" w:type="dxa"/>
        <w:tblLook w:val="04A0" w:firstRow="1" w:lastRow="0" w:firstColumn="1" w:lastColumn="0" w:noHBand="0" w:noVBand="1"/>
      </w:tblPr>
      <w:tblGrid>
        <w:gridCol w:w="1980"/>
        <w:gridCol w:w="2562"/>
        <w:gridCol w:w="2791"/>
      </w:tblGrid>
      <w:tr w:rsidR="005466ED" w14:paraId="20DADB4B" w14:textId="77777777" w:rsidTr="00721AB4">
        <w:trPr>
          <w:trHeight w:val="293"/>
        </w:trPr>
        <w:tc>
          <w:tcPr>
            <w:tcW w:w="1980" w:type="dxa"/>
            <w:tcBorders>
              <w:top w:val="single" w:sz="4" w:space="0" w:color="auto"/>
              <w:left w:val="single" w:sz="4" w:space="0" w:color="auto"/>
              <w:bottom w:val="single" w:sz="4" w:space="0" w:color="auto"/>
              <w:right w:val="single" w:sz="4" w:space="0" w:color="auto"/>
            </w:tcBorders>
            <w:shd w:val="clear" w:color="auto" w:fill="2CD5C4" w:themeFill="accent1"/>
            <w:hideMark/>
          </w:tcPr>
          <w:p w14:paraId="1144757C" w14:textId="77777777" w:rsidR="005466ED" w:rsidRDefault="005466ED" w:rsidP="00721AB4">
            <w:pPr>
              <w:spacing w:after="80"/>
              <w:ind w:left="720"/>
              <w:rPr>
                <w:rFonts w:cs="Arial"/>
                <w:b/>
                <w:lang w:val="en-GB"/>
              </w:rPr>
            </w:pPr>
            <w:r>
              <w:rPr>
                <w:rFonts w:cs="Arial"/>
                <w:b/>
                <w:lang w:val="en-GB"/>
              </w:rPr>
              <w:t>Charge</w:t>
            </w:r>
          </w:p>
          <w:p w14:paraId="0A5BC987" w14:textId="77777777" w:rsidR="005466ED" w:rsidRPr="002B6894" w:rsidRDefault="005466ED" w:rsidP="00721AB4">
            <w:pPr>
              <w:spacing w:after="80"/>
              <w:ind w:left="720"/>
              <w:rPr>
                <w:rFonts w:cs="Arial"/>
                <w:b/>
                <w:lang w:val="en-GB"/>
              </w:rPr>
            </w:pPr>
          </w:p>
        </w:tc>
        <w:tc>
          <w:tcPr>
            <w:tcW w:w="2562" w:type="dxa"/>
            <w:tcBorders>
              <w:top w:val="single" w:sz="4" w:space="0" w:color="auto"/>
              <w:left w:val="single" w:sz="4" w:space="0" w:color="auto"/>
              <w:bottom w:val="single" w:sz="4" w:space="0" w:color="auto"/>
              <w:right w:val="single" w:sz="4" w:space="0" w:color="auto"/>
            </w:tcBorders>
            <w:shd w:val="clear" w:color="auto" w:fill="2CD5C4" w:themeFill="accent1"/>
            <w:hideMark/>
          </w:tcPr>
          <w:p w14:paraId="7E4EEB59" w14:textId="77777777" w:rsidR="005466ED" w:rsidRPr="00081B9B" w:rsidRDefault="005466ED" w:rsidP="00721AB4">
            <w:pPr>
              <w:spacing w:after="80"/>
              <w:ind w:left="720"/>
              <w:rPr>
                <w:rFonts w:cs="Arial"/>
                <w:b/>
                <w:i/>
                <w:lang w:val="en-GB"/>
              </w:rPr>
            </w:pPr>
            <w:r>
              <w:rPr>
                <w:rFonts w:cs="Arial"/>
                <w:b/>
                <w:sz w:val="16"/>
                <w:szCs w:val="16"/>
              </w:rPr>
              <w:t xml:space="preserve">ETF Share </w:t>
            </w:r>
            <w:r w:rsidRPr="0068184F">
              <w:rPr>
                <w:rFonts w:cs="Arial"/>
                <w:b/>
                <w:sz w:val="16"/>
                <w:szCs w:val="16"/>
              </w:rPr>
              <w:t>Class</w:t>
            </w:r>
          </w:p>
        </w:tc>
        <w:tc>
          <w:tcPr>
            <w:tcW w:w="2791" w:type="dxa"/>
            <w:tcBorders>
              <w:top w:val="single" w:sz="4" w:space="0" w:color="auto"/>
              <w:left w:val="single" w:sz="4" w:space="0" w:color="auto"/>
              <w:bottom w:val="single" w:sz="4" w:space="0" w:color="auto"/>
              <w:right w:val="single" w:sz="4" w:space="0" w:color="auto"/>
            </w:tcBorders>
            <w:shd w:val="clear" w:color="auto" w:fill="2CD5C4" w:themeFill="accent1"/>
          </w:tcPr>
          <w:p w14:paraId="34A7B516" w14:textId="77777777" w:rsidR="005466ED" w:rsidRPr="00081B9B" w:rsidRDefault="005466ED" w:rsidP="00721AB4">
            <w:pPr>
              <w:spacing w:after="80"/>
              <w:ind w:left="720"/>
              <w:rPr>
                <w:rFonts w:cs="Arial"/>
                <w:b/>
                <w:i/>
                <w:lang w:val="en-GB"/>
              </w:rPr>
            </w:pPr>
            <w:r>
              <w:rPr>
                <w:rFonts w:cs="Arial"/>
                <w:b/>
                <w:sz w:val="16"/>
                <w:szCs w:val="16"/>
              </w:rPr>
              <w:t>Non-</w:t>
            </w:r>
            <w:r w:rsidRPr="0068184F">
              <w:rPr>
                <w:rFonts w:cs="Arial"/>
                <w:b/>
                <w:sz w:val="16"/>
                <w:szCs w:val="16"/>
              </w:rPr>
              <w:t>ETF</w:t>
            </w:r>
            <w:r>
              <w:rPr>
                <w:rFonts w:cs="Arial"/>
                <w:b/>
                <w:sz w:val="16"/>
                <w:szCs w:val="16"/>
              </w:rPr>
              <w:t xml:space="preserve"> Share</w:t>
            </w:r>
            <w:r w:rsidRPr="0068184F">
              <w:rPr>
                <w:rFonts w:cs="Arial"/>
                <w:b/>
                <w:sz w:val="16"/>
                <w:szCs w:val="16"/>
              </w:rPr>
              <w:t xml:space="preserve"> </w:t>
            </w:r>
            <w:r>
              <w:rPr>
                <w:rFonts w:cs="Arial"/>
                <w:b/>
                <w:sz w:val="16"/>
                <w:szCs w:val="16"/>
              </w:rPr>
              <w:t xml:space="preserve">Class </w:t>
            </w:r>
          </w:p>
        </w:tc>
      </w:tr>
      <w:tr w:rsidR="005466ED" w:rsidRPr="00427B66" w14:paraId="4648E6C4" w14:textId="77777777" w:rsidTr="00721AB4">
        <w:trPr>
          <w:trHeight w:val="253"/>
        </w:trPr>
        <w:tc>
          <w:tcPr>
            <w:tcW w:w="1980" w:type="dxa"/>
            <w:tcBorders>
              <w:top w:val="single" w:sz="4" w:space="0" w:color="auto"/>
              <w:left w:val="single" w:sz="4" w:space="0" w:color="auto"/>
              <w:bottom w:val="single" w:sz="4" w:space="0" w:color="auto"/>
              <w:right w:val="single" w:sz="4" w:space="0" w:color="auto"/>
            </w:tcBorders>
            <w:hideMark/>
          </w:tcPr>
          <w:p w14:paraId="071B9EF9" w14:textId="77777777" w:rsidR="005466ED" w:rsidRPr="00427B66" w:rsidRDefault="005466ED" w:rsidP="00721AB4">
            <w:pPr>
              <w:spacing w:line="288" w:lineRule="auto"/>
              <w:rPr>
                <w:rFonts w:cs="Arial"/>
                <w:b/>
                <w:bCs/>
                <w:lang w:val="en-GB"/>
              </w:rPr>
            </w:pPr>
            <w:r w:rsidRPr="00427B66">
              <w:rPr>
                <w:rFonts w:cs="Arial"/>
                <w:b/>
                <w:bCs/>
                <w:lang w:val="en-GB"/>
              </w:rPr>
              <w:t>Preliminary Charge</w:t>
            </w:r>
          </w:p>
        </w:tc>
        <w:tc>
          <w:tcPr>
            <w:tcW w:w="2562" w:type="dxa"/>
            <w:tcBorders>
              <w:top w:val="single" w:sz="4" w:space="0" w:color="auto"/>
              <w:left w:val="single" w:sz="4" w:space="0" w:color="auto"/>
              <w:bottom w:val="single" w:sz="4" w:space="0" w:color="auto"/>
              <w:right w:val="single" w:sz="4" w:space="0" w:color="auto"/>
            </w:tcBorders>
          </w:tcPr>
          <w:p w14:paraId="49AE57F3" w14:textId="77777777" w:rsidR="005466ED" w:rsidRPr="00081B9B" w:rsidRDefault="005466ED" w:rsidP="00721AB4">
            <w:pPr>
              <w:spacing w:line="288" w:lineRule="auto"/>
              <w:rPr>
                <w:rFonts w:cs="Arial"/>
                <w:bCs/>
                <w:lang w:val="en-GB"/>
              </w:rPr>
            </w:pPr>
            <w:r>
              <w:rPr>
                <w:rFonts w:cs="Arial"/>
                <w:sz w:val="16"/>
                <w:szCs w:val="16"/>
              </w:rPr>
              <w:t>N/A</w:t>
            </w:r>
          </w:p>
        </w:tc>
        <w:tc>
          <w:tcPr>
            <w:tcW w:w="2791" w:type="dxa"/>
            <w:tcBorders>
              <w:top w:val="single" w:sz="4" w:space="0" w:color="auto"/>
              <w:left w:val="single" w:sz="4" w:space="0" w:color="auto"/>
              <w:bottom w:val="single" w:sz="4" w:space="0" w:color="auto"/>
              <w:right w:val="single" w:sz="4" w:space="0" w:color="auto"/>
            </w:tcBorders>
          </w:tcPr>
          <w:p w14:paraId="4070E689" w14:textId="77777777" w:rsidR="005466ED" w:rsidRPr="00081B9B" w:rsidRDefault="005466ED" w:rsidP="00721AB4">
            <w:pPr>
              <w:rPr>
                <w:rFonts w:cs="Arial"/>
                <w:bCs/>
                <w:lang w:val="en-GB"/>
              </w:rPr>
            </w:pPr>
            <w:r w:rsidRPr="00081B9B">
              <w:rPr>
                <w:rFonts w:cs="Arial"/>
                <w:bCs/>
                <w:lang w:val="en-GB"/>
              </w:rPr>
              <w:t>of up to 5% at the Manager's discretion</w:t>
            </w:r>
          </w:p>
        </w:tc>
      </w:tr>
      <w:tr w:rsidR="005466ED" w:rsidRPr="00427B66" w14:paraId="2DA74B63" w14:textId="77777777" w:rsidTr="00721AB4">
        <w:trPr>
          <w:trHeight w:val="426"/>
        </w:trPr>
        <w:tc>
          <w:tcPr>
            <w:tcW w:w="1980" w:type="dxa"/>
            <w:tcBorders>
              <w:top w:val="single" w:sz="4" w:space="0" w:color="auto"/>
              <w:left w:val="single" w:sz="4" w:space="0" w:color="auto"/>
              <w:bottom w:val="single" w:sz="4" w:space="0" w:color="auto"/>
              <w:right w:val="single" w:sz="4" w:space="0" w:color="auto"/>
            </w:tcBorders>
            <w:hideMark/>
          </w:tcPr>
          <w:p w14:paraId="75C9D49A" w14:textId="77777777" w:rsidR="005466ED" w:rsidRPr="00427B66" w:rsidRDefault="005466ED" w:rsidP="00721AB4">
            <w:pPr>
              <w:spacing w:line="288" w:lineRule="auto"/>
              <w:rPr>
                <w:rFonts w:cs="Arial"/>
                <w:b/>
                <w:bCs/>
                <w:lang w:val="en-GB"/>
              </w:rPr>
            </w:pPr>
            <w:r w:rsidRPr="00427B66">
              <w:rPr>
                <w:rFonts w:cs="Arial"/>
                <w:b/>
                <w:bCs/>
                <w:lang w:val="en-GB"/>
              </w:rPr>
              <w:t>Exchange Charge</w:t>
            </w:r>
          </w:p>
        </w:tc>
        <w:tc>
          <w:tcPr>
            <w:tcW w:w="2562" w:type="dxa"/>
            <w:tcBorders>
              <w:top w:val="single" w:sz="4" w:space="0" w:color="auto"/>
              <w:left w:val="single" w:sz="4" w:space="0" w:color="auto"/>
              <w:bottom w:val="single" w:sz="4" w:space="0" w:color="auto"/>
              <w:right w:val="single" w:sz="4" w:space="0" w:color="auto"/>
            </w:tcBorders>
          </w:tcPr>
          <w:p w14:paraId="5AEE0B42" w14:textId="77777777" w:rsidR="005466ED" w:rsidRPr="00427B66" w:rsidRDefault="005466ED" w:rsidP="00721AB4">
            <w:pPr>
              <w:spacing w:line="288" w:lineRule="auto"/>
              <w:rPr>
                <w:rFonts w:cs="Arial"/>
                <w:bCs/>
                <w:lang w:val="en-GB"/>
              </w:rPr>
            </w:pPr>
            <w:r>
              <w:rPr>
                <w:rFonts w:cs="Arial"/>
                <w:sz w:val="16"/>
                <w:szCs w:val="16"/>
              </w:rPr>
              <w:t>N/A</w:t>
            </w:r>
          </w:p>
        </w:tc>
        <w:tc>
          <w:tcPr>
            <w:tcW w:w="2791" w:type="dxa"/>
            <w:tcBorders>
              <w:top w:val="single" w:sz="4" w:space="0" w:color="auto"/>
              <w:left w:val="single" w:sz="4" w:space="0" w:color="auto"/>
              <w:bottom w:val="single" w:sz="4" w:space="0" w:color="auto"/>
              <w:right w:val="single" w:sz="4" w:space="0" w:color="auto"/>
            </w:tcBorders>
          </w:tcPr>
          <w:p w14:paraId="7932D1CB" w14:textId="77777777" w:rsidR="005466ED" w:rsidRPr="00427B66" w:rsidRDefault="005466ED" w:rsidP="00721AB4">
            <w:pPr>
              <w:rPr>
                <w:rFonts w:cs="Arial"/>
                <w:bCs/>
                <w:lang w:val="en-GB"/>
              </w:rPr>
            </w:pPr>
            <w:r w:rsidRPr="00427B66">
              <w:rPr>
                <w:rFonts w:cs="Arial"/>
                <w:bCs/>
                <w:lang w:val="en-GB"/>
              </w:rPr>
              <w:t>of up to 3% at the Manager's discretion</w:t>
            </w:r>
          </w:p>
        </w:tc>
      </w:tr>
      <w:tr w:rsidR="005466ED" w:rsidRPr="00427B66" w14:paraId="717E0CB3" w14:textId="77777777" w:rsidTr="00721AB4">
        <w:trPr>
          <w:trHeight w:val="514"/>
        </w:trPr>
        <w:tc>
          <w:tcPr>
            <w:tcW w:w="1980" w:type="dxa"/>
            <w:tcBorders>
              <w:top w:val="single" w:sz="4" w:space="0" w:color="auto"/>
              <w:left w:val="single" w:sz="4" w:space="0" w:color="auto"/>
              <w:bottom w:val="single" w:sz="4" w:space="0" w:color="auto"/>
              <w:right w:val="single" w:sz="4" w:space="0" w:color="auto"/>
            </w:tcBorders>
            <w:hideMark/>
          </w:tcPr>
          <w:p w14:paraId="0603EB83" w14:textId="77777777" w:rsidR="005466ED" w:rsidRPr="00427B66" w:rsidRDefault="005466ED" w:rsidP="00721AB4">
            <w:pPr>
              <w:spacing w:line="288" w:lineRule="auto"/>
              <w:rPr>
                <w:rFonts w:cs="Arial"/>
                <w:b/>
                <w:bCs/>
                <w:lang w:val="en-GB"/>
              </w:rPr>
            </w:pPr>
            <w:r w:rsidRPr="00427B66">
              <w:rPr>
                <w:rFonts w:cs="Arial"/>
                <w:b/>
                <w:bCs/>
                <w:lang w:val="en-GB"/>
              </w:rPr>
              <w:t>Redemption Charge</w:t>
            </w:r>
          </w:p>
        </w:tc>
        <w:tc>
          <w:tcPr>
            <w:tcW w:w="2562" w:type="dxa"/>
            <w:tcBorders>
              <w:top w:val="single" w:sz="4" w:space="0" w:color="auto"/>
              <w:left w:val="single" w:sz="4" w:space="0" w:color="auto"/>
              <w:bottom w:val="single" w:sz="4" w:space="0" w:color="auto"/>
              <w:right w:val="single" w:sz="4" w:space="0" w:color="auto"/>
            </w:tcBorders>
            <w:hideMark/>
          </w:tcPr>
          <w:p w14:paraId="5F6EAC32" w14:textId="77777777" w:rsidR="005466ED" w:rsidRPr="00427B66" w:rsidRDefault="005466ED" w:rsidP="00721AB4">
            <w:pPr>
              <w:spacing w:line="288" w:lineRule="auto"/>
              <w:rPr>
                <w:rFonts w:cs="Arial"/>
                <w:bCs/>
                <w:lang w:val="en-GB"/>
              </w:rPr>
            </w:pPr>
            <w:r w:rsidRPr="00427B66">
              <w:rPr>
                <w:rFonts w:cs="Arial"/>
                <w:bCs/>
                <w:lang w:val="en-GB"/>
              </w:rPr>
              <w:t>of up to 3% at the Manager's discretion</w:t>
            </w:r>
          </w:p>
        </w:tc>
        <w:tc>
          <w:tcPr>
            <w:tcW w:w="2791" w:type="dxa"/>
            <w:tcBorders>
              <w:top w:val="single" w:sz="4" w:space="0" w:color="auto"/>
              <w:left w:val="single" w:sz="4" w:space="0" w:color="auto"/>
              <w:bottom w:val="single" w:sz="4" w:space="0" w:color="auto"/>
              <w:right w:val="single" w:sz="4" w:space="0" w:color="auto"/>
            </w:tcBorders>
          </w:tcPr>
          <w:p w14:paraId="33D0EF6E" w14:textId="77777777" w:rsidR="005466ED" w:rsidRPr="00427B66" w:rsidRDefault="005466ED" w:rsidP="00721AB4">
            <w:pPr>
              <w:rPr>
                <w:rFonts w:cs="Arial"/>
                <w:bCs/>
                <w:lang w:val="en-GB"/>
              </w:rPr>
            </w:pPr>
            <w:r w:rsidRPr="00427B66">
              <w:rPr>
                <w:rFonts w:cs="Arial"/>
                <w:bCs/>
                <w:lang w:val="en-GB"/>
              </w:rPr>
              <w:t>of up to 3% at the Manager's discretion</w:t>
            </w:r>
          </w:p>
        </w:tc>
      </w:tr>
      <w:tr w:rsidR="005466ED" w:rsidRPr="00427B66" w14:paraId="7B8907BA" w14:textId="77777777" w:rsidTr="00721AB4">
        <w:trPr>
          <w:trHeight w:val="411"/>
        </w:trPr>
        <w:tc>
          <w:tcPr>
            <w:tcW w:w="1980" w:type="dxa"/>
            <w:tcBorders>
              <w:top w:val="single" w:sz="4" w:space="0" w:color="auto"/>
              <w:left w:val="single" w:sz="4" w:space="0" w:color="auto"/>
              <w:bottom w:val="single" w:sz="4" w:space="0" w:color="auto"/>
              <w:right w:val="single" w:sz="4" w:space="0" w:color="auto"/>
            </w:tcBorders>
          </w:tcPr>
          <w:p w14:paraId="0BBA22A5" w14:textId="77777777" w:rsidR="005466ED" w:rsidRPr="00427B66" w:rsidRDefault="005466ED" w:rsidP="00721AB4">
            <w:pPr>
              <w:rPr>
                <w:rFonts w:cs="Arial"/>
                <w:b/>
                <w:bCs/>
                <w:lang w:val="en-GB"/>
              </w:rPr>
            </w:pPr>
            <w:r>
              <w:rPr>
                <w:rFonts w:cs="Arial"/>
                <w:b/>
                <w:bCs/>
                <w:lang w:val="en-GB"/>
              </w:rPr>
              <w:t>Cash Transaction Fee</w:t>
            </w:r>
          </w:p>
        </w:tc>
        <w:tc>
          <w:tcPr>
            <w:tcW w:w="2562" w:type="dxa"/>
            <w:tcBorders>
              <w:top w:val="single" w:sz="4" w:space="0" w:color="auto"/>
              <w:left w:val="single" w:sz="4" w:space="0" w:color="auto"/>
              <w:bottom w:val="single" w:sz="4" w:space="0" w:color="auto"/>
              <w:right w:val="single" w:sz="4" w:space="0" w:color="auto"/>
            </w:tcBorders>
          </w:tcPr>
          <w:p w14:paraId="7ECFD1E7" w14:textId="77777777" w:rsidR="005466ED" w:rsidRPr="00427B66" w:rsidRDefault="005466ED" w:rsidP="00721AB4">
            <w:pPr>
              <w:rPr>
                <w:rFonts w:cs="Arial"/>
                <w:bCs/>
                <w:lang w:val="en-GB"/>
              </w:rPr>
            </w:pPr>
            <w:r>
              <w:rPr>
                <w:rFonts w:cs="Arial"/>
                <w:bCs/>
                <w:lang w:val="en-GB"/>
              </w:rPr>
              <w:t>of up to 3% at the Manager’s discretion</w:t>
            </w:r>
          </w:p>
        </w:tc>
        <w:tc>
          <w:tcPr>
            <w:tcW w:w="2791" w:type="dxa"/>
            <w:tcBorders>
              <w:top w:val="single" w:sz="4" w:space="0" w:color="auto"/>
              <w:left w:val="single" w:sz="4" w:space="0" w:color="auto"/>
              <w:bottom w:val="single" w:sz="4" w:space="0" w:color="auto"/>
              <w:right w:val="single" w:sz="4" w:space="0" w:color="auto"/>
            </w:tcBorders>
          </w:tcPr>
          <w:p w14:paraId="05B49371" w14:textId="77777777" w:rsidR="005466ED" w:rsidRDefault="005466ED" w:rsidP="00721AB4">
            <w:pPr>
              <w:rPr>
                <w:rFonts w:cs="Arial"/>
                <w:bCs/>
                <w:lang w:val="en-GB"/>
              </w:rPr>
            </w:pPr>
            <w:r>
              <w:rPr>
                <w:rFonts w:cs="Arial"/>
                <w:sz w:val="16"/>
                <w:szCs w:val="16"/>
              </w:rPr>
              <w:t>N/A</w:t>
            </w:r>
          </w:p>
        </w:tc>
      </w:tr>
    </w:tbl>
    <w:p w14:paraId="39100530" w14:textId="77777777" w:rsidR="00B35999" w:rsidRDefault="005466ED" w:rsidP="00B35999">
      <w:pPr>
        <w:pStyle w:val="Body1ALG"/>
      </w:pPr>
      <w:r w:rsidRPr="002B6894">
        <w:t>The Preliminary Charge is in addition to the investment amount received from an investor for subscription for Shares. Such Preliminary Charge is payable to the Manager.</w:t>
      </w:r>
    </w:p>
    <w:p w14:paraId="14EEBAA9" w14:textId="7DBF904E" w:rsidR="00B35999" w:rsidRPr="00B35999" w:rsidRDefault="00B35999" w:rsidP="00B35999">
      <w:pPr>
        <w:pStyle w:val="Body1ALG"/>
      </w:pPr>
      <w:bookmarkStart w:id="27" w:name="_Hlk199328860"/>
      <w:r w:rsidRPr="00B35999">
        <w:rPr>
          <w:lang w:val="en-GB"/>
        </w:rPr>
        <w:t>The Cash Transaction Fee will not be charged in circumstances where a Redemption Charge is payable.</w:t>
      </w:r>
    </w:p>
    <w:bookmarkEnd w:id="27"/>
    <w:p w14:paraId="6894C5A4" w14:textId="77777777" w:rsidR="005466ED" w:rsidRPr="00A14B0F" w:rsidRDefault="005466ED" w:rsidP="005466ED">
      <w:pPr>
        <w:pStyle w:val="ALGHd2"/>
        <w:spacing w:after="240"/>
        <w:jc w:val="both"/>
        <w:rPr>
          <w:b w:val="0"/>
        </w:rPr>
      </w:pPr>
      <w:r w:rsidRPr="0096252A">
        <w:t>The following fees and expenses will be incurred by the ICAV on behalf of the Sub-Fund and will affect the Net Asset Value of the relevant Class of Share of the Sub-Fund:</w:t>
      </w:r>
    </w:p>
    <w:tbl>
      <w:tblPr>
        <w:tblW w:w="8930"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2693"/>
        <w:gridCol w:w="3118"/>
      </w:tblGrid>
      <w:tr w:rsidR="005466ED" w:rsidRPr="00EA29CE" w14:paraId="2FF2EE24" w14:textId="77777777" w:rsidTr="00721AB4">
        <w:trPr>
          <w:trHeight w:val="316"/>
        </w:trPr>
        <w:tc>
          <w:tcPr>
            <w:tcW w:w="3119" w:type="dxa"/>
            <w:shd w:val="clear" w:color="auto" w:fill="2CD5C4"/>
          </w:tcPr>
          <w:p w14:paraId="2E6F1E1D" w14:textId="77777777" w:rsidR="005466ED" w:rsidRDefault="005466ED" w:rsidP="00721AB4">
            <w:pPr>
              <w:spacing w:before="0" w:after="80"/>
              <w:rPr>
                <w:rFonts w:cs="Arial"/>
                <w:b/>
                <w:lang w:val="en-GB"/>
              </w:rPr>
            </w:pPr>
            <w:r w:rsidRPr="00EA29CE">
              <w:rPr>
                <w:rFonts w:cs="Arial"/>
                <w:b/>
                <w:lang w:val="en-GB"/>
              </w:rPr>
              <w:t>Share Class</w:t>
            </w:r>
          </w:p>
          <w:p w14:paraId="77E309D6" w14:textId="77777777" w:rsidR="005466ED" w:rsidRPr="00EA29CE" w:rsidRDefault="005466ED" w:rsidP="00721AB4">
            <w:pPr>
              <w:spacing w:before="0" w:after="80"/>
              <w:rPr>
                <w:rFonts w:cs="Arial"/>
                <w:b/>
                <w:lang w:val="en-GB"/>
              </w:rPr>
            </w:pPr>
          </w:p>
        </w:tc>
        <w:tc>
          <w:tcPr>
            <w:tcW w:w="2693" w:type="dxa"/>
            <w:shd w:val="clear" w:color="auto" w:fill="2CD5C4"/>
          </w:tcPr>
          <w:p w14:paraId="5BFD45A2" w14:textId="77777777" w:rsidR="005466ED" w:rsidRPr="00EA29CE" w:rsidRDefault="005466ED" w:rsidP="00721AB4">
            <w:pPr>
              <w:spacing w:before="0" w:after="80"/>
              <w:ind w:left="720"/>
              <w:rPr>
                <w:rFonts w:cs="Arial"/>
                <w:b/>
                <w:lang w:val="en-GB"/>
              </w:rPr>
            </w:pPr>
            <w:r w:rsidRPr="00EA29CE">
              <w:rPr>
                <w:rFonts w:cs="Arial"/>
                <w:b/>
                <w:lang w:val="en-GB"/>
              </w:rPr>
              <w:t>ETF C</w:t>
            </w:r>
            <w:r>
              <w:rPr>
                <w:rFonts w:cs="Arial"/>
                <w:b/>
                <w:lang w:val="en-GB"/>
              </w:rPr>
              <w:t>l</w:t>
            </w:r>
            <w:r w:rsidRPr="00EA29CE">
              <w:rPr>
                <w:rFonts w:cs="Arial"/>
                <w:b/>
                <w:lang w:val="en-GB"/>
              </w:rPr>
              <w:t>ass</w:t>
            </w:r>
            <w:r>
              <w:rPr>
                <w:rFonts w:cs="Arial"/>
                <w:b/>
                <w:lang w:val="en-GB"/>
              </w:rPr>
              <w:t>es</w:t>
            </w:r>
          </w:p>
        </w:tc>
        <w:tc>
          <w:tcPr>
            <w:tcW w:w="3118" w:type="dxa"/>
            <w:shd w:val="clear" w:color="auto" w:fill="2CD5C4"/>
          </w:tcPr>
          <w:p w14:paraId="1E655176" w14:textId="77777777" w:rsidR="005466ED" w:rsidRPr="00EA29CE" w:rsidRDefault="005466ED" w:rsidP="00721AB4">
            <w:pPr>
              <w:spacing w:before="0" w:after="80"/>
              <w:ind w:left="720"/>
              <w:rPr>
                <w:rFonts w:cs="Arial"/>
                <w:b/>
                <w:lang w:val="en-GB"/>
              </w:rPr>
            </w:pPr>
            <w:r w:rsidRPr="00EA29CE">
              <w:rPr>
                <w:rFonts w:cs="Arial"/>
                <w:b/>
                <w:lang w:val="en-GB"/>
              </w:rPr>
              <w:t>Non-ETF Class</w:t>
            </w:r>
            <w:r>
              <w:rPr>
                <w:rFonts w:cs="Arial"/>
                <w:b/>
                <w:lang w:val="en-GB"/>
              </w:rPr>
              <w:t>es</w:t>
            </w:r>
          </w:p>
        </w:tc>
      </w:tr>
      <w:tr w:rsidR="005466ED" w:rsidRPr="00EA29CE" w14:paraId="1367F406" w14:textId="77777777" w:rsidTr="00721AB4">
        <w:trPr>
          <w:trHeight w:val="254"/>
        </w:trPr>
        <w:tc>
          <w:tcPr>
            <w:tcW w:w="3119" w:type="dxa"/>
            <w:shd w:val="clear" w:color="auto" w:fill="auto"/>
          </w:tcPr>
          <w:p w14:paraId="15A69F7E" w14:textId="77777777" w:rsidR="005466ED" w:rsidRDefault="005466ED" w:rsidP="00721AB4">
            <w:pPr>
              <w:spacing w:before="0"/>
              <w:rPr>
                <w:rFonts w:cs="Arial"/>
                <w:b/>
                <w:lang w:val="en-GB"/>
              </w:rPr>
            </w:pPr>
            <w:r w:rsidRPr="00EA29CE">
              <w:rPr>
                <w:rFonts w:cs="Arial"/>
                <w:b/>
                <w:lang w:val="en-GB"/>
              </w:rPr>
              <w:t>Total Expense Ratio or TER</w:t>
            </w:r>
            <w:r>
              <w:rPr>
                <w:rFonts w:cs="Arial"/>
                <w:b/>
                <w:lang w:val="en-GB"/>
              </w:rPr>
              <w:t xml:space="preserve"> </w:t>
            </w:r>
          </w:p>
          <w:p w14:paraId="34415208" w14:textId="77777777" w:rsidR="005466ED" w:rsidRPr="00EA29CE" w:rsidRDefault="005466ED" w:rsidP="00721AB4">
            <w:pPr>
              <w:spacing w:before="0"/>
              <w:rPr>
                <w:rFonts w:cs="Arial"/>
                <w:b/>
                <w:lang w:val="en-GB"/>
              </w:rPr>
            </w:pPr>
          </w:p>
        </w:tc>
        <w:tc>
          <w:tcPr>
            <w:tcW w:w="2693" w:type="dxa"/>
          </w:tcPr>
          <w:p w14:paraId="48F4CBA8" w14:textId="7E14B887" w:rsidR="005466ED" w:rsidRPr="00D20826" w:rsidRDefault="005466ED" w:rsidP="00721AB4">
            <w:pPr>
              <w:spacing w:before="0"/>
              <w:rPr>
                <w:rFonts w:cs="Arial"/>
              </w:rPr>
            </w:pPr>
            <w:r w:rsidRPr="006A47B3">
              <w:rPr>
                <w:rFonts w:cs="Arial"/>
                <w:lang w:val="en-GB"/>
              </w:rPr>
              <w:t>Up to</w:t>
            </w:r>
            <w:r w:rsidR="00CE5389">
              <w:rPr>
                <w:rFonts w:cs="Arial"/>
                <w:lang w:val="en-GB"/>
              </w:rPr>
              <w:t xml:space="preserve"> </w:t>
            </w:r>
            <w:r w:rsidRPr="006A47B3">
              <w:rPr>
                <w:rFonts w:cs="Arial"/>
              </w:rPr>
              <w:t>0.</w:t>
            </w:r>
            <w:r w:rsidR="00F54839">
              <w:rPr>
                <w:rFonts w:cs="Arial"/>
              </w:rPr>
              <w:t>35</w:t>
            </w:r>
            <w:r w:rsidRPr="006A47B3">
              <w:rPr>
                <w:rFonts w:cs="Arial"/>
              </w:rPr>
              <w:t xml:space="preserve">% </w:t>
            </w:r>
            <w:r w:rsidRPr="006A47B3">
              <w:rPr>
                <w:rFonts w:cs="Arial"/>
                <w:lang w:val="en-GB"/>
              </w:rPr>
              <w:t xml:space="preserve">per annum </w:t>
            </w:r>
          </w:p>
        </w:tc>
        <w:tc>
          <w:tcPr>
            <w:tcW w:w="3118" w:type="dxa"/>
            <w:shd w:val="clear" w:color="auto" w:fill="auto"/>
          </w:tcPr>
          <w:p w14:paraId="7235C232" w14:textId="4523A5DA" w:rsidR="005466ED" w:rsidRPr="006A47B3" w:rsidRDefault="005466ED" w:rsidP="00721AB4">
            <w:pPr>
              <w:spacing w:before="0"/>
              <w:rPr>
                <w:rFonts w:cs="Arial"/>
                <w:lang w:val="en-GB"/>
              </w:rPr>
            </w:pPr>
            <w:r w:rsidRPr="006A47B3" w:rsidDel="00E327FA">
              <w:rPr>
                <w:rFonts w:cs="Arial"/>
                <w:lang w:val="en-GB"/>
              </w:rPr>
              <w:t xml:space="preserve"> </w:t>
            </w:r>
            <w:r w:rsidRPr="006A47B3">
              <w:rPr>
                <w:rFonts w:cs="Arial"/>
                <w:lang w:val="en-GB"/>
              </w:rPr>
              <w:t xml:space="preserve">Up to </w:t>
            </w:r>
            <w:r w:rsidRPr="006A47B3">
              <w:rPr>
                <w:rFonts w:cs="Arial"/>
              </w:rPr>
              <w:t>0.</w:t>
            </w:r>
            <w:r w:rsidR="00F54839">
              <w:rPr>
                <w:rFonts w:cs="Arial"/>
              </w:rPr>
              <w:t>35</w:t>
            </w:r>
            <w:r w:rsidRPr="006A47B3">
              <w:rPr>
                <w:rFonts w:cs="Arial"/>
              </w:rPr>
              <w:t xml:space="preserve">% </w:t>
            </w:r>
            <w:r w:rsidRPr="006A47B3">
              <w:rPr>
                <w:rFonts w:cs="Arial"/>
                <w:lang w:val="en-GB"/>
              </w:rPr>
              <w:t xml:space="preserve">per annum </w:t>
            </w:r>
          </w:p>
        </w:tc>
      </w:tr>
    </w:tbl>
    <w:p w14:paraId="16094766" w14:textId="77777777" w:rsidR="005466ED" w:rsidRPr="005D7320" w:rsidRDefault="005466ED" w:rsidP="005466ED">
      <w:pPr>
        <w:pStyle w:val="ALGHd2"/>
        <w:numPr>
          <w:ilvl w:val="0"/>
          <w:numId w:val="0"/>
        </w:numPr>
        <w:ind w:left="624"/>
        <w:jc w:val="both"/>
        <w:rPr>
          <w:lang w:val="en-GB"/>
        </w:rPr>
      </w:pPr>
      <w:r w:rsidRPr="00A14B0F">
        <w:rPr>
          <w:b w:val="0"/>
        </w:rPr>
        <w:t>The Total Expense Ratio or TER, a percentage of the Net Asset Value of the relevant Class of Shares (plus VAT, if any), is payable by the ICAV out of the Sub-Fund Assets to the Manager. The TER will accrue on each day and will be calculated on each Dealing Day and paid monthly in arrears. The TER will cover all of the ordinary fees, operating costs and expenses payable by the Sub-Fund including fees and expenses paid to the Manager, all ordinary costs and expenses connected with the management and operating activities of the Sub-Fund, including investment management and advisory fees, Director's fees, registration, listing, transfer agency, administration, custody and depositary fees, common depository fees, registrar fees, regulators and auditors and certain legal expenses of the ICAV.</w:t>
      </w:r>
      <w:r w:rsidRPr="005D7320">
        <w:t xml:space="preserve"> </w:t>
      </w:r>
    </w:p>
    <w:p w14:paraId="7D04D6E3" w14:textId="77777777" w:rsidR="005466ED" w:rsidRPr="0096252A" w:rsidRDefault="005466ED" w:rsidP="005466ED">
      <w:pPr>
        <w:pStyle w:val="ALGHd2"/>
        <w:numPr>
          <w:ilvl w:val="0"/>
          <w:numId w:val="0"/>
        </w:numPr>
        <w:ind w:left="624"/>
        <w:jc w:val="both"/>
        <w:rPr>
          <w:b w:val="0"/>
        </w:rPr>
      </w:pPr>
      <w:r w:rsidRPr="0096252A">
        <w:rPr>
          <w:b w:val="0"/>
        </w:rPr>
        <w:t xml:space="preserve">The TER does not include extraordinary/other costs and expenses (including but not limited to transaction charges, stamp duty or other taxes on the investments of the ICAV including duty charges for portfolio re-balancing, withholding taxes, commissions and brokerage fees incurred with respect to the ICAV's investments, interest on any non-overdraft credit facility and charges incurred in negotiating, effecting or varying the terms of such facility, any commissions charged by intermediaries in relation to an investment in the Sub-Fund and such extraordinary or exceptional costs and expenses (if any) as may arise from time to time, such as material litigation in relation to the ICAV all of which will be paid separately out of the assets of the Sub-Fund). </w:t>
      </w:r>
    </w:p>
    <w:p w14:paraId="3DB4C391" w14:textId="77777777" w:rsidR="005466ED" w:rsidRPr="004F54BE" w:rsidRDefault="005466ED" w:rsidP="005466ED">
      <w:pPr>
        <w:pStyle w:val="ALGHd2"/>
        <w:numPr>
          <w:ilvl w:val="0"/>
          <w:numId w:val="0"/>
        </w:numPr>
        <w:ind w:left="624"/>
        <w:jc w:val="both"/>
        <w:rPr>
          <w:b w:val="0"/>
        </w:rPr>
      </w:pPr>
      <w:r w:rsidRPr="0096252A">
        <w:rPr>
          <w:b w:val="0"/>
        </w:rPr>
        <w:t xml:space="preserve">This section entitled </w:t>
      </w:r>
      <w:r w:rsidRPr="0096252A">
        <w:t xml:space="preserve">Charges and Expenses </w:t>
      </w:r>
      <w:r w:rsidRPr="0096252A">
        <w:rPr>
          <w:b w:val="0"/>
        </w:rPr>
        <w:t xml:space="preserve">should be read in conjunction with the sections entitled </w:t>
      </w:r>
      <w:r w:rsidRPr="0096252A">
        <w:t>General Charges and Expenses and Management Charges and Expenses</w:t>
      </w:r>
      <w:r w:rsidRPr="0096252A">
        <w:rPr>
          <w:b w:val="0"/>
        </w:rPr>
        <w:t xml:space="preserve"> in the Prospectus.</w:t>
      </w:r>
    </w:p>
    <w:p w14:paraId="5ABF6A51" w14:textId="77777777" w:rsidR="005466ED" w:rsidRPr="002B6894" w:rsidRDefault="005466ED" w:rsidP="005466ED">
      <w:pPr>
        <w:keepNext/>
        <w:numPr>
          <w:ilvl w:val="0"/>
          <w:numId w:val="3"/>
        </w:numPr>
        <w:jc w:val="left"/>
        <w:outlineLvl w:val="0"/>
        <w:rPr>
          <w:rFonts w:cs="Arial"/>
          <w:b/>
        </w:rPr>
      </w:pPr>
      <w:bookmarkStart w:id="28" w:name="_Toc161244426"/>
      <w:r w:rsidRPr="002B6894">
        <w:rPr>
          <w:rFonts w:cs="Arial"/>
          <w:b/>
        </w:rPr>
        <w:t>MATERIAL CONTRACTS</w:t>
      </w:r>
      <w:bookmarkEnd w:id="28"/>
    </w:p>
    <w:p w14:paraId="7C5E7AB1" w14:textId="77777777" w:rsidR="005466ED" w:rsidRPr="002B6894" w:rsidRDefault="005466ED" w:rsidP="005466ED">
      <w:pPr>
        <w:pStyle w:val="ALGNo1"/>
        <w:numPr>
          <w:ilvl w:val="0"/>
          <w:numId w:val="0"/>
        </w:numPr>
        <w:ind w:left="624"/>
      </w:pPr>
      <w:bookmarkStart w:id="29" w:name="_Toc161244427"/>
      <w:r w:rsidRPr="002B6894">
        <w:t xml:space="preserve">The Investment Management Agreement provides that the appointment of the Investment Manager as investment manager will continue in force unless and until terminated by the Manager immediately on written notice to the Investment Manager or by the Investment Manager giving not less than </w:t>
      </w:r>
      <w:r>
        <w:rPr>
          <w:rFonts w:cs="Arial"/>
        </w:rPr>
        <w:t>ninety</w:t>
      </w:r>
      <w:r w:rsidRPr="00651740">
        <w:rPr>
          <w:rFonts w:cs="Arial"/>
        </w:rPr>
        <w:t xml:space="preserve"> </w:t>
      </w:r>
      <w:r w:rsidRPr="002B6894">
        <w:t>(</w:t>
      </w:r>
      <w:r>
        <w:rPr>
          <w:rFonts w:cs="Arial"/>
        </w:rPr>
        <w:t>90</w:t>
      </w:r>
      <w:r w:rsidRPr="002B6894">
        <w:t xml:space="preserve">) days' notice in writing to the Manager although in certain circumstances the agreement may be terminated forthwith by notice in writing by either party to the other. Under this agreement, the Investment Manager shall not be liable to the Manager or any Shareholders or otherwise for any error of judgement or loss suffered by the Manager or any such Shareholder in connection with the Investment Management Agreement unless such loss arises from the </w:t>
      </w:r>
      <w:r>
        <w:t xml:space="preserve">gross </w:t>
      </w:r>
      <w:r w:rsidRPr="002B6894">
        <w:t>negligence,</w:t>
      </w:r>
      <w:r>
        <w:t xml:space="preserve"> bad faith,</w:t>
      </w:r>
      <w:r w:rsidRPr="002B6894">
        <w:t xml:space="preserve"> fraud or wilful default in the performance or non-performance by the Investment Manager or persons designated by it of its obligations or duties under the agreement or breach of contract on the part of the Investment Manager or any of its agents or delegates or their agents</w:t>
      </w:r>
      <w:r>
        <w:t>. The Investment Manager is only responsible for the selection and instruction of brokers and counterparties, but in no event, the Investment Manager is responsible for the performance of any broker’s or counterparty’s obligations versus the Sub-Fund. The Investment Manager does not give any representation that the investment objective of the Sub-Fund will be achieved.</w:t>
      </w:r>
    </w:p>
    <w:p w14:paraId="4F95CD43" w14:textId="77777777" w:rsidR="005466ED" w:rsidRPr="002B6894" w:rsidRDefault="005466ED" w:rsidP="005466ED">
      <w:pPr>
        <w:keepNext/>
        <w:numPr>
          <w:ilvl w:val="0"/>
          <w:numId w:val="3"/>
        </w:numPr>
        <w:jc w:val="left"/>
        <w:outlineLvl w:val="0"/>
        <w:rPr>
          <w:rFonts w:cs="Arial"/>
          <w:b/>
        </w:rPr>
      </w:pPr>
      <w:r w:rsidRPr="002B6894">
        <w:rPr>
          <w:rFonts w:cs="Arial"/>
          <w:b/>
        </w:rPr>
        <w:t>REGISTRATION FOR PUBLIC DISTRIBUTION AND LISTING</w:t>
      </w:r>
      <w:bookmarkEnd w:id="29"/>
    </w:p>
    <w:p w14:paraId="40F07202" w14:textId="77777777" w:rsidR="005466ED" w:rsidRPr="002B6894" w:rsidRDefault="005466ED" w:rsidP="005466ED">
      <w:pPr>
        <w:pStyle w:val="ALGNo2"/>
        <w:numPr>
          <w:ilvl w:val="0"/>
          <w:numId w:val="0"/>
        </w:numPr>
        <w:ind w:left="624"/>
        <w:rPr>
          <w:rFonts w:cs="Arial"/>
          <w:b/>
          <w:lang w:val="en-GB"/>
        </w:rPr>
      </w:pPr>
      <w:r w:rsidRPr="002B6894">
        <w:rPr>
          <w:rFonts w:cs="Arial"/>
        </w:rPr>
        <w:t>Application is expected to be made to register the Sub-Fund for public distribution in various European countries.</w:t>
      </w:r>
    </w:p>
    <w:p w14:paraId="63529B6E" w14:textId="77777777" w:rsidR="005466ED" w:rsidRPr="002B6894" w:rsidRDefault="005466ED" w:rsidP="005466ED">
      <w:pPr>
        <w:pStyle w:val="ALGNo2"/>
        <w:numPr>
          <w:ilvl w:val="0"/>
          <w:numId w:val="0"/>
        </w:numPr>
        <w:ind w:left="624"/>
        <w:rPr>
          <w:rFonts w:cs="Arial"/>
          <w:b/>
          <w:lang w:val="en-GB"/>
        </w:rPr>
      </w:pPr>
      <w:r w:rsidRPr="002B6894">
        <w:rPr>
          <w:rFonts w:cs="Arial"/>
        </w:rPr>
        <w:t xml:space="preserve">Application </w:t>
      </w:r>
      <w:r>
        <w:rPr>
          <w:rFonts w:cs="Arial"/>
        </w:rPr>
        <w:t xml:space="preserve">will be </w:t>
      </w:r>
      <w:r w:rsidRPr="002B6894">
        <w:rPr>
          <w:rFonts w:cs="Arial"/>
        </w:rPr>
        <w:t>made to list the Shares</w:t>
      </w:r>
      <w:r>
        <w:rPr>
          <w:rFonts w:cs="Arial"/>
        </w:rPr>
        <w:t xml:space="preserve"> in the ETF Classes</w:t>
      </w:r>
      <w:r w:rsidRPr="002B6894">
        <w:rPr>
          <w:rFonts w:cs="Arial"/>
        </w:rPr>
        <w:t xml:space="preserve"> on Euronext Dublin. Through the operation of such a secondary market, persons who are not Authorised Participants or not able or willing to subscribe for and redeem Creation Units will be able to buy </w:t>
      </w:r>
      <w:r w:rsidRPr="002B6894">
        <w:t>or sell Shares</w:t>
      </w:r>
      <w:r>
        <w:t xml:space="preserve"> </w:t>
      </w:r>
      <w:bookmarkStart w:id="30" w:name="_BPDCI_145"/>
      <w:r w:rsidRPr="004878D6">
        <w:t xml:space="preserve">in the ETF Classes from or </w:t>
      </w:r>
      <w:bookmarkEnd w:id="30"/>
      <w:r w:rsidRPr="004878D6">
        <w:t>to other retail investors or market makers, broker/dealers, or other Authorised Participants at prices which should approximate, after currency conversion, the Net Asset Value of the Shares</w:t>
      </w:r>
      <w:bookmarkStart w:id="31" w:name="_BPDCI_146"/>
      <w:r w:rsidRPr="004878D6">
        <w:t xml:space="preserve"> in the ETF Classes</w:t>
      </w:r>
      <w:bookmarkEnd w:id="31"/>
      <w:r w:rsidRPr="004878D6">
        <w:t>.</w:t>
      </w:r>
    </w:p>
    <w:p w14:paraId="7321A998" w14:textId="77777777" w:rsidR="005466ED" w:rsidRPr="002B6894" w:rsidRDefault="005466ED" w:rsidP="005466ED">
      <w:pPr>
        <w:keepNext/>
        <w:numPr>
          <w:ilvl w:val="0"/>
          <w:numId w:val="3"/>
        </w:numPr>
        <w:jc w:val="left"/>
        <w:outlineLvl w:val="0"/>
        <w:rPr>
          <w:rFonts w:cs="Arial"/>
          <w:b/>
        </w:rPr>
      </w:pPr>
      <w:bookmarkStart w:id="32" w:name="_Toc161244428"/>
      <w:r w:rsidRPr="002B6894">
        <w:rPr>
          <w:rFonts w:cs="Arial"/>
          <w:b/>
        </w:rPr>
        <w:t>HOW TO BUY AND SELL SHARES</w:t>
      </w:r>
      <w:bookmarkEnd w:id="32"/>
    </w:p>
    <w:p w14:paraId="6D7415DD" w14:textId="77777777" w:rsidR="005466ED" w:rsidRPr="00EA29CE" w:rsidRDefault="005466ED" w:rsidP="005466ED">
      <w:pPr>
        <w:pStyle w:val="Body1ALG"/>
      </w:pPr>
      <w:r w:rsidRPr="00EA29CE">
        <w:t xml:space="preserve">Applicants should note that investors in a Non-ETF Class can subscribe and redeem their Shares directly from the ICAV, whereas investors who have purchased Shares in an ETF </w:t>
      </w:r>
      <w:r w:rsidRPr="000179E2">
        <w:t xml:space="preserve">Class on the secondary market should be aware that such shares cannot usually be sold directly back to the ICAV.  Additionally, if exchanges are closed but it is a Dealing Day for the Sub-Fund, then Non-ETF Class investors may be able to subscribe and redeem with the </w:t>
      </w:r>
      <w:r>
        <w:t>Sub-Fund</w:t>
      </w:r>
      <w:r w:rsidRPr="000179E2">
        <w:t>, while other investors will likely have to wait for the Exchanges to</w:t>
      </w:r>
      <w:r w:rsidRPr="00EA29CE">
        <w:t xml:space="preserve"> open again to buy and sell Shares.</w:t>
      </w:r>
    </w:p>
    <w:p w14:paraId="1977C3FC" w14:textId="77777777" w:rsidR="005466ED" w:rsidRPr="00EA29CE" w:rsidRDefault="005466ED" w:rsidP="005466ED">
      <w:pPr>
        <w:pStyle w:val="Body1ALG"/>
        <w:rPr>
          <w:caps/>
        </w:rPr>
      </w:pPr>
      <w:r w:rsidRPr="00EA29CE">
        <w:t xml:space="preserve">Investors in an ETF Class can purchase or sell Shares on a stock exchange through an intermediary </w:t>
      </w:r>
      <w:r>
        <w:t xml:space="preserve">at any time during </w:t>
      </w:r>
      <w:r w:rsidRPr="00EA29CE">
        <w:t xml:space="preserve">the </w:t>
      </w:r>
      <w:r>
        <w:t xml:space="preserve">trading </w:t>
      </w:r>
      <w:r w:rsidRPr="00EA29CE">
        <w:t xml:space="preserve">day whereas investors in a Non-ETF Class may only purchase and sell shares directly with the ICAV prior to the Dealing Deadline for that Dealing Day. </w:t>
      </w:r>
    </w:p>
    <w:p w14:paraId="22A66866" w14:textId="77777777" w:rsidR="005466ED" w:rsidRPr="00EA29CE" w:rsidRDefault="005466ED" w:rsidP="005466ED">
      <w:pPr>
        <w:pStyle w:val="ALGHd2"/>
      </w:pPr>
      <w:r w:rsidRPr="00EA29CE">
        <w:t>ETF Classes</w:t>
      </w:r>
    </w:p>
    <w:p w14:paraId="64FFE054" w14:textId="77777777" w:rsidR="005466ED" w:rsidRPr="00EA29CE" w:rsidRDefault="005466ED" w:rsidP="005466ED">
      <w:pPr>
        <w:pStyle w:val="Body1ALG"/>
      </w:pPr>
      <w:r w:rsidRPr="00EA29CE">
        <w:t xml:space="preserve">Investors can buy and sell Shares in the ETF Classes on the secondary market </w:t>
      </w:r>
      <w:r>
        <w:t xml:space="preserve">with the assistance of an intermediary (e.g., a broker-dealer) </w:t>
      </w:r>
      <w:r w:rsidRPr="00EA29CE">
        <w:t xml:space="preserve">as described above in accordance with the procedures set out in the section entitled </w:t>
      </w:r>
      <w:r w:rsidRPr="00EA29CE">
        <w:rPr>
          <w:b/>
        </w:rPr>
        <w:t>Secondary Market</w:t>
      </w:r>
      <w:r w:rsidRPr="00EA29CE">
        <w:t xml:space="preserve"> in the Prospectus</w:t>
      </w:r>
      <w:r>
        <w:t xml:space="preserve"> and may incur fees charged by their intermediary or broker.</w:t>
      </w:r>
      <w:r w:rsidRPr="00894362">
        <w:t xml:space="preserve"> </w:t>
      </w:r>
      <w:r w:rsidRPr="00EA29CE">
        <w:t>In addition, investors in ETF Classes may pay more than the current Net Asset Value when buying Shares and may receive less than the current Net Asset Value when selling them.</w:t>
      </w:r>
    </w:p>
    <w:p w14:paraId="474DD719" w14:textId="77777777" w:rsidR="005466ED" w:rsidRPr="00EA29CE" w:rsidRDefault="005466ED" w:rsidP="005466ED">
      <w:pPr>
        <w:pStyle w:val="Body1ALG"/>
      </w:pPr>
      <w:r w:rsidRPr="00EA29CE">
        <w:t xml:space="preserve">Investors can otherwise subscribe for or redeem Creation Units in accordance with the procedures set out in the section entitled </w:t>
      </w:r>
      <w:r w:rsidRPr="00EA29CE">
        <w:rPr>
          <w:b/>
        </w:rPr>
        <w:t>Primary Market</w:t>
      </w:r>
      <w:r w:rsidRPr="00EA29CE">
        <w:t xml:space="preserve"> in the Prospectus.</w:t>
      </w:r>
    </w:p>
    <w:p w14:paraId="1041B918" w14:textId="77777777" w:rsidR="005466ED" w:rsidRPr="00EA29CE" w:rsidRDefault="005466ED" w:rsidP="005466ED">
      <w:pPr>
        <w:pStyle w:val="ALGHd2"/>
      </w:pPr>
      <w:r w:rsidRPr="00EA29CE">
        <w:t>Non-ETF Classes</w:t>
      </w:r>
    </w:p>
    <w:p w14:paraId="44668D7C" w14:textId="77777777" w:rsidR="005466ED" w:rsidRPr="00EA29CE" w:rsidRDefault="005466ED" w:rsidP="005466ED">
      <w:pPr>
        <w:pStyle w:val="Body1ALG"/>
      </w:pPr>
      <w:r w:rsidRPr="00EA29CE">
        <w:t xml:space="preserve">Investors can buy and sell Shares in the Non-ETF Classes in accordance with the procedures set out in the section entitlement </w:t>
      </w:r>
      <w:r w:rsidRPr="00EA29CE">
        <w:rPr>
          <w:b/>
        </w:rPr>
        <w:t>Share Dealing – Non-ETF Sub-Funds</w:t>
      </w:r>
      <w:r w:rsidRPr="00EA29CE">
        <w:t xml:space="preserve"> in the Prospectus. Investors in Non-ETF Classes </w:t>
      </w:r>
      <w:r>
        <w:t xml:space="preserve">may </w:t>
      </w:r>
      <w:r w:rsidRPr="00EA29CE">
        <w:t xml:space="preserve">pay </w:t>
      </w:r>
      <w:r>
        <w:t xml:space="preserve">the Preliminary Charge and the Redemption Charge in the section entitled </w:t>
      </w:r>
      <w:r w:rsidRPr="00062F14">
        <w:rPr>
          <w:b/>
        </w:rPr>
        <w:t>Charges and Expenses</w:t>
      </w:r>
      <w:r w:rsidRPr="00EA29CE">
        <w:t xml:space="preserve"> to cover transactions costs of purchasing and selling </w:t>
      </w:r>
      <w:r>
        <w:t xml:space="preserve">Shares </w:t>
      </w:r>
      <w:r w:rsidRPr="00EA29CE">
        <w:t xml:space="preserve">of the </w:t>
      </w:r>
      <w:r>
        <w:t>Sub-</w:t>
      </w:r>
      <w:r w:rsidRPr="00EA29CE">
        <w:t xml:space="preserve">Fund. </w:t>
      </w:r>
    </w:p>
    <w:p w14:paraId="2D4E97A1" w14:textId="77777777" w:rsidR="005466ED" w:rsidRPr="002B6894" w:rsidRDefault="005466ED" w:rsidP="005466ED">
      <w:pPr>
        <w:keepNext/>
        <w:numPr>
          <w:ilvl w:val="0"/>
          <w:numId w:val="3"/>
        </w:numPr>
        <w:jc w:val="left"/>
        <w:outlineLvl w:val="0"/>
        <w:rPr>
          <w:rFonts w:cs="Arial"/>
          <w:b/>
        </w:rPr>
      </w:pPr>
      <w:bookmarkStart w:id="33" w:name="_Toc161244429"/>
      <w:r w:rsidRPr="002B6894">
        <w:rPr>
          <w:rFonts w:cs="Arial"/>
          <w:b/>
        </w:rPr>
        <w:t>CLASSIFICATION AS AN EQUITY FUND FOR GERMAN TAX PURPOSES</w:t>
      </w:r>
      <w:bookmarkEnd w:id="33"/>
    </w:p>
    <w:p w14:paraId="3B1BBD33" w14:textId="77777777" w:rsidR="005466ED" w:rsidRPr="002B6894" w:rsidRDefault="005466ED" w:rsidP="005466ED">
      <w:pPr>
        <w:pStyle w:val="ALGNo2"/>
        <w:numPr>
          <w:ilvl w:val="0"/>
          <w:numId w:val="0"/>
        </w:numPr>
        <w:ind w:left="624"/>
        <w:rPr>
          <w:rFonts w:cs="Arial"/>
        </w:rPr>
      </w:pPr>
      <w:r w:rsidRPr="002B6894">
        <w:rPr>
          <w:rFonts w:cs="Arial"/>
        </w:rPr>
        <w:t xml:space="preserve">The Sub-Fund will be managed in such a way to ensure that it qualifies as an "Equity Fund", as such term is  defined  in  the  German  Investment  Tax  Act  2018  (as  amended),  please  see  sections  headed </w:t>
      </w:r>
      <w:r w:rsidRPr="002B6894">
        <w:rPr>
          <w:rFonts w:cs="Arial"/>
          <w:b/>
        </w:rPr>
        <w:t>Classification as an Equity Fund or as a Mixed Fund for German Tax Purposes</w:t>
      </w:r>
      <w:r w:rsidRPr="002B6894">
        <w:rPr>
          <w:rFonts w:cs="Arial"/>
        </w:rPr>
        <w:t xml:space="preserve"> and </w:t>
      </w:r>
      <w:r w:rsidRPr="002B6894">
        <w:rPr>
          <w:rFonts w:cs="Arial"/>
          <w:b/>
        </w:rPr>
        <w:t>Additional Information for German Tax Purposes</w:t>
      </w:r>
      <w:r w:rsidRPr="002B6894">
        <w:rPr>
          <w:rFonts w:cs="Arial"/>
        </w:rPr>
        <w:t xml:space="preserve"> within the Prospectus for further details.</w:t>
      </w:r>
    </w:p>
    <w:p w14:paraId="323632D5" w14:textId="77777777" w:rsidR="005466ED" w:rsidRPr="002B6894" w:rsidRDefault="005466ED" w:rsidP="005466ED">
      <w:pPr>
        <w:keepNext/>
        <w:numPr>
          <w:ilvl w:val="0"/>
          <w:numId w:val="3"/>
        </w:numPr>
        <w:jc w:val="left"/>
        <w:outlineLvl w:val="0"/>
        <w:rPr>
          <w:rFonts w:cs="Arial"/>
          <w:b/>
        </w:rPr>
      </w:pPr>
      <w:bookmarkStart w:id="34" w:name="_Toc161244430"/>
      <w:r w:rsidRPr="002B6894">
        <w:rPr>
          <w:rFonts w:cs="Arial"/>
          <w:b/>
        </w:rPr>
        <w:t>OTHER INFORMATION</w:t>
      </w:r>
      <w:bookmarkEnd w:id="34"/>
    </w:p>
    <w:p w14:paraId="6448DF08" w14:textId="77777777" w:rsidR="005466ED" w:rsidRPr="002B6894" w:rsidRDefault="005466ED" w:rsidP="005466ED">
      <w:pPr>
        <w:pStyle w:val="ALGNo2"/>
        <w:numPr>
          <w:ilvl w:val="0"/>
          <w:numId w:val="0"/>
        </w:numPr>
        <w:ind w:left="624"/>
        <w:rPr>
          <w:rFonts w:cs="Arial"/>
          <w:b/>
        </w:rPr>
      </w:pPr>
      <w:r w:rsidRPr="002B6894">
        <w:rPr>
          <w:rFonts w:cs="Arial"/>
        </w:rPr>
        <w:t xml:space="preserve">New Sub-Funds may be created from time to time by the Directors with the prior approval of the Central Bank in which case further Supplements incorporating provisions relating to those Sub-Funds will be issued by the ICAV. </w:t>
      </w:r>
    </w:p>
    <w:p w14:paraId="5AA124F3" w14:textId="77777777" w:rsidR="005466ED" w:rsidRPr="002B6894" w:rsidRDefault="005466ED" w:rsidP="005466ED">
      <w:pPr>
        <w:pStyle w:val="ALGNo2"/>
        <w:numPr>
          <w:ilvl w:val="0"/>
          <w:numId w:val="0"/>
        </w:numPr>
        <w:ind w:left="624"/>
        <w:rPr>
          <w:rFonts w:cs="Arial"/>
          <w:b/>
        </w:rPr>
      </w:pPr>
      <w:r w:rsidRPr="002B6894">
        <w:rPr>
          <w:rFonts w:cs="Arial"/>
        </w:rPr>
        <w:t xml:space="preserve">The names of the Sub-Funds currently approved by the Central Bank are listed in the Global Supplement. </w:t>
      </w:r>
    </w:p>
    <w:p w14:paraId="73135F75" w14:textId="77777777" w:rsidR="005466ED" w:rsidRDefault="005466ED" w:rsidP="005466ED">
      <w:pPr>
        <w:sectPr w:rsidR="005466ED" w:rsidSect="00CA1320">
          <w:headerReference w:type="even" r:id="rId17"/>
          <w:headerReference w:type="default" r:id="rId18"/>
          <w:footerReference w:type="even" r:id="rId19"/>
          <w:footerReference w:type="default" r:id="rId20"/>
          <w:headerReference w:type="first" r:id="rId21"/>
          <w:footerReference w:type="first" r:id="rId22"/>
          <w:pgSz w:w="11906" w:h="16838" w:code="9"/>
          <w:pgMar w:top="1134" w:right="1134" w:bottom="1134" w:left="1134" w:header="709" w:footer="709" w:gutter="0"/>
          <w:pgNumType w:start="1"/>
          <w:cols w:space="708"/>
          <w:docGrid w:linePitch="360"/>
        </w:sectPr>
      </w:pPr>
    </w:p>
    <w:p w14:paraId="4941FBE5" w14:textId="77777777" w:rsidR="005466ED" w:rsidRPr="00041FFD" w:rsidRDefault="005466ED" w:rsidP="005466ED">
      <w:pPr>
        <w:pStyle w:val="ScheduleHeading"/>
        <w:numPr>
          <w:ilvl w:val="0"/>
          <w:numId w:val="0"/>
        </w:numPr>
        <w:rPr>
          <w:noProof/>
        </w:rPr>
      </w:pPr>
      <w:bookmarkStart w:id="35" w:name="_Toc161244431"/>
      <w:bookmarkStart w:id="36" w:name="_Hlk76155777"/>
      <w:bookmarkStart w:id="37" w:name="_Toc238803087"/>
      <w:bookmarkStart w:id="38" w:name="_Toc238803888"/>
      <w:bookmarkStart w:id="39" w:name="_Toc298787970"/>
      <w:bookmarkStart w:id="40" w:name="_Toc298788159"/>
      <w:bookmarkStart w:id="41" w:name="_Toc298788642"/>
      <w:bookmarkStart w:id="42" w:name="_Toc305686692"/>
      <w:bookmarkStart w:id="43" w:name="_Toc306350114"/>
      <w:bookmarkStart w:id="44" w:name="_Toc331517266"/>
      <w:r w:rsidRPr="00041FFD">
        <w:rPr>
          <w:noProof/>
        </w:rPr>
        <w:t>ANNEX</w:t>
      </w:r>
      <w:bookmarkEnd w:id="35"/>
    </w:p>
    <w:p w14:paraId="03696BB8" w14:textId="77777777" w:rsidR="005466ED" w:rsidRPr="00A81102" w:rsidRDefault="005466ED" w:rsidP="005466ED">
      <w:pPr>
        <w:spacing w:before="0" w:after="160" w:line="259" w:lineRule="auto"/>
        <w:ind w:left="-993"/>
        <w:jc w:val="center"/>
        <w:rPr>
          <w:rFonts w:ascii="Calibri" w:eastAsia="Times New Roman" w:hAnsi="Calibri" w:cs="Times New Roman"/>
          <w:bCs/>
          <w:i/>
          <w:iCs/>
          <w:noProof/>
          <w:sz w:val="22"/>
          <w:szCs w:val="24"/>
          <w:lang w:val="en-US"/>
        </w:rPr>
      </w:pPr>
      <w:bookmarkStart w:id="45" w:name="_Hlk115192659"/>
      <w:bookmarkEnd w:id="36"/>
      <w:bookmarkEnd w:id="37"/>
      <w:bookmarkEnd w:id="38"/>
      <w:bookmarkEnd w:id="39"/>
      <w:bookmarkEnd w:id="40"/>
      <w:bookmarkEnd w:id="41"/>
      <w:bookmarkEnd w:id="42"/>
      <w:bookmarkEnd w:id="43"/>
      <w:bookmarkEnd w:id="44"/>
    </w:p>
    <w:p w14:paraId="7E56180E" w14:textId="1C3CD5EC" w:rsidR="005466ED" w:rsidRPr="0027548C" w:rsidRDefault="005466ED" w:rsidP="005466ED">
      <w:pPr>
        <w:tabs>
          <w:tab w:val="center" w:pos="4513"/>
          <w:tab w:val="right" w:pos="9026"/>
        </w:tabs>
        <w:spacing w:before="0" w:line="240" w:lineRule="auto"/>
        <w:ind w:left="-567"/>
        <w:jc w:val="left"/>
        <w:rPr>
          <w:rFonts w:ascii="Calibri" w:eastAsia="Calibri" w:hAnsi="Calibri" w:cs="Times New Roman"/>
          <w:noProof/>
          <w:sz w:val="20"/>
          <w:szCs w:val="20"/>
          <w:lang w:val="en-US"/>
        </w:rPr>
      </w:pPr>
      <w:r w:rsidRPr="005F217B">
        <w:rPr>
          <w:rFonts w:ascii="Calibri" w:eastAsia="Calibri" w:hAnsi="Calibri" w:cs="Times New Roman"/>
          <w:b/>
          <w:noProof/>
          <w:sz w:val="22"/>
          <w:szCs w:val="22"/>
          <w:lang w:val="en-GB" w:eastAsia="en-GB"/>
        </w:rPr>
        <mc:AlternateContent>
          <mc:Choice Requires="wps">
            <w:drawing>
              <wp:anchor distT="0" distB="0" distL="114300" distR="114300" simplePos="0" relativeHeight="251659264" behindDoc="0" locked="0" layoutInCell="1" allowOverlap="1" wp14:anchorId="3C9B17D1" wp14:editId="24ED7562">
                <wp:simplePos x="0" y="0"/>
                <wp:positionH relativeFrom="page">
                  <wp:align>left</wp:align>
                </wp:positionH>
                <wp:positionV relativeFrom="margin">
                  <wp:posOffset>900430</wp:posOffset>
                </wp:positionV>
                <wp:extent cx="1176020" cy="2139315"/>
                <wp:effectExtent l="0" t="0" r="5080" b="0"/>
                <wp:wrapSquare wrapText="bothSides"/>
                <wp:docPr id="900" name="Rectangle 900"/>
                <wp:cNvGraphicFramePr/>
                <a:graphic xmlns:a="http://schemas.openxmlformats.org/drawingml/2006/main">
                  <a:graphicData uri="http://schemas.microsoft.com/office/word/2010/wordprocessingShape">
                    <wps:wsp>
                      <wps:cNvSpPr/>
                      <wps:spPr>
                        <a:xfrm>
                          <a:off x="0" y="0"/>
                          <a:ext cx="1176020" cy="2139315"/>
                        </a:xfrm>
                        <a:prstGeom prst="rect">
                          <a:avLst/>
                        </a:prstGeom>
                        <a:solidFill>
                          <a:sysClr val="window" lastClr="FFFFFF">
                            <a:lumMod val="95000"/>
                          </a:sysClr>
                        </a:solidFill>
                        <a:ln w="12700" cap="flat" cmpd="sng" algn="ctr">
                          <a:noFill/>
                          <a:prstDash val="solid"/>
                          <a:miter lim="800000"/>
                        </a:ln>
                        <a:effectLst/>
                      </wps:spPr>
                      <wps:txbx>
                        <w:txbxContent>
                          <w:p w14:paraId="6A7DA744" w14:textId="77777777" w:rsidR="005466ED" w:rsidRPr="00A81102" w:rsidRDefault="005466ED" w:rsidP="005466ED">
                            <w:pPr>
                              <w:spacing w:before="0"/>
                              <w:ind w:left="-142" w:right="-341"/>
                              <w:rPr>
                                <w:color w:val="000000"/>
                                <w:sz w:val="16"/>
                                <w:szCs w:val="16"/>
                              </w:rPr>
                            </w:pPr>
                            <w:r w:rsidRPr="00A81102">
                              <w:rPr>
                                <w:rFonts w:ascii="Calibri" w:eastAsia="Calibri" w:hAnsi="Calibri" w:cs="Calibri"/>
                                <w:b/>
                                <w:bCs/>
                                <w:sz w:val="16"/>
                                <w:szCs w:val="16"/>
                              </w:rPr>
                              <w:t xml:space="preserve">Sustainable investment </w:t>
                            </w:r>
                            <w:r w:rsidRPr="00A81102">
                              <w:rPr>
                                <w:rFonts w:ascii="Calibri" w:eastAsia="Calibri" w:hAnsi="Calibri" w:cs="Calibri"/>
                                <w:sz w:val="16"/>
                                <w:szCs w:val="16"/>
                              </w:rPr>
                              <w:t>means an investment in an economic activity that contributes to an environmental or social objective, provided that the investment does not significantly harm any environmental or social objective and that the investee companies follow good governance practices.</w:t>
                            </w:r>
                          </w:p>
                        </w:txbxContent>
                      </wps:txbx>
                      <wps:bodyPr rot="0" spcFirstLastPara="0" vertOverflow="overflow" horzOverflow="overflow" vert="horz" wrap="square" lIns="144000" tIns="36000" rIns="25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9B17D1" id="Rectangle 900" o:spid="_x0000_s1026" style="position:absolute;left:0;text-align:left;margin-left:0;margin-top:70.9pt;width:92.6pt;height:168.4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" fillcolor="#f2f2f2" stroked="f" strokeweight="1pt">
                <v:textbox inset="4mm,1mm,7mm">
                  <w:txbxContent>
                    <w:p w14:paraId="6A7DA744" w14:textId="77777777" w:rsidR="005466ED" w:rsidRPr="00A81102" w:rsidRDefault="005466ED" w:rsidP="005466ED">
                      <w:pPr>
                        <w:spacing w:before="0"/>
                        <w:ind w:left="-142" w:right="-341"/>
                        <w:rPr>
                          <w:color w:val="000000"/>
                          <w:sz w:val="16"/>
                          <w:szCs w:val="16"/>
                        </w:rPr>
                      </w:pPr>
                      <w:r w:rsidRPr="00A81102">
                        <w:rPr>
                          <w:rFonts w:ascii="Calibri" w:eastAsia="Calibri" w:hAnsi="Calibri" w:cs="Calibri"/>
                          <w:b/>
                          <w:bCs/>
                          <w:sz w:val="16"/>
                          <w:szCs w:val="16"/>
                        </w:rPr>
                        <w:t xml:space="preserve">Sustainable investment </w:t>
                      </w:r>
                      <w:r w:rsidRPr="00A81102">
                        <w:rPr>
                          <w:rFonts w:ascii="Calibri" w:eastAsia="Calibri" w:hAnsi="Calibri" w:cs="Calibri"/>
                          <w:sz w:val="16"/>
                          <w:szCs w:val="16"/>
                        </w:rPr>
                        <w:t>means an investment in an economic activity that contributes to an environmental or social objective, provided that the investment does not significantly harm any environmental or social objective and that the investee companies follow good governance practices.</w:t>
                      </w:r>
                    </w:p>
                  </w:txbxContent>
                </v:textbox>
                <w10:wrap type="square" anchorx="page" anchory="margin"/>
              </v:rect>
            </w:pict>
          </mc:Fallback>
        </mc:AlternateContent>
      </w:r>
      <w:r w:rsidRPr="005F217B">
        <w:rPr>
          <w:rFonts w:ascii="Calibri" w:eastAsia="Calibri" w:hAnsi="Calibri" w:cs="Times New Roman"/>
          <w:b/>
          <w:noProof/>
          <w:sz w:val="20"/>
          <w:szCs w:val="20"/>
          <w:lang w:val="en-US"/>
        </w:rPr>
        <w:t xml:space="preserve">Product name: </w:t>
      </w:r>
      <w:r w:rsidRPr="005D7320">
        <w:t xml:space="preserve">ODDO BHF </w:t>
      </w:r>
      <w:r>
        <w:t>US</w:t>
      </w:r>
      <w:r w:rsidRPr="005D7320">
        <w:t xml:space="preserve"> Equity Active </w:t>
      </w:r>
      <w:r>
        <w:rPr>
          <w:rFonts w:eastAsia="Arial" w:cs="Arial"/>
        </w:rPr>
        <w:t xml:space="preserve">UCITS </w:t>
      </w:r>
      <w:r w:rsidRPr="005D7320">
        <w:t>ETF (</w:t>
      </w:r>
      <w:r w:rsidRPr="0027548C">
        <w:rPr>
          <w:rFonts w:asciiTheme="minorHAnsi" w:eastAsia="Calibri" w:hAnsiTheme="minorHAnsi" w:cstheme="minorHAnsi"/>
          <w:noProof/>
          <w:sz w:val="20"/>
          <w:szCs w:val="20"/>
          <w:lang w:val="en-US"/>
        </w:rPr>
        <w:t xml:space="preserve">the </w:t>
      </w:r>
      <w:r w:rsidRPr="0027548C">
        <w:rPr>
          <w:rFonts w:asciiTheme="minorHAnsi" w:eastAsia="Calibri" w:hAnsiTheme="minorHAnsi" w:cstheme="minorHAnsi"/>
          <w:b/>
          <w:bCs/>
          <w:noProof/>
          <w:sz w:val="20"/>
          <w:szCs w:val="20"/>
          <w:lang w:val="en-US"/>
        </w:rPr>
        <w:t>Sub-Fund</w:t>
      </w:r>
      <w:r w:rsidRPr="0027548C">
        <w:rPr>
          <w:rFonts w:asciiTheme="minorHAnsi" w:eastAsia="Calibri" w:hAnsiTheme="minorHAnsi" w:cstheme="minorHAnsi"/>
          <w:noProof/>
          <w:sz w:val="20"/>
          <w:szCs w:val="20"/>
          <w:lang w:val="en-US"/>
        </w:rPr>
        <w:t>)</w:t>
      </w:r>
    </w:p>
    <w:p w14:paraId="47E5C35A" w14:textId="77777777" w:rsidR="005466ED" w:rsidRPr="00A81102" w:rsidRDefault="005466ED" w:rsidP="005466ED">
      <w:pPr>
        <w:tabs>
          <w:tab w:val="center" w:pos="4513"/>
          <w:tab w:val="right" w:pos="9026"/>
        </w:tabs>
        <w:spacing w:before="0" w:line="240" w:lineRule="auto"/>
        <w:ind w:left="-567"/>
        <w:jc w:val="left"/>
        <w:rPr>
          <w:rFonts w:ascii="Calibri" w:eastAsia="Calibri" w:hAnsi="Calibri" w:cs="Times New Roman"/>
          <w:b/>
          <w:noProof/>
          <w:sz w:val="20"/>
          <w:szCs w:val="20"/>
          <w:lang w:val="en-US"/>
        </w:rPr>
      </w:pPr>
      <w:r w:rsidRPr="0027548C">
        <w:rPr>
          <w:rFonts w:ascii="Calibri" w:eastAsia="Calibri" w:hAnsi="Calibri" w:cs="Times New Roman"/>
          <w:b/>
          <w:noProof/>
          <w:sz w:val="20"/>
          <w:szCs w:val="20"/>
          <w:lang w:val="en-US"/>
        </w:rPr>
        <w:t xml:space="preserve">Legal entity identifier: </w:t>
      </w:r>
      <w:r w:rsidRPr="00A14B0F">
        <w:rPr>
          <w:rFonts w:asciiTheme="minorHAnsi" w:hAnsiTheme="minorHAnsi" w:cstheme="minorHAnsi"/>
          <w:sz w:val="20"/>
          <w:szCs w:val="20"/>
          <w:lang w:val="en-US"/>
        </w:rPr>
        <w:t>[ • ]</w:t>
      </w:r>
      <w:r w:rsidRPr="005C1F9E">
        <w:rPr>
          <w:rFonts w:asciiTheme="minorHAnsi" w:hAnsiTheme="minorHAnsi" w:cstheme="minorHAnsi"/>
          <w:sz w:val="20"/>
          <w:szCs w:val="20"/>
          <w:lang w:val="en-US"/>
        </w:rPr>
        <w:t xml:space="preserve">  </w:t>
      </w:r>
    </w:p>
    <w:p w14:paraId="54842DAF" w14:textId="77777777" w:rsidR="005466ED" w:rsidRPr="00A81102" w:rsidRDefault="005466ED" w:rsidP="005466ED">
      <w:pPr>
        <w:tabs>
          <w:tab w:val="center" w:pos="4513"/>
          <w:tab w:val="right" w:pos="9026"/>
        </w:tabs>
        <w:spacing w:before="0" w:line="240" w:lineRule="auto"/>
        <w:jc w:val="left"/>
        <w:rPr>
          <w:rFonts w:ascii="Calibri" w:eastAsia="Calibri" w:hAnsi="Calibri" w:cs="Times New Roman"/>
          <w:noProof/>
          <w:color w:val="C00000"/>
          <w:sz w:val="18"/>
          <w:szCs w:val="18"/>
          <w:lang w:val="en-US"/>
        </w:rPr>
      </w:pPr>
    </w:p>
    <w:p w14:paraId="6DD9722E" w14:textId="77777777" w:rsidR="005466ED" w:rsidRPr="00A81102" w:rsidRDefault="005466ED" w:rsidP="005466ED">
      <w:pPr>
        <w:tabs>
          <w:tab w:val="center" w:pos="4513"/>
          <w:tab w:val="right" w:pos="9026"/>
        </w:tabs>
        <w:spacing w:before="0" w:line="240" w:lineRule="auto"/>
        <w:jc w:val="center"/>
        <w:rPr>
          <w:rFonts w:ascii="Lucida Sans" w:eastAsia="Calibri" w:hAnsi="Lucida Sans" w:cs="Times New Roman"/>
          <w:b/>
          <w:bCs/>
          <w:noProof/>
          <w:color w:val="49AB74"/>
          <w:sz w:val="36"/>
          <w:szCs w:val="40"/>
          <w:lang w:val="en-GB"/>
        </w:rPr>
      </w:pPr>
      <w:r w:rsidRPr="00A81102">
        <w:rPr>
          <w:rFonts w:ascii="Lucida Sans" w:eastAsia="Calibri" w:hAnsi="Lucida Sans" w:cs="Times New Roman"/>
          <w:b/>
          <w:bCs/>
          <w:noProof/>
          <w:color w:val="49AB74"/>
          <w:sz w:val="36"/>
          <w:szCs w:val="40"/>
          <w:lang w:val="en-GB"/>
        </w:rPr>
        <w:t>Sustainable investment objective</w:t>
      </w:r>
    </w:p>
    <w:p w14:paraId="49FE4639" w14:textId="77777777" w:rsidR="005466ED" w:rsidRPr="00A81102" w:rsidRDefault="005466ED" w:rsidP="005466ED">
      <w:pPr>
        <w:tabs>
          <w:tab w:val="center" w:pos="4513"/>
          <w:tab w:val="right" w:pos="9026"/>
        </w:tabs>
        <w:spacing w:before="0" w:line="240" w:lineRule="auto"/>
        <w:jc w:val="center"/>
        <w:rPr>
          <w:rFonts w:ascii="Lucida Sans" w:eastAsia="Calibri" w:hAnsi="Lucida Sans" w:cs="Times New Roman"/>
          <w:b/>
          <w:bCs/>
          <w:noProof/>
          <w:color w:val="49AB74"/>
          <w:sz w:val="16"/>
          <w:szCs w:val="16"/>
          <w:lang w:val="en-GB"/>
        </w:rPr>
      </w:pPr>
    </w:p>
    <w:p w14:paraId="3AD8C7C2" w14:textId="77777777" w:rsidR="005466ED" w:rsidRPr="00A81102" w:rsidRDefault="005466ED" w:rsidP="005466ED">
      <w:pPr>
        <w:spacing w:before="0" w:line="259" w:lineRule="auto"/>
        <w:ind w:left="-567"/>
        <w:jc w:val="left"/>
        <w:rPr>
          <w:rFonts w:ascii="Calibri" w:eastAsia="Calibri" w:hAnsi="Calibri" w:cs="Times New Roman"/>
          <w:bCs/>
          <w:iCs/>
          <w:noProof/>
          <w:sz w:val="18"/>
          <w:szCs w:val="22"/>
          <w:lang w:val="en-GB"/>
        </w:rPr>
      </w:pPr>
      <w:bookmarkStart w:id="46" w:name="_Hlk76163916"/>
      <w:r w:rsidRPr="00A81102">
        <w:rPr>
          <w:rFonts w:ascii="Calibri" w:eastAsia="Calibri" w:hAnsi="Calibri" w:cs="Times New Roman"/>
          <w:b/>
          <w:noProof/>
          <w:sz w:val="22"/>
          <w:szCs w:val="22"/>
          <w:lang w:val="en-GB" w:eastAsia="en-GB"/>
        </w:rPr>
        <mc:AlternateContent>
          <mc:Choice Requires="wps">
            <w:drawing>
              <wp:anchor distT="0" distB="0" distL="114300" distR="114300" simplePos="0" relativeHeight="251669504" behindDoc="0" locked="0" layoutInCell="1" allowOverlap="1" wp14:anchorId="44BCFCE1" wp14:editId="213E1A22">
                <wp:simplePos x="0" y="0"/>
                <wp:positionH relativeFrom="page">
                  <wp:align>left</wp:align>
                </wp:positionH>
                <wp:positionV relativeFrom="margin">
                  <wp:posOffset>3245181</wp:posOffset>
                </wp:positionV>
                <wp:extent cx="1215390" cy="3187700"/>
                <wp:effectExtent l="0" t="0" r="3810" b="0"/>
                <wp:wrapSquare wrapText="bothSides"/>
                <wp:docPr id="901" name="Rectangle 901"/>
                <wp:cNvGraphicFramePr/>
                <a:graphic xmlns:a="http://schemas.openxmlformats.org/drawingml/2006/main">
                  <a:graphicData uri="http://schemas.microsoft.com/office/word/2010/wordprocessingShape">
                    <wps:wsp>
                      <wps:cNvSpPr/>
                      <wps:spPr>
                        <a:xfrm>
                          <a:off x="0" y="0"/>
                          <a:ext cx="1215390" cy="3187700"/>
                        </a:xfrm>
                        <a:prstGeom prst="rect">
                          <a:avLst/>
                        </a:prstGeom>
                        <a:solidFill>
                          <a:sysClr val="window" lastClr="FFFFFF">
                            <a:lumMod val="95000"/>
                          </a:sysClr>
                        </a:solidFill>
                        <a:ln w="12700" cap="flat" cmpd="sng" algn="ctr">
                          <a:noFill/>
                          <a:prstDash val="solid"/>
                          <a:miter lim="800000"/>
                        </a:ln>
                        <a:effectLst/>
                      </wps:spPr>
                      <wps:txbx>
                        <w:txbxContent>
                          <w:p w14:paraId="7186BA69" w14:textId="77777777" w:rsidR="005466ED" w:rsidRPr="00A81102" w:rsidRDefault="005466ED" w:rsidP="005466ED">
                            <w:pPr>
                              <w:ind w:left="-142" w:right="-295"/>
                              <w:rPr>
                                <w:rFonts w:cs="Calibri"/>
                                <w:bCs/>
                                <w:color w:val="000000"/>
                                <w:sz w:val="16"/>
                                <w:szCs w:val="16"/>
                              </w:rPr>
                            </w:pPr>
                            <w:r w:rsidRPr="00A81102">
                              <w:rPr>
                                <w:rFonts w:ascii="Calibri" w:hAnsi="Calibri" w:cs="Calibri"/>
                                <w:bCs/>
                                <w:color w:val="000000"/>
                                <w:sz w:val="16"/>
                                <w:szCs w:val="16"/>
                              </w:rPr>
                              <w:t xml:space="preserve">The </w:t>
                            </w:r>
                            <w:r w:rsidRPr="00A81102">
                              <w:rPr>
                                <w:rFonts w:ascii="Calibri" w:hAnsi="Calibri" w:cs="Calibri"/>
                                <w:b/>
                                <w:bCs/>
                                <w:color w:val="000000"/>
                                <w:sz w:val="16"/>
                                <w:szCs w:val="16"/>
                              </w:rPr>
                              <w:t xml:space="preserve">EU Taxonomy </w:t>
                            </w:r>
                            <w:r w:rsidRPr="00A81102">
                              <w:rPr>
                                <w:rFonts w:ascii="Calibri" w:hAnsi="Calibri" w:cs="Calibri"/>
                                <w:bCs/>
                                <w:color w:val="000000"/>
                                <w:sz w:val="16"/>
                                <w:szCs w:val="16"/>
                              </w:rPr>
                              <w:t xml:space="preserve">is a classification system laid down in Regulation (EU) 2020/852, establishing a list of </w:t>
                            </w:r>
                            <w:r w:rsidRPr="00A81102">
                              <w:rPr>
                                <w:rFonts w:ascii="Calibri" w:hAnsi="Calibri" w:cs="Calibri"/>
                                <w:b/>
                                <w:bCs/>
                                <w:color w:val="000000"/>
                                <w:sz w:val="16"/>
                                <w:szCs w:val="16"/>
                              </w:rPr>
                              <w:t>environmentally sustainable economic activities</w:t>
                            </w:r>
                            <w:r w:rsidRPr="00A81102">
                              <w:rPr>
                                <w:rFonts w:ascii="Calibri" w:hAnsi="Calibri" w:cs="Calibri"/>
                                <w:bCs/>
                                <w:color w:val="000000"/>
                                <w:sz w:val="16"/>
                                <w:szCs w:val="16"/>
                              </w:rPr>
                              <w:t>. That Regulation does not include a list of socially sustainable economic activities.  Sustainable investments with an environmental objective might be aligned with the Taxonomy or not.</w:t>
                            </w:r>
                            <w:r w:rsidRPr="00A81102">
                              <w:rPr>
                                <w:rFonts w:cs="Calibri"/>
                                <w:bCs/>
                                <w:color w:val="000000"/>
                                <w:sz w:val="16"/>
                                <w:szCs w:val="16"/>
                              </w:rPr>
                              <w:t xml:space="preserve">  </w:t>
                            </w:r>
                          </w:p>
                        </w:txbxContent>
                      </wps:txbx>
                      <wps:bodyPr rot="0" spcFirstLastPara="0" vertOverflow="overflow" horzOverflow="overflow" vert="horz" wrap="square" lIns="144000" tIns="36000" rIns="25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CFCE1" id="Rectangle 901" o:spid="_x0000_s1027" style="position:absolute;left:0;text-align:left;margin-left:0;margin-top:255.55pt;width:95.7pt;height:251pt;z-index:251669504;visibility:visible;mso-wrap-style:square;mso-width-percent:0;mso-height-percent:0;mso-wrap-distance-left:9pt;mso-wrap-distance-top:0;mso-wrap-distance-right:9pt;mso-wrap-distance-bottom:0;mso-position-horizontal:left;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" fillcolor="#f2f2f2" stroked="f" strokeweight="1pt">
                <v:textbox inset="4mm,1mm,7mm">
                  <w:txbxContent>
                    <w:p w14:paraId="7186BA69" w14:textId="77777777" w:rsidR="005466ED" w:rsidRPr="00A81102" w:rsidRDefault="005466ED" w:rsidP="005466ED">
                      <w:pPr>
                        <w:ind w:left="-142" w:right="-295"/>
                        <w:rPr>
                          <w:rFonts w:cs="Calibri"/>
                          <w:bCs/>
                          <w:color w:val="000000"/>
                          <w:sz w:val="16"/>
                          <w:szCs w:val="16"/>
                        </w:rPr>
                      </w:pPr>
                      <w:r w:rsidRPr="00A81102">
                        <w:rPr>
                          <w:rFonts w:ascii="Calibri" w:hAnsi="Calibri" w:cs="Calibri"/>
                          <w:bCs/>
                          <w:color w:val="000000"/>
                          <w:sz w:val="16"/>
                          <w:szCs w:val="16"/>
                        </w:rPr>
                        <w:t xml:space="preserve">The </w:t>
                      </w:r>
                      <w:r w:rsidRPr="00A81102">
                        <w:rPr>
                          <w:rFonts w:ascii="Calibri" w:hAnsi="Calibri" w:cs="Calibri"/>
                          <w:b/>
                          <w:bCs/>
                          <w:color w:val="000000"/>
                          <w:sz w:val="16"/>
                          <w:szCs w:val="16"/>
                        </w:rPr>
                        <w:t xml:space="preserve">EU Taxonomy </w:t>
                      </w:r>
                      <w:r w:rsidRPr="00A81102">
                        <w:rPr>
                          <w:rFonts w:ascii="Calibri" w:hAnsi="Calibri" w:cs="Calibri"/>
                          <w:bCs/>
                          <w:color w:val="000000"/>
                          <w:sz w:val="16"/>
                          <w:szCs w:val="16"/>
                        </w:rPr>
                        <w:t xml:space="preserve">is a classification system laid down in Regulation (EU) 2020/852, establishing a list of </w:t>
                      </w:r>
                      <w:r w:rsidRPr="00A81102">
                        <w:rPr>
                          <w:rFonts w:ascii="Calibri" w:hAnsi="Calibri" w:cs="Calibri"/>
                          <w:b/>
                          <w:bCs/>
                          <w:color w:val="000000"/>
                          <w:sz w:val="16"/>
                          <w:szCs w:val="16"/>
                        </w:rPr>
                        <w:t>environmentally sustainable economic activities</w:t>
                      </w:r>
                      <w:r w:rsidRPr="00A81102">
                        <w:rPr>
                          <w:rFonts w:ascii="Calibri" w:hAnsi="Calibri" w:cs="Calibri"/>
                          <w:bCs/>
                          <w:color w:val="000000"/>
                          <w:sz w:val="16"/>
                          <w:szCs w:val="16"/>
                        </w:rPr>
                        <w:t>. That Regulation does not include a list of socially sustainable economic activities.  Sustainable investments with an environmental objective might be aligned with the Taxonomy or not.</w:t>
                      </w:r>
                      <w:r w:rsidRPr="00A81102">
                        <w:rPr>
                          <w:rFonts w:cs="Calibri"/>
                          <w:bCs/>
                          <w:color w:val="000000"/>
                          <w:sz w:val="16"/>
                          <w:szCs w:val="16"/>
                        </w:rPr>
                        <w:t xml:space="preserve">  </w:t>
                      </w:r>
                    </w:p>
                  </w:txbxContent>
                </v:textbox>
                <w10:wrap type="square" anchorx="page" anchory="margin"/>
              </v:rect>
            </w:pict>
          </mc:Fallback>
        </mc:AlternateContent>
      </w:r>
    </w:p>
    <w:tbl>
      <w:tblPr>
        <w:tblStyle w:val="TableGridLight1"/>
        <w:tblpPr w:leftFromText="180" w:rightFromText="180" w:vertAnchor="text" w:horzAnchor="page" w:tblpX="2137" w:tblpY="21"/>
        <w:tblW w:w="9079" w:type="dxa"/>
        <w:tblLook w:val="04A0" w:firstRow="1" w:lastRow="0" w:firstColumn="1" w:lastColumn="0" w:noHBand="0" w:noVBand="1"/>
      </w:tblPr>
      <w:tblGrid>
        <w:gridCol w:w="3969"/>
        <w:gridCol w:w="5103"/>
        <w:gridCol w:w="7"/>
      </w:tblGrid>
      <w:tr w:rsidR="005466ED" w:rsidRPr="00A81102" w14:paraId="685BA88A" w14:textId="77777777" w:rsidTr="00721AB4">
        <w:trPr>
          <w:trHeight w:val="394"/>
        </w:trPr>
        <w:tc>
          <w:tcPr>
            <w:tcW w:w="9079" w:type="dxa"/>
            <w:gridSpan w:val="3"/>
            <w:tcBorders>
              <w:top w:val="nil"/>
              <w:left w:val="nil"/>
              <w:bottom w:val="nil"/>
              <w:right w:val="nil"/>
            </w:tcBorders>
            <w:shd w:val="clear" w:color="auto" w:fill="F6D1AC"/>
          </w:tcPr>
          <w:bookmarkEnd w:id="46"/>
          <w:p w14:paraId="29742928" w14:textId="77777777" w:rsidR="005466ED" w:rsidRPr="00A81102" w:rsidRDefault="005466ED" w:rsidP="00721AB4">
            <w:pPr>
              <w:spacing w:line="259" w:lineRule="auto"/>
              <w:ind w:right="141"/>
              <w:rPr>
                <w:rFonts w:ascii="Calibri" w:eastAsia="Calibri" w:hAnsi="Calibri" w:cs="Times New Roman"/>
                <w:b/>
                <w:bCs/>
                <w:noProof/>
              </w:rPr>
            </w:pPr>
            <w:r w:rsidRPr="00A81102">
              <w:rPr>
                <w:rFonts w:ascii="Calibri" w:eastAsia="Calibri" w:hAnsi="Calibri" w:cs="Times New Roman"/>
                <w:b/>
                <w:bCs/>
                <w:noProof/>
              </w:rPr>
              <w:t xml:space="preserve">Does this financial product have a sustainable investment objective? </w:t>
            </w:r>
            <w:r w:rsidRPr="00A81102">
              <w:rPr>
                <w:rFonts w:ascii="Calibri" w:eastAsia="Calibri" w:hAnsi="Calibri" w:cs="Times New Roman"/>
                <w:bCs/>
                <w:i/>
                <w:iCs/>
                <w:noProof/>
                <w:color w:val="C00000"/>
                <w:sz w:val="18"/>
                <w:szCs w:val="22"/>
              </w:rPr>
              <w:t>[tick and fill in as relevant, the percentage figure represents the minimum commitment to sustainable investments]</w:t>
            </w:r>
          </w:p>
        </w:tc>
      </w:tr>
      <w:tr w:rsidR="005466ED" w:rsidRPr="00A81102" w14:paraId="00580E17" w14:textId="77777777" w:rsidTr="00721AB4">
        <w:trPr>
          <w:gridAfter w:val="1"/>
          <w:wAfter w:w="7" w:type="dxa"/>
          <w:trHeight w:val="394"/>
        </w:trPr>
        <w:tc>
          <w:tcPr>
            <w:tcW w:w="3969" w:type="dxa"/>
            <w:tcBorders>
              <w:top w:val="nil"/>
              <w:left w:val="nil"/>
              <w:bottom w:val="nil"/>
              <w:right w:val="single" w:sz="4" w:space="0" w:color="A6A6A6"/>
            </w:tcBorders>
            <w:shd w:val="clear" w:color="auto" w:fill="F6D1AC"/>
          </w:tcPr>
          <w:p w14:paraId="1F5D9B23" w14:textId="228472E6" w:rsidR="005466ED" w:rsidRPr="00A81102" w:rsidRDefault="005466ED" w:rsidP="00721AB4">
            <w:pPr>
              <w:spacing w:after="160" w:line="259" w:lineRule="auto"/>
              <w:ind w:left="737"/>
              <w:rPr>
                <w:rFonts w:ascii="Calibri" w:eastAsia="Calibri" w:hAnsi="Calibri" w:cs="Calibri"/>
                <w:b/>
                <w:noProof/>
                <w:sz w:val="20"/>
                <w:szCs w:val="22"/>
              </w:rPr>
            </w:pPr>
            <w:r w:rsidRPr="00A81102">
              <w:rPr>
                <w:rFonts w:ascii="Calibri" w:eastAsia="Calibri" w:hAnsi="Calibri" w:cs="Times New Roman"/>
                <w:b/>
                <w:noProof/>
                <w:szCs w:val="22"/>
                <w:lang w:eastAsia="en-GB"/>
              </w:rPr>
              <mc:AlternateContent>
                <mc:Choice Requires="wps">
                  <w:drawing>
                    <wp:anchor distT="0" distB="0" distL="114300" distR="114300" simplePos="0" relativeHeight="251671552" behindDoc="0" locked="0" layoutInCell="1" allowOverlap="1" wp14:anchorId="667D4E62" wp14:editId="7035031B">
                      <wp:simplePos x="0" y="0"/>
                      <wp:positionH relativeFrom="column">
                        <wp:posOffset>344414</wp:posOffset>
                      </wp:positionH>
                      <wp:positionV relativeFrom="paragraph">
                        <wp:posOffset>586</wp:posOffset>
                      </wp:positionV>
                      <wp:extent cx="179705" cy="193675"/>
                      <wp:effectExtent l="0" t="0" r="10795" b="15875"/>
                      <wp:wrapSquare wrapText="bothSides"/>
                      <wp:docPr id="1055" name="Rectangle 1055"/>
                      <wp:cNvGraphicFramePr/>
                      <a:graphic xmlns:a="http://schemas.openxmlformats.org/drawingml/2006/main">
                        <a:graphicData uri="http://schemas.microsoft.com/office/word/2010/wordprocessingShape">
                          <wps:wsp>
                            <wps:cNvSpPr/>
                            <wps:spPr>
                              <a:xfrm>
                                <a:off x="0" y="0"/>
                                <a:ext cx="179705" cy="193675"/>
                              </a:xfrm>
                              <a:prstGeom prst="rect">
                                <a:avLst/>
                              </a:prstGeom>
                              <a:solidFill>
                                <a:sysClr val="window" lastClr="FFFFFF"/>
                              </a:solidFill>
                              <a:ln w="12700" cap="flat" cmpd="sng" algn="ctr">
                                <a:solidFill>
                                  <a:sysClr val="window" lastClr="FFFFFF">
                                    <a:lumMod val="8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482FBA" id="Rectangle 1055" o:spid="_x0000_s1026" style="position:absolute;margin-left:27.1pt;margin-top:.05pt;width:14.15pt;height:15.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" fillcolor="window" strokecolor="#d9d9d9" strokeweight="1pt">
                      <w10:wrap type="square"/>
                    </v:rect>
                  </w:pict>
                </mc:Fallback>
              </mc:AlternateContent>
            </w:r>
            <w:r w:rsidRPr="00A81102">
              <w:rPr>
                <w:rFonts w:ascii="Calibri" w:eastAsia="Calibri" w:hAnsi="Calibri" w:cs="Calibri"/>
                <w:b/>
                <w:noProof/>
                <w:szCs w:val="22"/>
                <w:lang w:eastAsia="en-GB"/>
              </w:rPr>
              <mc:AlternateContent>
                <mc:Choice Requires="wps">
                  <w:drawing>
                    <wp:anchor distT="0" distB="0" distL="114300" distR="114300" simplePos="0" relativeHeight="251672576" behindDoc="0" locked="0" layoutInCell="1" allowOverlap="1" wp14:anchorId="3CC5062A" wp14:editId="6D8A4DB3">
                      <wp:simplePos x="0" y="0"/>
                      <wp:positionH relativeFrom="column">
                        <wp:posOffset>16510</wp:posOffset>
                      </wp:positionH>
                      <wp:positionV relativeFrom="paragraph">
                        <wp:posOffset>44029</wp:posOffset>
                      </wp:positionV>
                      <wp:extent cx="101600" cy="101600"/>
                      <wp:effectExtent l="0" t="0" r="0" b="0"/>
                      <wp:wrapNone/>
                      <wp:docPr id="288" name="Oval 288"/>
                      <wp:cNvGraphicFramePr/>
                      <a:graphic xmlns:a="http://schemas.openxmlformats.org/drawingml/2006/main">
                        <a:graphicData uri="http://schemas.microsoft.com/office/word/2010/wordprocessingShape">
                          <wps:wsp>
                            <wps:cNvSpPr/>
                            <wps:spPr>
                              <a:xfrm>
                                <a:off x="0" y="0"/>
                                <a:ext cx="101600" cy="101600"/>
                              </a:xfrm>
                              <a:prstGeom prst="ellipse">
                                <a:avLst/>
                              </a:prstGeom>
                              <a:solidFill>
                                <a:srgbClr val="5AB0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1DF935" id="Oval 288" o:spid="_x0000_s1026" style="position:absolute;margin-left:1.3pt;margin-top:3.45pt;width:8pt;height: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" fillcolor="#5ab05d" stroked="f" strokeweight="1pt">
                      <v:stroke joinstyle="miter"/>
                    </v:oval>
                  </w:pict>
                </mc:Fallback>
              </mc:AlternateContent>
            </w:r>
            <w:r w:rsidRPr="00A81102">
              <w:rPr>
                <w:rFonts w:ascii="Calibri" w:eastAsia="Calibri" w:hAnsi="Calibri" w:cs="Calibri"/>
                <w:b/>
                <w:noProof/>
                <w:szCs w:val="22"/>
                <w:lang w:eastAsia="en-GB"/>
              </w:rPr>
              <mc:AlternateContent>
                <mc:Choice Requires="wps">
                  <w:drawing>
                    <wp:anchor distT="0" distB="0" distL="114300" distR="114300" simplePos="0" relativeHeight="251670528" behindDoc="0" locked="0" layoutInCell="1" allowOverlap="1" wp14:anchorId="6DD3C110" wp14:editId="6FA27886">
                      <wp:simplePos x="0" y="0"/>
                      <wp:positionH relativeFrom="column">
                        <wp:posOffset>151567</wp:posOffset>
                      </wp:positionH>
                      <wp:positionV relativeFrom="paragraph">
                        <wp:posOffset>46273</wp:posOffset>
                      </wp:positionV>
                      <wp:extent cx="101600" cy="101600"/>
                      <wp:effectExtent l="0" t="0" r="0" b="0"/>
                      <wp:wrapNone/>
                      <wp:docPr id="289" name="Oval 289"/>
                      <wp:cNvGraphicFramePr/>
                      <a:graphic xmlns:a="http://schemas.openxmlformats.org/drawingml/2006/main">
                        <a:graphicData uri="http://schemas.microsoft.com/office/word/2010/wordprocessingShape">
                          <wps:wsp>
                            <wps:cNvSpPr/>
                            <wps:spPr>
                              <a:xfrm>
                                <a:off x="0" y="0"/>
                                <a:ext cx="101600" cy="101600"/>
                              </a:xfrm>
                              <a:prstGeom prst="ellipse">
                                <a:avLst/>
                              </a:prstGeom>
                              <a:solidFill>
                                <a:srgbClr val="5AB0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D0EE43" id="Oval 289" o:spid="_x0000_s1026" style="position:absolute;margin-left:11.95pt;margin-top:3.65pt;width:8pt;height: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" fillcolor="#5ab05d" stroked="f" strokeweight="1pt">
                      <v:stroke joinstyle="miter"/>
                    </v:oval>
                  </w:pict>
                </mc:Fallback>
              </mc:AlternateContent>
            </w:r>
            <w:r w:rsidRPr="00A81102">
              <w:rPr>
                <w:rFonts w:ascii="Calibri" w:eastAsia="Calibri" w:hAnsi="Calibri" w:cs="Calibri"/>
                <w:b/>
                <w:noProof/>
                <w:szCs w:val="22"/>
              </w:rPr>
              <w:t>Yes</w:t>
            </w:r>
          </w:p>
        </w:tc>
        <w:tc>
          <w:tcPr>
            <w:tcW w:w="5103" w:type="dxa"/>
            <w:tcBorders>
              <w:top w:val="nil"/>
              <w:left w:val="single" w:sz="4" w:space="0" w:color="A6A6A6"/>
              <w:bottom w:val="nil"/>
              <w:right w:val="nil"/>
            </w:tcBorders>
            <w:shd w:val="clear" w:color="auto" w:fill="F6D1AC"/>
          </w:tcPr>
          <w:p w14:paraId="651561DB" w14:textId="0D313100" w:rsidR="005466ED" w:rsidRPr="00A81102" w:rsidRDefault="005466ED" w:rsidP="00721AB4">
            <w:pPr>
              <w:spacing w:line="259" w:lineRule="auto"/>
              <w:ind w:right="141"/>
              <w:rPr>
                <w:rFonts w:ascii="Calibri" w:eastAsia="Calibri" w:hAnsi="Calibri" w:cs="Times New Roman"/>
                <w:b/>
                <w:bCs/>
                <w:noProof/>
              </w:rPr>
            </w:pPr>
            <w:r w:rsidRPr="00A81102">
              <w:rPr>
                <w:rFonts w:cs="Times New Roman"/>
                <w:noProof/>
                <w:szCs w:val="20"/>
                <w:lang w:eastAsia="en-GB"/>
              </w:rPr>
              <w:drawing>
                <wp:anchor distT="0" distB="0" distL="114300" distR="114300" simplePos="0" relativeHeight="251676672" behindDoc="0" locked="0" layoutInCell="1" allowOverlap="1" wp14:anchorId="46F6944E" wp14:editId="7CA45644">
                  <wp:simplePos x="0" y="0"/>
                  <wp:positionH relativeFrom="column">
                    <wp:posOffset>313055</wp:posOffset>
                  </wp:positionH>
                  <wp:positionV relativeFrom="paragraph">
                    <wp:posOffset>39370</wp:posOffset>
                  </wp:positionV>
                  <wp:extent cx="124460" cy="124460"/>
                  <wp:effectExtent l="0" t="0" r="8890" b="8890"/>
                  <wp:wrapNone/>
                  <wp:docPr id="1097" name="Picture 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pic:spPr>
                      </pic:pic>
                    </a:graphicData>
                  </a:graphic>
                  <wp14:sizeRelH relativeFrom="page">
                    <wp14:pctWidth>0</wp14:pctWidth>
                  </wp14:sizeRelH>
                  <wp14:sizeRelV relativeFrom="page">
                    <wp14:pctHeight>0</wp14:pctHeight>
                  </wp14:sizeRelV>
                </wp:anchor>
              </w:drawing>
            </w:r>
            <w:r w:rsidRPr="00A81102">
              <w:rPr>
                <w:rFonts w:ascii="Calibri" w:eastAsia="Calibri" w:hAnsi="Calibri" w:cs="Calibri"/>
                <w:b/>
                <w:noProof/>
                <w:sz w:val="18"/>
                <w:szCs w:val="22"/>
                <w:lang w:eastAsia="en-GB"/>
              </w:rPr>
              <mc:AlternateContent>
                <mc:Choice Requires="wps">
                  <w:drawing>
                    <wp:anchor distT="0" distB="0" distL="114300" distR="114300" simplePos="0" relativeHeight="251674624" behindDoc="0" locked="0" layoutInCell="1" allowOverlap="1" wp14:anchorId="478E580D" wp14:editId="3AD4D38C">
                      <wp:simplePos x="0" y="0"/>
                      <wp:positionH relativeFrom="column">
                        <wp:posOffset>8255</wp:posOffset>
                      </wp:positionH>
                      <wp:positionV relativeFrom="paragraph">
                        <wp:posOffset>53340</wp:posOffset>
                      </wp:positionV>
                      <wp:extent cx="101600" cy="101600"/>
                      <wp:effectExtent l="0" t="0" r="0" b="0"/>
                      <wp:wrapNone/>
                      <wp:docPr id="290" name="Oval 290"/>
                      <wp:cNvGraphicFramePr/>
                      <a:graphic xmlns:a="http://schemas.openxmlformats.org/drawingml/2006/main">
                        <a:graphicData uri="http://schemas.microsoft.com/office/word/2010/wordprocessingShape">
                          <wps:wsp>
                            <wps:cNvSpPr/>
                            <wps:spPr>
                              <a:xfrm>
                                <a:off x="0" y="0"/>
                                <a:ext cx="101600" cy="101600"/>
                              </a:xfrm>
                              <a:prstGeom prst="ellipse">
                                <a:avLst/>
                              </a:prstGeom>
                              <a:solidFill>
                                <a:srgbClr val="5AB0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74ACB5" id="Oval 290" o:spid="_x0000_s1026" style="position:absolute;margin-left:.65pt;margin-top:4.2pt;width:8pt;height: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" fillcolor="#5ab05d" stroked="f" strokeweight="1pt">
                      <v:stroke joinstyle="miter"/>
                    </v:oval>
                  </w:pict>
                </mc:Fallback>
              </mc:AlternateContent>
            </w:r>
            <w:r w:rsidRPr="00A81102">
              <w:rPr>
                <w:rFonts w:ascii="Calibri" w:eastAsia="Calibri" w:hAnsi="Calibri" w:cs="Times New Roman"/>
                <w:b/>
                <w:noProof/>
                <w:sz w:val="20"/>
                <w:szCs w:val="22"/>
                <w:lang w:eastAsia="en-GB"/>
              </w:rPr>
              <mc:AlternateContent>
                <mc:Choice Requires="wps">
                  <w:drawing>
                    <wp:anchor distT="0" distB="0" distL="114300" distR="114300" simplePos="0" relativeHeight="251675648" behindDoc="0" locked="0" layoutInCell="1" allowOverlap="1" wp14:anchorId="11C4801F" wp14:editId="3A73EC12">
                      <wp:simplePos x="0" y="0"/>
                      <wp:positionH relativeFrom="column">
                        <wp:posOffset>335280</wp:posOffset>
                      </wp:positionH>
                      <wp:positionV relativeFrom="paragraph">
                        <wp:posOffset>0</wp:posOffset>
                      </wp:positionV>
                      <wp:extent cx="179705" cy="193675"/>
                      <wp:effectExtent l="0" t="0" r="10795" b="15875"/>
                      <wp:wrapSquare wrapText="bothSides"/>
                      <wp:docPr id="291" name="Rectangle 291"/>
                      <wp:cNvGraphicFramePr/>
                      <a:graphic xmlns:a="http://schemas.openxmlformats.org/drawingml/2006/main">
                        <a:graphicData uri="http://schemas.microsoft.com/office/word/2010/wordprocessingShape">
                          <wps:wsp>
                            <wps:cNvSpPr/>
                            <wps:spPr>
                              <a:xfrm>
                                <a:off x="0" y="0"/>
                                <a:ext cx="179705" cy="193675"/>
                              </a:xfrm>
                              <a:prstGeom prst="rect">
                                <a:avLst/>
                              </a:prstGeom>
                              <a:solidFill>
                                <a:sysClr val="window" lastClr="FFFFFF"/>
                              </a:solidFill>
                              <a:ln w="12700" cap="flat" cmpd="sng" algn="ctr">
                                <a:solidFill>
                                  <a:sysClr val="window" lastClr="FFFFFF">
                                    <a:lumMod val="8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697431" id="Rectangle 291" o:spid="_x0000_s1026" style="position:absolute;margin-left:26.4pt;margin-top:0;width:14.15pt;height:15.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" fillcolor="window" strokecolor="#d9d9d9" strokeweight="1pt">
                      <w10:wrap type="square"/>
                    </v:rect>
                  </w:pict>
                </mc:Fallback>
              </mc:AlternateContent>
            </w:r>
            <w:r w:rsidRPr="00A81102">
              <w:rPr>
                <w:rFonts w:ascii="Calibri" w:eastAsia="Calibri" w:hAnsi="Calibri" w:cs="Times New Roman"/>
                <w:b/>
                <w:noProof/>
                <w:color w:val="000000"/>
                <w:sz w:val="20"/>
                <w:szCs w:val="22"/>
                <w:lang w:eastAsia="en-GB"/>
              </w:rPr>
              <mc:AlternateContent>
                <mc:Choice Requires="wps">
                  <w:drawing>
                    <wp:anchor distT="0" distB="0" distL="114300" distR="114300" simplePos="0" relativeHeight="251673600" behindDoc="0" locked="0" layoutInCell="1" allowOverlap="1" wp14:anchorId="0C343AF8" wp14:editId="4AC6FA0F">
                      <wp:simplePos x="0" y="0"/>
                      <wp:positionH relativeFrom="column">
                        <wp:posOffset>143510</wp:posOffset>
                      </wp:positionH>
                      <wp:positionV relativeFrom="paragraph">
                        <wp:posOffset>52705</wp:posOffset>
                      </wp:positionV>
                      <wp:extent cx="101600" cy="101600"/>
                      <wp:effectExtent l="0" t="0" r="0" b="0"/>
                      <wp:wrapNone/>
                      <wp:docPr id="292" name="Oval 292"/>
                      <wp:cNvGraphicFramePr/>
                      <a:graphic xmlns:a="http://schemas.openxmlformats.org/drawingml/2006/main">
                        <a:graphicData uri="http://schemas.microsoft.com/office/word/2010/wordprocessingShape">
                          <wps:wsp>
                            <wps:cNvSpPr/>
                            <wps:spPr>
                              <a:xfrm>
                                <a:off x="0" y="0"/>
                                <a:ext cx="101600" cy="101600"/>
                              </a:xfrm>
                              <a:prstGeom prst="ellipse">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7BECEA" id="Oval 292" o:spid="_x0000_s1026" style="position:absolute;margin-left:11.3pt;margin-top:4.15pt;width:8pt;height: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" fillcolor="window" stroked="f" strokeweight="1pt">
                      <v:stroke joinstyle="miter"/>
                    </v:oval>
                  </w:pict>
                </mc:Fallback>
              </mc:AlternateContent>
            </w:r>
            <w:r w:rsidRPr="00A81102">
              <w:rPr>
                <w:rFonts w:ascii="Calibri" w:eastAsia="Calibri" w:hAnsi="Calibri" w:cs="Times New Roman"/>
                <w:b/>
                <w:bCs/>
                <w:noProof/>
              </w:rPr>
              <w:t>No</w:t>
            </w:r>
          </w:p>
        </w:tc>
      </w:tr>
      <w:tr w:rsidR="005466ED" w:rsidRPr="00A81102" w14:paraId="3D3B18F2" w14:textId="77777777" w:rsidTr="00721AB4">
        <w:trPr>
          <w:gridAfter w:val="1"/>
          <w:wAfter w:w="7" w:type="dxa"/>
          <w:trHeight w:val="2486"/>
        </w:trPr>
        <w:tc>
          <w:tcPr>
            <w:tcW w:w="3969" w:type="dxa"/>
            <w:tcBorders>
              <w:top w:val="nil"/>
              <w:left w:val="nil"/>
              <w:bottom w:val="nil"/>
              <w:right w:val="single" w:sz="2" w:space="0" w:color="D9D9D9"/>
            </w:tcBorders>
            <w:shd w:val="clear" w:color="auto" w:fill="FAE8D5"/>
          </w:tcPr>
          <w:p w14:paraId="4D2141AD" w14:textId="18EE0A7E" w:rsidR="005466ED" w:rsidRPr="00A81102" w:rsidRDefault="005466ED" w:rsidP="00721AB4">
            <w:pPr>
              <w:spacing w:line="259" w:lineRule="auto"/>
              <w:ind w:left="459"/>
              <w:rPr>
                <w:rFonts w:ascii="Calibri" w:eastAsia="Calibri" w:hAnsi="Calibri" w:cs="Times New Roman"/>
                <w:bCs/>
                <w:noProof/>
                <w:color w:val="595959"/>
                <w:sz w:val="20"/>
              </w:rPr>
            </w:pPr>
            <w:r w:rsidRPr="00A81102">
              <w:rPr>
                <w:rFonts w:ascii="Calibri" w:eastAsia="Calibri" w:hAnsi="Calibri" w:cs="Times New Roman"/>
                <w:b/>
                <w:noProof/>
                <w:color w:val="595959"/>
                <w:sz w:val="20"/>
                <w:szCs w:val="22"/>
                <w:lang w:eastAsia="en-GB"/>
              </w:rPr>
              <mc:AlternateContent>
                <mc:Choice Requires="wps">
                  <w:drawing>
                    <wp:anchor distT="0" distB="0" distL="114300" distR="114300" simplePos="0" relativeHeight="251660288" behindDoc="0" locked="0" layoutInCell="1" allowOverlap="1" wp14:anchorId="4E73F39B" wp14:editId="51555933">
                      <wp:simplePos x="0" y="0"/>
                      <wp:positionH relativeFrom="column">
                        <wp:posOffset>-32385</wp:posOffset>
                      </wp:positionH>
                      <wp:positionV relativeFrom="paragraph">
                        <wp:posOffset>51435</wp:posOffset>
                      </wp:positionV>
                      <wp:extent cx="179705" cy="193675"/>
                      <wp:effectExtent l="0" t="0" r="10795" b="15875"/>
                      <wp:wrapSquare wrapText="bothSides"/>
                      <wp:docPr id="907" name="Rectangle 907"/>
                      <wp:cNvGraphicFramePr/>
                      <a:graphic xmlns:a="http://schemas.openxmlformats.org/drawingml/2006/main">
                        <a:graphicData uri="http://schemas.microsoft.com/office/word/2010/wordprocessingShape">
                          <wps:wsp>
                            <wps:cNvSpPr/>
                            <wps:spPr>
                              <a:xfrm>
                                <a:off x="0" y="0"/>
                                <a:ext cx="179705" cy="193675"/>
                              </a:xfrm>
                              <a:prstGeom prst="rect">
                                <a:avLst/>
                              </a:prstGeom>
                              <a:solidFill>
                                <a:sysClr val="window" lastClr="FFFFFF"/>
                              </a:solidFill>
                              <a:ln w="12700" cap="flat" cmpd="sng" algn="ctr">
                                <a:solidFill>
                                  <a:sysClr val="window" lastClr="FFFFFF">
                                    <a:lumMod val="8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0B362" id="Rectangle 907" o:spid="_x0000_s1026" style="position:absolute;margin-left:-2.55pt;margin-top:4.05pt;width:14.15pt;height:1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" fillcolor="window" strokecolor="#d9d9d9" strokeweight="1pt">
                      <w10:wrap type="square"/>
                    </v:rect>
                  </w:pict>
                </mc:Fallback>
              </mc:AlternateContent>
            </w:r>
            <w:r w:rsidRPr="00A81102">
              <w:rPr>
                <w:rFonts w:ascii="Calibri" w:eastAsia="Calibri" w:hAnsi="Calibri" w:cs="Times New Roman"/>
                <w:bCs/>
                <w:noProof/>
                <w:color w:val="595959"/>
              </w:rPr>
              <w:t xml:space="preserve">It will make a minimum of </w:t>
            </w:r>
            <w:r w:rsidRPr="00A81102">
              <w:rPr>
                <w:rFonts w:ascii="Calibri" w:eastAsia="Calibri" w:hAnsi="Calibri" w:cs="Times New Roman"/>
                <w:b/>
                <w:bCs/>
                <w:noProof/>
                <w:color w:val="595959"/>
              </w:rPr>
              <w:t xml:space="preserve">sustainable investments with an environmental objective: </w:t>
            </w:r>
            <w:r w:rsidR="00970699">
              <w:rPr>
                <w:rFonts w:ascii="Calibri" w:eastAsia="Calibri" w:hAnsi="Calibri" w:cs="Times New Roman"/>
                <w:b/>
                <w:noProof/>
                <w:color w:val="595959"/>
                <w:sz w:val="20"/>
              </w:rPr>
              <w:t>N/A</w:t>
            </w:r>
          </w:p>
          <w:p w14:paraId="0FE161F8" w14:textId="77777777" w:rsidR="005466ED" w:rsidRPr="00A81102" w:rsidRDefault="005466ED" w:rsidP="00721AB4">
            <w:pPr>
              <w:spacing w:line="259" w:lineRule="auto"/>
              <w:ind w:left="318"/>
              <w:rPr>
                <w:rFonts w:ascii="Calibri" w:eastAsia="Calibri" w:hAnsi="Calibri" w:cs="Times New Roman"/>
                <w:bCs/>
                <w:noProof/>
                <w:color w:val="595959"/>
                <w:sz w:val="16"/>
                <w:szCs w:val="16"/>
              </w:rPr>
            </w:pPr>
          </w:p>
          <w:p w14:paraId="547819F8" w14:textId="0EDDE5B1" w:rsidR="005466ED" w:rsidRPr="00A81102" w:rsidRDefault="005466ED" w:rsidP="00721AB4">
            <w:pPr>
              <w:spacing w:after="160" w:line="259" w:lineRule="auto"/>
              <w:ind w:left="1167" w:hanging="8"/>
              <w:rPr>
                <w:rFonts w:ascii="Calibri" w:eastAsia="Calibri" w:hAnsi="Calibri" w:cs="Times New Roman"/>
                <w:bCs/>
                <w:noProof/>
                <w:color w:val="595959"/>
                <w:sz w:val="20"/>
              </w:rPr>
            </w:pPr>
            <w:r w:rsidRPr="00A81102">
              <w:rPr>
                <w:rFonts w:ascii="Calibri" w:eastAsia="Calibri" w:hAnsi="Calibri" w:cs="Times New Roman"/>
                <w:b/>
                <w:noProof/>
                <w:color w:val="595959"/>
                <w:sz w:val="18"/>
                <w:szCs w:val="22"/>
                <w:lang w:eastAsia="en-GB"/>
              </w:rPr>
              <mc:AlternateContent>
                <mc:Choice Requires="wps">
                  <w:drawing>
                    <wp:anchor distT="0" distB="0" distL="114300" distR="114300" simplePos="0" relativeHeight="251662336" behindDoc="0" locked="0" layoutInCell="1" allowOverlap="1" wp14:anchorId="524BD5D7" wp14:editId="42576A8D">
                      <wp:simplePos x="0" y="0"/>
                      <wp:positionH relativeFrom="column">
                        <wp:posOffset>450793</wp:posOffset>
                      </wp:positionH>
                      <wp:positionV relativeFrom="paragraph">
                        <wp:posOffset>43180</wp:posOffset>
                      </wp:positionV>
                      <wp:extent cx="179705" cy="193675"/>
                      <wp:effectExtent l="0" t="0" r="10795" b="15875"/>
                      <wp:wrapSquare wrapText="bothSides"/>
                      <wp:docPr id="908" name="Rectangle 908"/>
                      <wp:cNvGraphicFramePr/>
                      <a:graphic xmlns:a="http://schemas.openxmlformats.org/drawingml/2006/main">
                        <a:graphicData uri="http://schemas.microsoft.com/office/word/2010/wordprocessingShape">
                          <wps:wsp>
                            <wps:cNvSpPr/>
                            <wps:spPr>
                              <a:xfrm>
                                <a:off x="0" y="0"/>
                                <a:ext cx="179705" cy="193675"/>
                              </a:xfrm>
                              <a:prstGeom prst="rect">
                                <a:avLst/>
                              </a:prstGeom>
                              <a:solidFill>
                                <a:sysClr val="window" lastClr="FFFFFF"/>
                              </a:solidFill>
                              <a:ln w="12700" cap="flat" cmpd="sng" algn="ctr">
                                <a:solidFill>
                                  <a:sysClr val="window" lastClr="FFFFFF">
                                    <a:lumMod val="8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08E7F8" id="Rectangle 908" o:spid="_x0000_s1026" style="position:absolute;margin-left:35.5pt;margin-top:3.4pt;width:14.15pt;height:1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" fillcolor="window" strokecolor="#d9d9d9" strokeweight="1pt">
                      <w10:wrap type="square"/>
                    </v:rect>
                  </w:pict>
                </mc:Fallback>
              </mc:AlternateContent>
            </w:r>
            <w:r w:rsidRPr="00A81102">
              <w:rPr>
                <w:rFonts w:ascii="Calibri" w:eastAsia="Calibri" w:hAnsi="Calibri" w:cs="Times New Roman"/>
                <w:bCs/>
                <w:noProof/>
                <w:color w:val="595959"/>
                <w:sz w:val="20"/>
              </w:rPr>
              <w:t>in economic activities that qualify as environmentally sustainable under the EU Taxonomy</w:t>
            </w:r>
          </w:p>
          <w:p w14:paraId="1E8925BF" w14:textId="71C16F7F" w:rsidR="005466ED" w:rsidRPr="00A81102" w:rsidRDefault="005466ED" w:rsidP="00721AB4">
            <w:pPr>
              <w:spacing w:after="160" w:line="259" w:lineRule="auto"/>
              <w:ind w:left="1167"/>
              <w:rPr>
                <w:rFonts w:ascii="Calibri" w:eastAsia="Calibri" w:hAnsi="Calibri" w:cs="Times New Roman"/>
                <w:bCs/>
                <w:noProof/>
                <w:color w:val="595959"/>
                <w:sz w:val="20"/>
              </w:rPr>
            </w:pPr>
            <w:r w:rsidRPr="00A81102">
              <w:rPr>
                <w:rFonts w:ascii="Calibri" w:eastAsia="Calibri" w:hAnsi="Calibri" w:cs="Times New Roman"/>
                <w:noProof/>
                <w:color w:val="595959"/>
                <w:sz w:val="16"/>
                <w:szCs w:val="22"/>
                <w:lang w:eastAsia="en-GB"/>
              </w:rPr>
              <mc:AlternateContent>
                <mc:Choice Requires="wps">
                  <w:drawing>
                    <wp:anchor distT="0" distB="0" distL="114300" distR="114300" simplePos="0" relativeHeight="251661312" behindDoc="0" locked="0" layoutInCell="1" allowOverlap="1" wp14:anchorId="2E9F8E12" wp14:editId="3A1A2321">
                      <wp:simplePos x="0" y="0"/>
                      <wp:positionH relativeFrom="column">
                        <wp:posOffset>452813</wp:posOffset>
                      </wp:positionH>
                      <wp:positionV relativeFrom="paragraph">
                        <wp:posOffset>31750</wp:posOffset>
                      </wp:positionV>
                      <wp:extent cx="179705" cy="193675"/>
                      <wp:effectExtent l="0" t="0" r="10795" b="15875"/>
                      <wp:wrapSquare wrapText="bothSides"/>
                      <wp:docPr id="909" name="Rectangle 909"/>
                      <wp:cNvGraphicFramePr/>
                      <a:graphic xmlns:a="http://schemas.openxmlformats.org/drawingml/2006/main">
                        <a:graphicData uri="http://schemas.microsoft.com/office/word/2010/wordprocessingShape">
                          <wps:wsp>
                            <wps:cNvSpPr/>
                            <wps:spPr>
                              <a:xfrm>
                                <a:off x="0" y="0"/>
                                <a:ext cx="179705" cy="193675"/>
                              </a:xfrm>
                              <a:prstGeom prst="rect">
                                <a:avLst/>
                              </a:prstGeom>
                              <a:solidFill>
                                <a:sysClr val="window" lastClr="FFFFFF"/>
                              </a:solidFill>
                              <a:ln w="12700" cap="flat" cmpd="sng" algn="ctr">
                                <a:solidFill>
                                  <a:sysClr val="window" lastClr="FFFFFF">
                                    <a:lumMod val="8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5047A6" id="Rectangle 909" o:spid="_x0000_s1026" style="position:absolute;margin-left:35.65pt;margin-top:2.5pt;width:14.15pt;height:1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" fillcolor="window" strokecolor="#d9d9d9" strokeweight="1pt">
                      <w10:wrap type="square"/>
                    </v:rect>
                  </w:pict>
                </mc:Fallback>
              </mc:AlternateContent>
            </w:r>
            <w:r w:rsidRPr="00A81102">
              <w:rPr>
                <w:rFonts w:ascii="Calibri" w:eastAsia="Calibri" w:hAnsi="Calibri" w:cs="Times New Roman"/>
                <w:bCs/>
                <w:noProof/>
                <w:color w:val="595959"/>
                <w:sz w:val="20"/>
              </w:rPr>
              <w:t>in economic activities that do not qualify as environmentally sustainable under the EU Taxonomy</w:t>
            </w:r>
          </w:p>
          <w:p w14:paraId="0E79E462" w14:textId="77777777" w:rsidR="005466ED" w:rsidRPr="00A81102" w:rsidRDefault="005466ED" w:rsidP="00721AB4">
            <w:pPr>
              <w:spacing w:after="160" w:line="259" w:lineRule="auto"/>
              <w:rPr>
                <w:rFonts w:ascii="Calibri" w:eastAsia="Calibri" w:hAnsi="Calibri" w:cs="Times New Roman"/>
                <w:bCs/>
                <w:noProof/>
                <w:color w:val="595959"/>
                <w:sz w:val="20"/>
              </w:rPr>
            </w:pPr>
          </w:p>
        </w:tc>
        <w:tc>
          <w:tcPr>
            <w:tcW w:w="5103" w:type="dxa"/>
            <w:tcBorders>
              <w:top w:val="nil"/>
              <w:left w:val="single" w:sz="2" w:space="0" w:color="D9D9D9"/>
              <w:bottom w:val="nil"/>
              <w:right w:val="nil"/>
            </w:tcBorders>
            <w:shd w:val="clear" w:color="auto" w:fill="FAE8D5"/>
          </w:tcPr>
          <w:p w14:paraId="753B4ED4" w14:textId="7F154D33" w:rsidR="005466ED" w:rsidRPr="00970699" w:rsidRDefault="005466ED" w:rsidP="00721AB4">
            <w:pPr>
              <w:ind w:left="456" w:right="-144"/>
              <w:rPr>
                <w:rFonts w:ascii="Calibri" w:eastAsia="Calibri" w:hAnsi="Calibri" w:cs="Calibri"/>
                <w:noProof/>
                <w:color w:val="595959"/>
                <w:szCs w:val="22"/>
              </w:rPr>
            </w:pPr>
            <w:r w:rsidRPr="00A81102">
              <w:rPr>
                <w:rFonts w:ascii="Calibri" w:eastAsia="Calibri" w:hAnsi="Calibri" w:cs="Times New Roman"/>
                <w:b/>
                <w:noProof/>
                <w:color w:val="595959"/>
                <w:sz w:val="20"/>
                <w:szCs w:val="22"/>
                <w:lang w:eastAsia="en-GB"/>
              </w:rPr>
              <mc:AlternateContent>
                <mc:Choice Requires="wps">
                  <w:drawing>
                    <wp:anchor distT="0" distB="0" distL="114300" distR="114300" simplePos="0" relativeHeight="251664384" behindDoc="0" locked="0" layoutInCell="1" allowOverlap="1" wp14:anchorId="17C2739F" wp14:editId="19DA4AF1">
                      <wp:simplePos x="0" y="0"/>
                      <wp:positionH relativeFrom="column">
                        <wp:posOffset>-18828</wp:posOffset>
                      </wp:positionH>
                      <wp:positionV relativeFrom="paragraph">
                        <wp:posOffset>31750</wp:posOffset>
                      </wp:positionV>
                      <wp:extent cx="179705" cy="193675"/>
                      <wp:effectExtent l="0" t="0" r="10795" b="15875"/>
                      <wp:wrapSquare wrapText="bothSides"/>
                      <wp:docPr id="910" name="Rectangle 910"/>
                      <wp:cNvGraphicFramePr/>
                      <a:graphic xmlns:a="http://schemas.openxmlformats.org/drawingml/2006/main">
                        <a:graphicData uri="http://schemas.microsoft.com/office/word/2010/wordprocessingShape">
                          <wps:wsp>
                            <wps:cNvSpPr/>
                            <wps:spPr>
                              <a:xfrm>
                                <a:off x="0" y="0"/>
                                <a:ext cx="179705" cy="193675"/>
                              </a:xfrm>
                              <a:prstGeom prst="rect">
                                <a:avLst/>
                              </a:prstGeom>
                              <a:solidFill>
                                <a:sysClr val="window" lastClr="FFFFFF"/>
                              </a:solidFill>
                              <a:ln w="12700" cap="flat" cmpd="sng" algn="ctr">
                                <a:solidFill>
                                  <a:sysClr val="window" lastClr="FFFFFF">
                                    <a:lumMod val="8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5B7A5E" id="Rectangle 910" o:spid="_x0000_s1026" style="position:absolute;margin-left:-1.5pt;margin-top:2.5pt;width:14.15pt;height:1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" fillcolor="window" strokecolor="#d9d9d9" strokeweight="1pt">
                      <w10:wrap type="square"/>
                    </v:rect>
                  </w:pict>
                </mc:Fallback>
              </mc:AlternateContent>
            </w:r>
            <w:r w:rsidRPr="00A81102">
              <w:rPr>
                <w:rFonts w:ascii="Calibri" w:eastAsia="Calibri" w:hAnsi="Calibri" w:cs="Times New Roman"/>
                <w:bCs/>
                <w:noProof/>
                <w:color w:val="595959"/>
              </w:rPr>
              <w:t xml:space="preserve">It </w:t>
            </w:r>
            <w:r w:rsidRPr="00A81102">
              <w:rPr>
                <w:rFonts w:ascii="Calibri" w:eastAsia="Calibri" w:hAnsi="Calibri" w:cs="Times New Roman"/>
                <w:b/>
                <w:bCs/>
                <w:noProof/>
                <w:color w:val="595959"/>
              </w:rPr>
              <w:t>promotes Environmental/Social (E/S) characteristics</w:t>
            </w:r>
            <w:r w:rsidRPr="00A81102">
              <w:rPr>
                <w:rFonts w:ascii="Calibri" w:eastAsia="Calibri" w:hAnsi="Calibri" w:cs="Times New Roman"/>
                <w:bCs/>
                <w:noProof/>
                <w:color w:val="595959"/>
              </w:rPr>
              <w:t xml:space="preserve"> and </w:t>
            </w:r>
            <w:r w:rsidRPr="00A81102">
              <w:rPr>
                <w:rFonts w:ascii="Calibri" w:eastAsia="Calibri" w:hAnsi="Calibri" w:cs="Times New Roman"/>
                <w:noProof/>
                <w:color w:val="595959"/>
                <w:szCs w:val="22"/>
              </w:rPr>
              <w:t xml:space="preserve">while it does </w:t>
            </w:r>
            <w:r w:rsidRPr="00A81102">
              <w:rPr>
                <w:rFonts w:ascii="Calibri" w:eastAsia="Calibri" w:hAnsi="Calibri" w:cs="Calibri"/>
                <w:noProof/>
                <w:color w:val="595959"/>
                <w:szCs w:val="22"/>
              </w:rPr>
              <w:t xml:space="preserve">not have as its objective a sustainable investment, it </w:t>
            </w:r>
            <w:r w:rsidRPr="00A81102">
              <w:rPr>
                <w:rFonts w:ascii="Calibri" w:eastAsia="Calibri" w:hAnsi="Calibri" w:cs="Times New Roman"/>
                <w:bCs/>
                <w:noProof/>
                <w:color w:val="595959"/>
              </w:rPr>
              <w:t xml:space="preserve">will have a minimum proportion </w:t>
            </w:r>
            <w:r w:rsidRPr="00970699">
              <w:rPr>
                <w:rFonts w:ascii="Calibri" w:eastAsia="Calibri" w:hAnsi="Calibri" w:cs="Calibri"/>
                <w:noProof/>
                <w:color w:val="595959"/>
                <w:szCs w:val="22"/>
              </w:rPr>
              <w:t xml:space="preserve">of </w:t>
            </w:r>
            <w:r w:rsidR="00970699" w:rsidRPr="00A96E52">
              <w:rPr>
                <w:rFonts w:ascii="Calibri" w:eastAsia="Calibri" w:hAnsi="Calibri" w:cs="Calibri"/>
                <w:noProof/>
                <w:color w:val="595959"/>
                <w:sz w:val="19"/>
                <w:szCs w:val="22"/>
              </w:rPr>
              <w:t xml:space="preserve">0% </w:t>
            </w:r>
            <w:r w:rsidRPr="00A96E52">
              <w:rPr>
                <w:rFonts w:ascii="Calibri" w:eastAsia="Calibri" w:hAnsi="Calibri" w:cs="Calibri"/>
                <w:noProof/>
                <w:color w:val="595959"/>
                <w:sz w:val="19"/>
                <w:szCs w:val="22"/>
              </w:rPr>
              <w:t xml:space="preserve">of </w:t>
            </w:r>
            <w:r w:rsidRPr="00970699">
              <w:rPr>
                <w:rFonts w:ascii="Calibri" w:eastAsia="Calibri" w:hAnsi="Calibri" w:cs="Calibri"/>
                <w:noProof/>
                <w:color w:val="595959"/>
                <w:szCs w:val="22"/>
              </w:rPr>
              <w:t>sustainable investments</w:t>
            </w:r>
          </w:p>
          <w:p w14:paraId="7F4C02F0" w14:textId="77777777" w:rsidR="005466ED" w:rsidRPr="00A81102" w:rsidRDefault="005466ED" w:rsidP="00721AB4">
            <w:pPr>
              <w:ind w:left="454" w:right="-144"/>
              <w:rPr>
                <w:rFonts w:ascii="Calibri" w:eastAsia="Calibri" w:hAnsi="Calibri" w:cs="Times New Roman"/>
                <w:bCs/>
                <w:noProof/>
                <w:color w:val="595959"/>
                <w:sz w:val="16"/>
                <w:szCs w:val="16"/>
              </w:rPr>
            </w:pPr>
            <w:r w:rsidRPr="00A81102">
              <w:rPr>
                <w:rFonts w:ascii="Calibri" w:eastAsia="Calibri" w:hAnsi="Calibri" w:cs="Times New Roman"/>
                <w:bCs/>
                <w:noProof/>
                <w:color w:val="595959"/>
                <w:sz w:val="20"/>
              </w:rPr>
              <w:t xml:space="preserve"> </w:t>
            </w:r>
          </w:p>
          <w:p w14:paraId="2219AEFF" w14:textId="23535D4F" w:rsidR="005466ED" w:rsidRPr="00A81102" w:rsidRDefault="005466ED" w:rsidP="00721AB4">
            <w:pPr>
              <w:spacing w:after="160" w:line="259" w:lineRule="auto"/>
              <w:ind w:left="1163" w:hanging="8"/>
              <w:rPr>
                <w:rFonts w:ascii="Calibri" w:eastAsia="Calibri" w:hAnsi="Calibri" w:cs="Times New Roman"/>
                <w:bCs/>
                <w:noProof/>
                <w:color w:val="595959"/>
                <w:sz w:val="20"/>
              </w:rPr>
            </w:pPr>
            <w:r w:rsidRPr="00A81102">
              <w:rPr>
                <w:rFonts w:ascii="Calibri" w:eastAsia="Calibri" w:hAnsi="Calibri" w:cs="Times New Roman"/>
                <w:b/>
                <w:noProof/>
                <w:color w:val="595959"/>
                <w:sz w:val="18"/>
                <w:szCs w:val="22"/>
                <w:lang w:eastAsia="en-GB"/>
              </w:rPr>
              <mc:AlternateContent>
                <mc:Choice Requires="wps">
                  <w:drawing>
                    <wp:anchor distT="0" distB="0" distL="114300" distR="114300" simplePos="0" relativeHeight="251666432" behindDoc="0" locked="0" layoutInCell="1" allowOverlap="1" wp14:anchorId="6679D185" wp14:editId="6A67D094">
                      <wp:simplePos x="0" y="0"/>
                      <wp:positionH relativeFrom="column">
                        <wp:posOffset>408605</wp:posOffset>
                      </wp:positionH>
                      <wp:positionV relativeFrom="paragraph">
                        <wp:posOffset>31095</wp:posOffset>
                      </wp:positionV>
                      <wp:extent cx="179705" cy="193675"/>
                      <wp:effectExtent l="0" t="0" r="10795" b="15875"/>
                      <wp:wrapSquare wrapText="bothSides"/>
                      <wp:docPr id="911" name="Rectangle 911"/>
                      <wp:cNvGraphicFramePr/>
                      <a:graphic xmlns:a="http://schemas.openxmlformats.org/drawingml/2006/main">
                        <a:graphicData uri="http://schemas.microsoft.com/office/word/2010/wordprocessingShape">
                          <wps:wsp>
                            <wps:cNvSpPr/>
                            <wps:spPr>
                              <a:xfrm>
                                <a:off x="0" y="0"/>
                                <a:ext cx="179705" cy="193675"/>
                              </a:xfrm>
                              <a:prstGeom prst="rect">
                                <a:avLst/>
                              </a:prstGeom>
                              <a:solidFill>
                                <a:sysClr val="window" lastClr="FFFFFF"/>
                              </a:solidFill>
                              <a:ln w="12700" cap="flat" cmpd="sng" algn="ctr">
                                <a:solidFill>
                                  <a:sysClr val="window" lastClr="FFFFFF">
                                    <a:lumMod val="8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40AEE6" id="Rectangle 911" o:spid="_x0000_s1026" style="position:absolute;margin-left:32.15pt;margin-top:2.45pt;width:14.15pt;height:15.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" fillcolor="window" strokecolor="#d9d9d9" strokeweight="1pt">
                      <w10:wrap type="square"/>
                    </v:rect>
                  </w:pict>
                </mc:Fallback>
              </mc:AlternateContent>
            </w:r>
            <w:r w:rsidRPr="00A81102">
              <w:rPr>
                <w:rFonts w:ascii="Calibri" w:eastAsia="Calibri" w:hAnsi="Calibri" w:cs="Times New Roman"/>
                <w:bCs/>
                <w:noProof/>
                <w:color w:val="595959"/>
                <w:sz w:val="20"/>
              </w:rPr>
              <w:t xml:space="preserve"> with an environmental objective in economic activities that qualify as environmentally sustainable under the EU Taxonomy </w:t>
            </w:r>
          </w:p>
          <w:p w14:paraId="4E5B1F36" w14:textId="502F6622" w:rsidR="005466ED" w:rsidRPr="00A81102" w:rsidRDefault="005466ED" w:rsidP="00721AB4">
            <w:pPr>
              <w:ind w:left="1163" w:right="141"/>
              <w:rPr>
                <w:rFonts w:ascii="Calibri" w:eastAsia="Calibri" w:hAnsi="Calibri" w:cs="Times New Roman"/>
                <w:bCs/>
                <w:noProof/>
                <w:color w:val="595959"/>
                <w:sz w:val="20"/>
              </w:rPr>
            </w:pPr>
            <w:r w:rsidRPr="00A81102">
              <w:rPr>
                <w:rFonts w:ascii="Calibri" w:eastAsia="Calibri" w:hAnsi="Calibri" w:cs="Times New Roman"/>
                <w:b/>
                <w:noProof/>
                <w:color w:val="595959"/>
                <w:sz w:val="18"/>
                <w:szCs w:val="22"/>
                <w:lang w:eastAsia="en-GB"/>
              </w:rPr>
              <mc:AlternateContent>
                <mc:Choice Requires="wps">
                  <w:drawing>
                    <wp:anchor distT="0" distB="0" distL="114300" distR="114300" simplePos="0" relativeHeight="251667456" behindDoc="0" locked="0" layoutInCell="1" allowOverlap="1" wp14:anchorId="2BB9A1DF" wp14:editId="0B83B544">
                      <wp:simplePos x="0" y="0"/>
                      <wp:positionH relativeFrom="column">
                        <wp:posOffset>427355</wp:posOffset>
                      </wp:positionH>
                      <wp:positionV relativeFrom="paragraph">
                        <wp:posOffset>40005</wp:posOffset>
                      </wp:positionV>
                      <wp:extent cx="179705" cy="193675"/>
                      <wp:effectExtent l="0" t="0" r="10795" b="15875"/>
                      <wp:wrapSquare wrapText="bothSides"/>
                      <wp:docPr id="912" name="Rectangle 912"/>
                      <wp:cNvGraphicFramePr/>
                      <a:graphic xmlns:a="http://schemas.openxmlformats.org/drawingml/2006/main">
                        <a:graphicData uri="http://schemas.microsoft.com/office/word/2010/wordprocessingShape">
                          <wps:wsp>
                            <wps:cNvSpPr/>
                            <wps:spPr>
                              <a:xfrm>
                                <a:off x="0" y="0"/>
                                <a:ext cx="179705" cy="193675"/>
                              </a:xfrm>
                              <a:prstGeom prst="rect">
                                <a:avLst/>
                              </a:prstGeom>
                              <a:solidFill>
                                <a:sysClr val="window" lastClr="FFFFFF"/>
                              </a:solidFill>
                              <a:ln w="12700" cap="flat" cmpd="sng" algn="ctr">
                                <a:solidFill>
                                  <a:sysClr val="window" lastClr="FFFFFF">
                                    <a:lumMod val="8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A1155" id="Rectangle 912" o:spid="_x0000_s1026" style="position:absolute;margin-left:33.65pt;margin-top:3.15pt;width:14.15pt;height:15.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" fillcolor="window" strokecolor="#d9d9d9" strokeweight="1pt">
                      <w10:wrap type="square"/>
                    </v:rect>
                  </w:pict>
                </mc:Fallback>
              </mc:AlternateContent>
            </w:r>
            <w:r w:rsidRPr="00A81102">
              <w:rPr>
                <w:rFonts w:ascii="Calibri" w:eastAsia="Calibri" w:hAnsi="Calibri" w:cs="Times New Roman"/>
                <w:bCs/>
                <w:noProof/>
                <w:color w:val="595959"/>
                <w:sz w:val="20"/>
              </w:rPr>
              <w:t>with an environmental objective in economic activities that do not qualify as environmentally sustainable under the EU Taxonomy</w:t>
            </w:r>
          </w:p>
          <w:p w14:paraId="18C94BC3" w14:textId="77777777" w:rsidR="005466ED" w:rsidRPr="00A81102" w:rsidRDefault="005466ED" w:rsidP="00721AB4">
            <w:pPr>
              <w:ind w:left="1163" w:right="141"/>
              <w:rPr>
                <w:rFonts w:ascii="Calibri" w:eastAsia="Calibri" w:hAnsi="Calibri" w:cs="Times New Roman"/>
                <w:bCs/>
                <w:noProof/>
                <w:color w:val="595959"/>
                <w:sz w:val="20"/>
              </w:rPr>
            </w:pPr>
            <w:r w:rsidRPr="00A81102">
              <w:rPr>
                <w:rFonts w:ascii="Calibri" w:eastAsia="Calibri" w:hAnsi="Calibri" w:cs="Times New Roman"/>
                <w:b/>
                <w:noProof/>
                <w:color w:val="595959"/>
                <w:sz w:val="18"/>
                <w:szCs w:val="22"/>
                <w:lang w:eastAsia="en-GB"/>
              </w:rPr>
              <mc:AlternateContent>
                <mc:Choice Requires="wps">
                  <w:drawing>
                    <wp:anchor distT="0" distB="0" distL="114300" distR="114300" simplePos="0" relativeHeight="251668480" behindDoc="0" locked="0" layoutInCell="1" allowOverlap="1" wp14:anchorId="56CDAF98" wp14:editId="2BD63568">
                      <wp:simplePos x="0" y="0"/>
                      <wp:positionH relativeFrom="column">
                        <wp:posOffset>429066</wp:posOffset>
                      </wp:positionH>
                      <wp:positionV relativeFrom="paragraph">
                        <wp:posOffset>142875</wp:posOffset>
                      </wp:positionV>
                      <wp:extent cx="179705" cy="193675"/>
                      <wp:effectExtent l="0" t="0" r="10795" b="15875"/>
                      <wp:wrapSquare wrapText="bothSides"/>
                      <wp:docPr id="913" name="Rectangle 913"/>
                      <wp:cNvGraphicFramePr/>
                      <a:graphic xmlns:a="http://schemas.openxmlformats.org/drawingml/2006/main">
                        <a:graphicData uri="http://schemas.microsoft.com/office/word/2010/wordprocessingShape">
                          <wps:wsp>
                            <wps:cNvSpPr/>
                            <wps:spPr>
                              <a:xfrm>
                                <a:off x="0" y="0"/>
                                <a:ext cx="179705" cy="193675"/>
                              </a:xfrm>
                              <a:prstGeom prst="rect">
                                <a:avLst/>
                              </a:prstGeom>
                              <a:solidFill>
                                <a:sysClr val="window" lastClr="FFFFFF"/>
                              </a:solidFill>
                              <a:ln w="12700" cap="flat" cmpd="sng" algn="ctr">
                                <a:solidFill>
                                  <a:sysClr val="window" lastClr="FFFFFF">
                                    <a:lumMod val="8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D6F701" id="Rectangle 913" o:spid="_x0000_s1026" style="position:absolute;margin-left:33.8pt;margin-top:11.25pt;width:14.15pt;height:15.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" fillcolor="window" strokecolor="#d9d9d9" strokeweight="1pt">
                      <w10:wrap type="square"/>
                    </v:rect>
                  </w:pict>
                </mc:Fallback>
              </mc:AlternateContent>
            </w:r>
          </w:p>
          <w:p w14:paraId="7D6C35F4" w14:textId="77777777" w:rsidR="005466ED" w:rsidRPr="00A81102" w:rsidRDefault="005466ED" w:rsidP="00721AB4">
            <w:pPr>
              <w:ind w:left="1163" w:right="141"/>
              <w:rPr>
                <w:rFonts w:ascii="Calibri" w:eastAsia="Calibri" w:hAnsi="Calibri" w:cs="Times New Roman"/>
                <w:bCs/>
                <w:noProof/>
                <w:color w:val="595959"/>
                <w:sz w:val="20"/>
              </w:rPr>
            </w:pPr>
            <w:r w:rsidRPr="00A81102">
              <w:rPr>
                <w:rFonts w:ascii="Calibri" w:eastAsia="Calibri" w:hAnsi="Calibri" w:cs="Times New Roman"/>
                <w:bCs/>
                <w:noProof/>
                <w:color w:val="595959"/>
                <w:sz w:val="20"/>
              </w:rPr>
              <w:t>with a social objective</w:t>
            </w:r>
          </w:p>
          <w:p w14:paraId="3B5EC1BC" w14:textId="77777777" w:rsidR="005466ED" w:rsidRPr="00A81102" w:rsidRDefault="005466ED" w:rsidP="00721AB4">
            <w:pPr>
              <w:ind w:left="1163" w:right="141"/>
              <w:rPr>
                <w:rFonts w:ascii="Calibri" w:eastAsia="Calibri" w:hAnsi="Calibri" w:cs="Times New Roman"/>
                <w:b/>
                <w:bCs/>
                <w:noProof/>
                <w:color w:val="595959"/>
              </w:rPr>
            </w:pPr>
          </w:p>
        </w:tc>
      </w:tr>
      <w:tr w:rsidR="005466ED" w:rsidRPr="00A81102" w14:paraId="212CA917" w14:textId="77777777" w:rsidTr="00721AB4">
        <w:trPr>
          <w:gridAfter w:val="1"/>
          <w:wAfter w:w="7" w:type="dxa"/>
          <w:trHeight w:val="789"/>
        </w:trPr>
        <w:tc>
          <w:tcPr>
            <w:tcW w:w="3969" w:type="dxa"/>
            <w:tcBorders>
              <w:top w:val="nil"/>
              <w:left w:val="nil"/>
              <w:bottom w:val="nil"/>
              <w:right w:val="single" w:sz="2" w:space="0" w:color="D9D9D9"/>
            </w:tcBorders>
            <w:shd w:val="clear" w:color="auto" w:fill="FAE8D5"/>
          </w:tcPr>
          <w:p w14:paraId="1F38D8FA" w14:textId="6F3F9E07" w:rsidR="005466ED" w:rsidRPr="00A81102" w:rsidRDefault="005466ED" w:rsidP="00721AB4">
            <w:pPr>
              <w:spacing w:after="160" w:line="259" w:lineRule="auto"/>
              <w:ind w:left="457"/>
              <w:rPr>
                <w:rFonts w:ascii="Calibri" w:eastAsia="Calibri" w:hAnsi="Calibri" w:cs="Times New Roman"/>
                <w:bCs/>
                <w:noProof/>
                <w:color w:val="595959"/>
              </w:rPr>
            </w:pPr>
            <w:r w:rsidRPr="00A81102">
              <w:rPr>
                <w:rFonts w:ascii="Calibri" w:eastAsia="Calibri" w:hAnsi="Calibri" w:cs="Times New Roman"/>
                <w:bCs/>
                <w:noProof/>
                <w:color w:val="595959"/>
                <w:lang w:eastAsia="en-GB"/>
              </w:rPr>
              <mc:AlternateContent>
                <mc:Choice Requires="wps">
                  <w:drawing>
                    <wp:anchor distT="0" distB="0" distL="114300" distR="114300" simplePos="0" relativeHeight="251663360" behindDoc="0" locked="0" layoutInCell="1" allowOverlap="1" wp14:anchorId="53CBB2CB" wp14:editId="4896F1AF">
                      <wp:simplePos x="0" y="0"/>
                      <wp:positionH relativeFrom="column">
                        <wp:posOffset>-22225</wp:posOffset>
                      </wp:positionH>
                      <wp:positionV relativeFrom="paragraph">
                        <wp:posOffset>53340</wp:posOffset>
                      </wp:positionV>
                      <wp:extent cx="179705" cy="193675"/>
                      <wp:effectExtent l="0" t="0" r="10795" b="15875"/>
                      <wp:wrapSquare wrapText="bothSides"/>
                      <wp:docPr id="914" name="Rectangle 914"/>
                      <wp:cNvGraphicFramePr/>
                      <a:graphic xmlns:a="http://schemas.openxmlformats.org/drawingml/2006/main">
                        <a:graphicData uri="http://schemas.microsoft.com/office/word/2010/wordprocessingShape">
                          <wps:wsp>
                            <wps:cNvSpPr/>
                            <wps:spPr>
                              <a:xfrm>
                                <a:off x="0" y="0"/>
                                <a:ext cx="179705" cy="193675"/>
                              </a:xfrm>
                              <a:prstGeom prst="rect">
                                <a:avLst/>
                              </a:prstGeom>
                              <a:solidFill>
                                <a:sysClr val="window" lastClr="FFFFFF"/>
                              </a:solidFill>
                              <a:ln w="12700" cap="flat" cmpd="sng" algn="ctr">
                                <a:solidFill>
                                  <a:sysClr val="window" lastClr="FFFFFF">
                                    <a:lumMod val="8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53AED" id="Rectangle 914" o:spid="_x0000_s1026" style="position:absolute;margin-left:-1.75pt;margin-top:4.2pt;width:14.15pt;height:1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" fillcolor="window" strokecolor="#d9d9d9" strokeweight="1pt">
                      <w10:wrap type="square"/>
                    </v:rect>
                  </w:pict>
                </mc:Fallback>
              </mc:AlternateContent>
            </w:r>
            <w:r w:rsidRPr="00A81102">
              <w:rPr>
                <w:rFonts w:ascii="Calibri" w:eastAsia="Calibri" w:hAnsi="Calibri" w:cs="Times New Roman"/>
                <w:bCs/>
                <w:noProof/>
                <w:color w:val="595959"/>
              </w:rPr>
              <w:t xml:space="preserve">It will make a minimum of </w:t>
            </w:r>
            <w:r w:rsidRPr="00A81102">
              <w:rPr>
                <w:rFonts w:ascii="Calibri" w:eastAsia="Calibri" w:hAnsi="Calibri" w:cs="Times New Roman"/>
                <w:b/>
                <w:bCs/>
                <w:noProof/>
                <w:color w:val="595959"/>
              </w:rPr>
              <w:t xml:space="preserve">sustainable investments with a social objective: </w:t>
            </w:r>
            <w:r w:rsidR="00970699">
              <w:rPr>
                <w:rFonts w:ascii="Calibri" w:eastAsia="Calibri" w:hAnsi="Calibri" w:cs="Times New Roman"/>
                <w:bCs/>
                <w:noProof/>
                <w:color w:val="595959"/>
                <w:sz w:val="20"/>
              </w:rPr>
              <w:t>N/A</w:t>
            </w:r>
            <w:r w:rsidR="00970699" w:rsidRPr="00A81102">
              <w:rPr>
                <w:rFonts w:ascii="Calibri" w:eastAsia="Calibri" w:hAnsi="Calibri" w:cs="Times New Roman"/>
                <w:bCs/>
                <w:noProof/>
                <w:color w:val="595959"/>
                <w:sz w:val="20"/>
              </w:rPr>
              <w:t xml:space="preserve"> </w:t>
            </w:r>
          </w:p>
        </w:tc>
        <w:tc>
          <w:tcPr>
            <w:tcW w:w="5103" w:type="dxa"/>
            <w:tcBorders>
              <w:top w:val="nil"/>
              <w:left w:val="single" w:sz="2" w:space="0" w:color="D9D9D9"/>
              <w:bottom w:val="nil"/>
              <w:right w:val="nil"/>
            </w:tcBorders>
            <w:shd w:val="clear" w:color="auto" w:fill="FAE8D5"/>
          </w:tcPr>
          <w:p w14:paraId="62E8B939" w14:textId="628329CA" w:rsidR="005466ED" w:rsidRPr="00A81102" w:rsidRDefault="005466ED" w:rsidP="00721AB4">
            <w:pPr>
              <w:spacing w:after="160"/>
              <w:ind w:left="411"/>
              <w:rPr>
                <w:rFonts w:ascii="Calibri" w:eastAsia="Calibri" w:hAnsi="Calibri" w:cs="Times New Roman"/>
                <w:noProof/>
                <w:color w:val="595959"/>
                <w:szCs w:val="22"/>
              </w:rPr>
            </w:pPr>
            <w:r w:rsidRPr="00A81102">
              <w:rPr>
                <w:rFonts w:cs="Times New Roman"/>
                <w:noProof/>
                <w:szCs w:val="20"/>
                <w:lang w:eastAsia="en-GB"/>
              </w:rPr>
              <w:drawing>
                <wp:anchor distT="0" distB="0" distL="114300" distR="114300" simplePos="0" relativeHeight="251677696" behindDoc="0" locked="0" layoutInCell="1" allowOverlap="1" wp14:anchorId="61C29B8B" wp14:editId="01D5FC97">
                  <wp:simplePos x="0" y="0"/>
                  <wp:positionH relativeFrom="column">
                    <wp:posOffset>20320</wp:posOffset>
                  </wp:positionH>
                  <wp:positionV relativeFrom="paragraph">
                    <wp:posOffset>49530</wp:posOffset>
                  </wp:positionV>
                  <wp:extent cx="124460" cy="124460"/>
                  <wp:effectExtent l="0" t="0" r="889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pic:spPr>
                      </pic:pic>
                    </a:graphicData>
                  </a:graphic>
                  <wp14:sizeRelH relativeFrom="page">
                    <wp14:pctWidth>0</wp14:pctWidth>
                  </wp14:sizeRelH>
                  <wp14:sizeRelV relativeFrom="page">
                    <wp14:pctHeight>0</wp14:pctHeight>
                  </wp14:sizeRelV>
                </wp:anchor>
              </w:drawing>
            </w:r>
            <w:r w:rsidRPr="00A81102">
              <w:rPr>
                <w:rFonts w:ascii="Calibri" w:eastAsia="Calibri" w:hAnsi="Calibri" w:cs="Times New Roman"/>
                <w:b/>
                <w:noProof/>
                <w:color w:val="595959"/>
                <w:sz w:val="20"/>
                <w:szCs w:val="22"/>
                <w:lang w:eastAsia="en-GB"/>
              </w:rPr>
              <mc:AlternateContent>
                <mc:Choice Requires="wps">
                  <w:drawing>
                    <wp:anchor distT="0" distB="0" distL="114300" distR="114300" simplePos="0" relativeHeight="251665408" behindDoc="0" locked="0" layoutInCell="1" allowOverlap="1" wp14:anchorId="0947DF36" wp14:editId="254AD07F">
                      <wp:simplePos x="0" y="0"/>
                      <wp:positionH relativeFrom="column">
                        <wp:posOffset>-26963</wp:posOffset>
                      </wp:positionH>
                      <wp:positionV relativeFrom="paragraph">
                        <wp:posOffset>34290</wp:posOffset>
                      </wp:positionV>
                      <wp:extent cx="179705" cy="193675"/>
                      <wp:effectExtent l="0" t="0" r="10795" b="15875"/>
                      <wp:wrapSquare wrapText="bothSides"/>
                      <wp:docPr id="915" name="Rectangle 915"/>
                      <wp:cNvGraphicFramePr/>
                      <a:graphic xmlns:a="http://schemas.openxmlformats.org/drawingml/2006/main">
                        <a:graphicData uri="http://schemas.microsoft.com/office/word/2010/wordprocessingShape">
                          <wps:wsp>
                            <wps:cNvSpPr/>
                            <wps:spPr>
                              <a:xfrm>
                                <a:off x="0" y="0"/>
                                <a:ext cx="179705" cy="193675"/>
                              </a:xfrm>
                              <a:prstGeom prst="rect">
                                <a:avLst/>
                              </a:prstGeom>
                              <a:solidFill>
                                <a:sysClr val="window" lastClr="FFFFFF"/>
                              </a:solidFill>
                              <a:ln w="12700" cap="flat" cmpd="sng" algn="ctr">
                                <a:solidFill>
                                  <a:sysClr val="window" lastClr="FFFFFF">
                                    <a:lumMod val="8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E0E7F2" id="Rectangle 915" o:spid="_x0000_s1026" style="position:absolute;margin-left:-2.1pt;margin-top:2.7pt;width:14.15pt;height:15.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" fillcolor="window" strokecolor="#d9d9d9" strokeweight="1pt">
                      <w10:wrap type="square"/>
                    </v:rect>
                  </w:pict>
                </mc:Fallback>
              </mc:AlternateContent>
            </w:r>
            <w:r w:rsidRPr="00A81102">
              <w:rPr>
                <w:rFonts w:ascii="Calibri" w:eastAsia="Calibri" w:hAnsi="Calibri" w:cs="Times New Roman"/>
                <w:bCs/>
                <w:noProof/>
                <w:color w:val="595959"/>
              </w:rPr>
              <w:t>It promotes E/S characteristics,</w:t>
            </w:r>
            <w:r w:rsidRPr="00A81102">
              <w:rPr>
                <w:rFonts w:ascii="Calibri" w:eastAsia="Calibri" w:hAnsi="Calibri" w:cs="Times New Roman"/>
                <w:noProof/>
                <w:color w:val="595959"/>
                <w:szCs w:val="22"/>
              </w:rPr>
              <w:t xml:space="preserve"> but </w:t>
            </w:r>
            <w:r w:rsidRPr="00A81102">
              <w:rPr>
                <w:rFonts w:ascii="Calibri" w:eastAsia="Calibri" w:hAnsi="Calibri" w:cs="Times New Roman"/>
                <w:b/>
                <w:noProof/>
                <w:color w:val="595959"/>
                <w:szCs w:val="22"/>
              </w:rPr>
              <w:t>will not make any sustainable investments</w:t>
            </w:r>
            <w:r w:rsidRPr="00A81102">
              <w:rPr>
                <w:rFonts w:ascii="Calibri" w:eastAsia="Calibri" w:hAnsi="Calibri" w:cs="Times New Roman"/>
                <w:noProof/>
                <w:color w:val="595959"/>
                <w:szCs w:val="22"/>
              </w:rPr>
              <w:t xml:space="preserve"> </w:t>
            </w:r>
          </w:p>
          <w:p w14:paraId="1516A7B6" w14:textId="77777777" w:rsidR="005466ED" w:rsidRPr="00A81102" w:rsidRDefault="005466ED" w:rsidP="00721AB4">
            <w:pPr>
              <w:spacing w:after="160"/>
              <w:ind w:left="411"/>
              <w:rPr>
                <w:rFonts w:ascii="Calibri" w:eastAsia="Calibri" w:hAnsi="Calibri" w:cs="Calibri"/>
                <w:noProof/>
                <w:color w:val="595959"/>
                <w:szCs w:val="22"/>
              </w:rPr>
            </w:pPr>
          </w:p>
        </w:tc>
      </w:tr>
    </w:tbl>
    <w:p w14:paraId="495FA521" w14:textId="77777777" w:rsidR="005466ED" w:rsidRDefault="005466ED" w:rsidP="005466ED">
      <w:pPr>
        <w:spacing w:before="0" w:after="160" w:line="259" w:lineRule="auto"/>
        <w:rPr>
          <w:rFonts w:ascii="Calibri" w:eastAsia="Calibri" w:hAnsi="Calibri" w:cs="Times New Roman"/>
          <w:b/>
          <w:bCs/>
          <w:noProof/>
          <w:sz w:val="24"/>
          <w:szCs w:val="24"/>
          <w:lang w:val="en-GB"/>
        </w:rPr>
      </w:pPr>
    </w:p>
    <w:p w14:paraId="754ED1A8" w14:textId="77777777" w:rsidR="005466ED" w:rsidRDefault="005466ED" w:rsidP="005466ED">
      <w:pPr>
        <w:spacing w:before="0" w:after="160" w:line="259" w:lineRule="auto"/>
        <w:rPr>
          <w:rFonts w:ascii="Calibri" w:eastAsia="Calibri" w:hAnsi="Calibri" w:cs="Times New Roman"/>
          <w:b/>
          <w:bCs/>
          <w:noProof/>
          <w:sz w:val="24"/>
          <w:szCs w:val="24"/>
          <w:lang w:val="en-GB"/>
        </w:rPr>
      </w:pPr>
    </w:p>
    <w:p w14:paraId="6BCDFEBC" w14:textId="77777777" w:rsidR="005466ED" w:rsidRPr="00A81102" w:rsidRDefault="005466ED" w:rsidP="005466ED">
      <w:pPr>
        <w:spacing w:before="0" w:after="160" w:line="259" w:lineRule="auto"/>
        <w:rPr>
          <w:rFonts w:ascii="Calibri" w:eastAsia="Calibri" w:hAnsi="Calibri" w:cs="Times New Roman"/>
          <w:b/>
          <w:bCs/>
          <w:noProof/>
          <w:sz w:val="24"/>
          <w:szCs w:val="24"/>
          <w:lang w:val="en-GB"/>
        </w:rPr>
      </w:pPr>
    </w:p>
    <w:tbl>
      <w:tblPr>
        <w:tblStyle w:val="Grilledutableau"/>
        <w:tblW w:w="11199" w:type="dxa"/>
        <w:tblInd w:w="-2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1"/>
        <w:gridCol w:w="83"/>
        <w:gridCol w:w="90"/>
        <w:gridCol w:w="90"/>
        <w:gridCol w:w="90"/>
        <w:gridCol w:w="990"/>
        <w:gridCol w:w="8010"/>
        <w:gridCol w:w="135"/>
      </w:tblGrid>
      <w:tr w:rsidR="005466ED" w:rsidRPr="00D93EDC" w14:paraId="2683CB10" w14:textId="77777777" w:rsidTr="00721AB4">
        <w:trPr>
          <w:trHeight w:val="884"/>
        </w:trPr>
        <w:tc>
          <w:tcPr>
            <w:tcW w:w="2064" w:type="dxa"/>
            <w:gridSpan w:val="5"/>
          </w:tcPr>
          <w:bookmarkEnd w:id="45"/>
          <w:p w14:paraId="58B250EE" w14:textId="77777777" w:rsidR="005466ED" w:rsidRDefault="005466ED" w:rsidP="00721AB4">
            <w:pPr>
              <w:ind w:right="-2"/>
              <w:rPr>
                <w:rFonts w:ascii="Calibri" w:hAnsi="Calibri"/>
                <w:noProof/>
                <w:szCs w:val="24"/>
                <w:lang w:eastAsia="en-IE"/>
              </w:rPr>
            </w:pPr>
            <w:r w:rsidRPr="003A1C01">
              <w:rPr>
                <w:rFonts w:ascii="Calibri" w:hAnsi="Calibri"/>
                <w:noProof/>
                <w:szCs w:val="24"/>
                <w:lang w:eastAsia="en-IE"/>
              </w:rPr>
              <w:drawing>
                <wp:anchor distT="0" distB="0" distL="114300" distR="114300" simplePos="0" relativeHeight="251678720" behindDoc="0" locked="0" layoutInCell="1" allowOverlap="1" wp14:anchorId="422D533F" wp14:editId="5FDF6E8A">
                  <wp:simplePos x="0" y="0"/>
                  <wp:positionH relativeFrom="leftMargin">
                    <wp:posOffset>-653415</wp:posOffset>
                  </wp:positionH>
                  <wp:positionV relativeFrom="paragraph">
                    <wp:posOffset>28575</wp:posOffset>
                  </wp:positionV>
                  <wp:extent cx="1706245" cy="600710"/>
                  <wp:effectExtent l="0" t="0" r="8255" b="8890"/>
                  <wp:wrapNone/>
                  <wp:docPr id="244" name="Graphic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1706245" cy="600710"/>
                          </a:xfrm>
                          <a:prstGeom prst="rect">
                            <a:avLst/>
                          </a:prstGeom>
                        </pic:spPr>
                      </pic:pic>
                    </a:graphicData>
                  </a:graphic>
                  <wp14:sizeRelH relativeFrom="margin">
                    <wp14:pctWidth>0</wp14:pctWidth>
                  </wp14:sizeRelH>
                  <wp14:sizeRelV relativeFrom="margin">
                    <wp14:pctHeight>0</wp14:pctHeight>
                  </wp14:sizeRelV>
                </wp:anchor>
              </w:drawing>
            </w:r>
          </w:p>
          <w:p w14:paraId="4BD7A42F" w14:textId="77777777" w:rsidR="005466ED" w:rsidRDefault="005466ED" w:rsidP="00721AB4">
            <w:pPr>
              <w:ind w:right="-2"/>
              <w:rPr>
                <w:rFonts w:ascii="Calibri" w:eastAsia="Calibri" w:hAnsi="Calibri"/>
                <w:b/>
                <w:bCs/>
                <w:noProof/>
                <w:sz w:val="24"/>
              </w:rPr>
            </w:pPr>
          </w:p>
        </w:tc>
        <w:tc>
          <w:tcPr>
            <w:tcW w:w="9135" w:type="dxa"/>
            <w:gridSpan w:val="3"/>
            <w:vMerge w:val="restart"/>
          </w:tcPr>
          <w:p w14:paraId="2AC2843B" w14:textId="77777777" w:rsidR="005466ED" w:rsidRPr="00232E5E" w:rsidRDefault="005466ED" w:rsidP="00721AB4">
            <w:pPr>
              <w:ind w:right="-2"/>
              <w:rPr>
                <w:rFonts w:eastAsia="Arial" w:cs="Arial"/>
                <w:b/>
                <w:bCs/>
                <w:lang w:val="en-US"/>
              </w:rPr>
            </w:pPr>
            <w:r w:rsidRPr="00232E5E">
              <w:rPr>
                <w:rFonts w:eastAsia="Arial" w:cs="Arial"/>
                <w:b/>
                <w:bCs/>
                <w:lang w:val="en-US"/>
              </w:rPr>
              <w:t xml:space="preserve">What environmental and/or social characteristics are promoted by this financial product? </w:t>
            </w:r>
          </w:p>
          <w:p w14:paraId="03578728" w14:textId="77777777" w:rsidR="005466ED" w:rsidRDefault="005466ED" w:rsidP="00721AB4">
            <w:pPr>
              <w:ind w:right="-2"/>
              <w:rPr>
                <w:rFonts w:eastAsia="Arial" w:cs="Arial"/>
                <w:b/>
                <w:bCs/>
                <w:lang w:val="en-US"/>
              </w:rPr>
            </w:pPr>
          </w:p>
          <w:p w14:paraId="289AE8AE" w14:textId="68493023" w:rsidR="00714F01" w:rsidRPr="00232E5E" w:rsidRDefault="001C1DF2" w:rsidP="00721AB4">
            <w:pPr>
              <w:ind w:right="-2"/>
              <w:rPr>
                <w:rFonts w:eastAsia="Arial" w:cs="Arial"/>
                <w:lang w:val="en-US"/>
              </w:rPr>
            </w:pPr>
            <w:r w:rsidRPr="001C1DF2">
              <w:rPr>
                <w:rFonts w:eastAsia="Arial" w:cs="Arial"/>
                <w:lang w:val="en-US"/>
              </w:rPr>
              <w:t>The Sub-Fund promotes the environmental characteristic of carbon emission intensity</w:t>
            </w:r>
            <w:r>
              <w:rPr>
                <w:rFonts w:eastAsia="Arial" w:cs="Arial"/>
                <w:lang w:val="en-US"/>
              </w:rPr>
              <w:t xml:space="preserve"> reduction</w:t>
            </w:r>
            <w:r w:rsidRPr="001C1DF2">
              <w:rPr>
                <w:rFonts w:eastAsia="Arial" w:cs="Arial"/>
                <w:lang w:val="en-US"/>
              </w:rPr>
              <w:t xml:space="preserve"> and the social characteristic</w:t>
            </w:r>
            <w:r>
              <w:rPr>
                <w:rFonts w:eastAsia="Arial" w:cs="Arial"/>
                <w:lang w:val="en-US"/>
              </w:rPr>
              <w:t>s</w:t>
            </w:r>
            <w:r w:rsidRPr="001C1DF2">
              <w:rPr>
                <w:rFonts w:eastAsia="Arial" w:cs="Arial"/>
                <w:lang w:val="en-US"/>
              </w:rPr>
              <w:t xml:space="preserve"> of </w:t>
            </w:r>
            <w:r>
              <w:rPr>
                <w:rFonts w:eastAsia="Arial" w:cs="Arial"/>
                <w:lang w:val="en-US"/>
              </w:rPr>
              <w:t xml:space="preserve">the reduction of the production of controversial weapons and the reduction in environmental harm. </w:t>
            </w:r>
            <w:r w:rsidR="003D4F44" w:rsidRPr="00232E5E">
              <w:rPr>
                <w:rFonts w:eastAsia="Arial" w:cs="Arial"/>
                <w:lang w:val="en-US"/>
              </w:rPr>
              <w:t>The Sub-Fund promotes</w:t>
            </w:r>
            <w:r w:rsidR="00D62129">
              <w:rPr>
                <w:rFonts w:eastAsia="Arial" w:cs="Arial"/>
                <w:lang w:val="en-US"/>
              </w:rPr>
              <w:t xml:space="preserve"> the</w:t>
            </w:r>
            <w:r>
              <w:rPr>
                <w:rFonts w:eastAsia="Arial" w:cs="Arial"/>
                <w:lang w:val="en-US"/>
              </w:rPr>
              <w:t>se</w:t>
            </w:r>
            <w:r w:rsidR="003D4F44" w:rsidRPr="00232E5E">
              <w:rPr>
                <w:rFonts w:eastAsia="Arial" w:cs="Arial"/>
                <w:lang w:val="en-US"/>
              </w:rPr>
              <w:t xml:space="preserve"> environmental and social characteristics </w:t>
            </w:r>
            <w:r w:rsidR="00D62129">
              <w:rPr>
                <w:rFonts w:eastAsia="Arial" w:cs="Arial"/>
                <w:lang w:val="en-US"/>
              </w:rPr>
              <w:t>using an</w:t>
            </w:r>
            <w:r w:rsidR="003D4F44" w:rsidRPr="00232E5E">
              <w:rPr>
                <w:rFonts w:eastAsia="Arial" w:cs="Arial"/>
                <w:lang w:val="en-US"/>
              </w:rPr>
              <w:t xml:space="preserve"> external ESG rating system from MSCI </w:t>
            </w:r>
            <w:r>
              <w:rPr>
                <w:rFonts w:eastAsia="Arial" w:cs="Arial"/>
                <w:lang w:val="en-US"/>
              </w:rPr>
              <w:t xml:space="preserve">(the </w:t>
            </w:r>
            <w:r w:rsidRPr="001C1DF2">
              <w:rPr>
                <w:rFonts w:eastAsia="Arial" w:cs="Arial"/>
                <w:b/>
                <w:bCs/>
                <w:lang w:val="en-US"/>
              </w:rPr>
              <w:t xml:space="preserve">MSCI </w:t>
            </w:r>
            <w:r w:rsidR="003D4F44" w:rsidRPr="001C1DF2">
              <w:rPr>
                <w:rFonts w:eastAsia="Arial" w:cs="Arial"/>
                <w:b/>
                <w:bCs/>
                <w:lang w:val="en-US"/>
              </w:rPr>
              <w:t>ESG R</w:t>
            </w:r>
            <w:r w:rsidR="00A44C57" w:rsidRPr="001C1DF2">
              <w:rPr>
                <w:rFonts w:eastAsia="Arial" w:cs="Arial"/>
                <w:b/>
                <w:bCs/>
                <w:lang w:val="en-US"/>
              </w:rPr>
              <w:t>ating</w:t>
            </w:r>
            <w:r>
              <w:rPr>
                <w:rFonts w:eastAsia="Arial" w:cs="Arial"/>
                <w:lang w:val="en-US"/>
              </w:rPr>
              <w:t>)</w:t>
            </w:r>
            <w:r w:rsidR="003D4F44" w:rsidRPr="00232E5E">
              <w:rPr>
                <w:rFonts w:eastAsia="Arial" w:cs="Arial"/>
                <w:lang w:val="en-US"/>
              </w:rPr>
              <w:t>. ESG criteria are taken into consideration through an approach which can be broken down into two stages:</w:t>
            </w:r>
          </w:p>
          <w:p w14:paraId="09A7B251" w14:textId="77777777" w:rsidR="003D4F44" w:rsidRPr="00232E5E" w:rsidRDefault="003D4F44" w:rsidP="00721AB4">
            <w:pPr>
              <w:ind w:right="-2"/>
              <w:rPr>
                <w:rFonts w:eastAsia="Arial" w:cs="Arial"/>
                <w:lang w:val="en-US"/>
              </w:rPr>
            </w:pPr>
          </w:p>
          <w:p w14:paraId="62B7A5E1" w14:textId="5B87F680" w:rsidR="003D4F44" w:rsidRPr="00232E5E" w:rsidRDefault="003D4F44" w:rsidP="00721AB4">
            <w:pPr>
              <w:ind w:right="-2"/>
              <w:rPr>
                <w:rFonts w:eastAsia="Arial" w:cs="Arial"/>
                <w:lang w:val="en-US"/>
              </w:rPr>
            </w:pPr>
            <w:r w:rsidRPr="00232E5E">
              <w:rPr>
                <w:rFonts w:eastAsia="Arial" w:cs="Arial"/>
                <w:lang w:val="en-US"/>
              </w:rPr>
              <w:t>First stage: exclusions</w:t>
            </w:r>
            <w:r w:rsidR="005C1EF9" w:rsidRPr="00232E5E">
              <w:rPr>
                <w:rFonts w:eastAsia="Arial" w:cs="Arial"/>
                <w:lang w:val="en-US"/>
              </w:rPr>
              <w:t>:</w:t>
            </w:r>
          </w:p>
          <w:p w14:paraId="58D2F958" w14:textId="77777777" w:rsidR="005C1EF9" w:rsidRPr="00232E5E" w:rsidRDefault="005C1EF9" w:rsidP="00721AB4">
            <w:pPr>
              <w:ind w:right="-2"/>
              <w:rPr>
                <w:rFonts w:eastAsia="Arial" w:cs="Arial"/>
                <w:lang w:val="en-US"/>
              </w:rPr>
            </w:pPr>
          </w:p>
          <w:p w14:paraId="032DD45E" w14:textId="55E0117C" w:rsidR="005C1EF9" w:rsidRPr="00232E5E" w:rsidRDefault="005C1EF9" w:rsidP="00721AB4">
            <w:pPr>
              <w:ind w:right="-2"/>
              <w:rPr>
                <w:rFonts w:eastAsia="Arial" w:cs="Arial"/>
                <w:lang w:val="en-US"/>
              </w:rPr>
            </w:pPr>
            <w:r w:rsidRPr="00232E5E">
              <w:rPr>
                <w:rFonts w:eastAsia="Arial" w:cs="Arial"/>
                <w:lang w:val="en-US"/>
              </w:rPr>
              <w:t xml:space="preserve">The Sub-Fund applies the common exclusion framework as detailed in the </w:t>
            </w:r>
            <w:r w:rsidR="00D62129">
              <w:rPr>
                <w:rFonts w:eastAsia="Arial" w:cs="Arial"/>
                <w:lang w:val="en-US"/>
              </w:rPr>
              <w:t>Investment Manager’s</w:t>
            </w:r>
            <w:r w:rsidRPr="00232E5E">
              <w:rPr>
                <w:rFonts w:eastAsia="Arial" w:cs="Arial"/>
                <w:lang w:val="en-US"/>
              </w:rPr>
              <w:t xml:space="preserve"> exclusion policy, which is available at am.oddo-bhf.com. </w:t>
            </w:r>
            <w:r w:rsidR="003F25D1" w:rsidRPr="00232E5E">
              <w:rPr>
                <w:rFonts w:eastAsia="Arial" w:cs="Arial"/>
                <w:lang w:val="en-US"/>
              </w:rPr>
              <w:t>The exclusions are the following:</w:t>
            </w:r>
          </w:p>
          <w:p w14:paraId="2303A477" w14:textId="65AFBB53" w:rsidR="003F25D1" w:rsidRPr="00232E5E" w:rsidRDefault="003F25D1" w:rsidP="003F25D1">
            <w:pPr>
              <w:pStyle w:val="Paragraphedeliste"/>
              <w:numPr>
                <w:ilvl w:val="0"/>
                <w:numId w:val="46"/>
              </w:numPr>
              <w:ind w:right="-2"/>
              <w:rPr>
                <w:rFonts w:eastAsia="Arial" w:cs="Arial"/>
                <w:lang w:val="en-US"/>
              </w:rPr>
            </w:pPr>
            <w:r w:rsidRPr="00232E5E">
              <w:rPr>
                <w:rFonts w:eastAsia="Arial" w:cs="Arial"/>
                <w:lang w:val="en-US"/>
              </w:rPr>
              <w:t>Unconventional weapons</w:t>
            </w:r>
            <w:r w:rsidR="00177B9E" w:rsidRPr="00232E5E">
              <w:rPr>
                <w:rFonts w:eastAsia="Arial" w:cs="Arial"/>
                <w:lang w:val="en-US"/>
              </w:rPr>
              <w:t xml:space="preserve">: all companies that manufacture or distribute weapons prohibited under the abovementioned international conventions. Companies shall have no activity of manufacturing or of manufacturing tailor-made components, using, repairing, putting up for sale, selling, distributing, importing or exporting, storing or transporting controversial or indiscriminate weapons such as: anti-personnel mines, submunitions, inert ammunition and </w:t>
            </w:r>
            <w:proofErr w:type="spellStart"/>
            <w:r w:rsidR="00177B9E" w:rsidRPr="00232E5E">
              <w:rPr>
                <w:rFonts w:eastAsia="Arial" w:cs="Arial"/>
                <w:lang w:val="en-US"/>
              </w:rPr>
              <w:t>armour</w:t>
            </w:r>
            <w:proofErr w:type="spellEnd"/>
            <w:r w:rsidR="00177B9E" w:rsidRPr="00232E5E">
              <w:rPr>
                <w:rFonts w:eastAsia="Arial" w:cs="Arial"/>
                <w:lang w:val="en-US"/>
              </w:rPr>
              <w:t xml:space="preserve"> containing depleted uranium or any other industrial uranium, weapons containing white phosphorus, biological, chemical or nuclear weapons (in the case of companies incorporated in a country that does not form part of the Nuclear Non-Proliferation Treaty).</w:t>
            </w:r>
          </w:p>
          <w:p w14:paraId="2B30C13C" w14:textId="62CCAF28" w:rsidR="003F25D1" w:rsidRPr="00232E5E" w:rsidRDefault="003F25D1" w:rsidP="00177B9E">
            <w:pPr>
              <w:pStyle w:val="Paragraphedeliste"/>
              <w:numPr>
                <w:ilvl w:val="0"/>
                <w:numId w:val="46"/>
              </w:numPr>
              <w:ind w:right="-2"/>
              <w:rPr>
                <w:rFonts w:eastAsia="Arial" w:cs="Arial"/>
                <w:lang w:val="en-US"/>
              </w:rPr>
            </w:pPr>
            <w:r w:rsidRPr="00232E5E">
              <w:rPr>
                <w:rFonts w:eastAsia="Arial" w:cs="Arial"/>
                <w:lang w:val="en-US"/>
              </w:rPr>
              <w:t xml:space="preserve">Coal </w:t>
            </w:r>
            <w:r w:rsidR="00177B9E" w:rsidRPr="00232E5E">
              <w:rPr>
                <w:rFonts w:eastAsia="Arial" w:cs="Arial"/>
                <w:lang w:val="en-US"/>
              </w:rPr>
              <w:t xml:space="preserve">mining: Any company with an annual production in excess of 8 million </w:t>
            </w:r>
            <w:proofErr w:type="spellStart"/>
            <w:r w:rsidR="00177B9E" w:rsidRPr="00232E5E">
              <w:rPr>
                <w:rFonts w:eastAsia="Arial" w:cs="Arial"/>
                <w:lang w:val="en-US"/>
              </w:rPr>
              <w:t>tonnes</w:t>
            </w:r>
            <w:proofErr w:type="spellEnd"/>
            <w:r w:rsidR="00177B9E" w:rsidRPr="00232E5E">
              <w:rPr>
                <w:rFonts w:eastAsia="Arial" w:cs="Arial"/>
                <w:lang w:val="en-US"/>
              </w:rPr>
              <w:t xml:space="preserve"> or, alternatively, a production equivalent to 5% of its revenues</w:t>
            </w:r>
            <w:r w:rsidR="000077CA" w:rsidRPr="00232E5E">
              <w:rPr>
                <w:rFonts w:eastAsia="Arial" w:cs="Arial"/>
                <w:lang w:val="en-US"/>
              </w:rPr>
              <w:t>.</w:t>
            </w:r>
          </w:p>
          <w:p w14:paraId="36229B23" w14:textId="566FC152" w:rsidR="00177B9E" w:rsidRPr="00232E5E" w:rsidRDefault="00177B9E" w:rsidP="00177B9E">
            <w:pPr>
              <w:pStyle w:val="Paragraphedeliste"/>
              <w:numPr>
                <w:ilvl w:val="0"/>
                <w:numId w:val="46"/>
              </w:numPr>
              <w:ind w:right="-2"/>
              <w:rPr>
                <w:rFonts w:eastAsia="Arial" w:cs="Arial"/>
                <w:lang w:val="en-US"/>
              </w:rPr>
            </w:pPr>
            <w:r w:rsidRPr="00232E5E">
              <w:rPr>
                <w:rFonts w:eastAsia="Arial" w:cs="Arial"/>
                <w:lang w:val="en-US"/>
              </w:rPr>
              <w:t>Coal power: Any company for which coal accounts for more than 15% of its production mix or, alternatively, more than 15% of its installed capacity</w:t>
            </w:r>
            <w:r w:rsidR="000077CA" w:rsidRPr="00232E5E">
              <w:rPr>
                <w:rFonts w:eastAsia="Arial" w:cs="Arial"/>
                <w:lang w:val="en-US"/>
              </w:rPr>
              <w:t>.</w:t>
            </w:r>
          </w:p>
          <w:p w14:paraId="6DF4E93B" w14:textId="19F84C29" w:rsidR="00B677D2" w:rsidRPr="00232E5E" w:rsidRDefault="00B677D2" w:rsidP="00177B9E">
            <w:pPr>
              <w:pStyle w:val="Paragraphedeliste"/>
              <w:numPr>
                <w:ilvl w:val="0"/>
                <w:numId w:val="46"/>
              </w:numPr>
              <w:ind w:right="-2"/>
              <w:rPr>
                <w:rFonts w:eastAsia="Arial" w:cs="Arial"/>
                <w:lang w:val="en-US"/>
              </w:rPr>
            </w:pPr>
            <w:r w:rsidRPr="00232E5E">
              <w:rPr>
                <w:rFonts w:eastAsia="Arial" w:cs="Arial"/>
                <w:lang w:val="en-US"/>
              </w:rPr>
              <w:t>Coal development projects:</w:t>
            </w:r>
            <w:r w:rsidR="009A3C34" w:rsidRPr="00232E5E">
              <w:rPr>
                <w:rFonts w:eastAsia="Arial" w:cs="Arial"/>
                <w:lang w:val="en-US"/>
              </w:rPr>
              <w:t xml:space="preserve"> Any company engaged in coal mining or coal-fired power generation that is developing new projects involving thermal coal, regardless of the project’s size. This includes coal infrastructure projects such as port or road developments </w:t>
            </w:r>
            <w:proofErr w:type="spellStart"/>
            <w:r w:rsidR="009A3C34" w:rsidRPr="00232E5E">
              <w:rPr>
                <w:rFonts w:eastAsia="Arial" w:cs="Arial"/>
                <w:lang w:val="en-US"/>
              </w:rPr>
              <w:t>favouring</w:t>
            </w:r>
            <w:proofErr w:type="spellEnd"/>
            <w:r w:rsidR="009A3C34" w:rsidRPr="00232E5E">
              <w:rPr>
                <w:rFonts w:eastAsia="Arial" w:cs="Arial"/>
                <w:lang w:val="en-US"/>
              </w:rPr>
              <w:t xml:space="preserve"> the development of coal production.</w:t>
            </w:r>
          </w:p>
          <w:p w14:paraId="24E80CEA" w14:textId="284E04B1" w:rsidR="00177B9E" w:rsidRPr="00232E5E" w:rsidRDefault="00177B9E" w:rsidP="00177B9E">
            <w:pPr>
              <w:pStyle w:val="Paragraphedeliste"/>
              <w:numPr>
                <w:ilvl w:val="0"/>
                <w:numId w:val="46"/>
              </w:numPr>
              <w:ind w:right="-2"/>
              <w:rPr>
                <w:rFonts w:eastAsia="Arial" w:cs="Arial"/>
                <w:lang w:val="en-US"/>
              </w:rPr>
            </w:pPr>
            <w:r w:rsidRPr="00232E5E">
              <w:rPr>
                <w:rFonts w:eastAsia="Arial" w:cs="Arial"/>
                <w:lang w:val="en-US"/>
              </w:rPr>
              <w:t>Tobacco: all companies that generate more than 0% of their revenues from the production of tobacco.</w:t>
            </w:r>
          </w:p>
          <w:p w14:paraId="29977624" w14:textId="17877E0F" w:rsidR="00177B9E" w:rsidRPr="00232E5E" w:rsidRDefault="00177B9E" w:rsidP="003F25D1">
            <w:pPr>
              <w:pStyle w:val="Paragraphedeliste"/>
              <w:numPr>
                <w:ilvl w:val="0"/>
                <w:numId w:val="46"/>
              </w:numPr>
              <w:ind w:right="-2"/>
              <w:rPr>
                <w:rFonts w:eastAsia="Arial" w:cs="Arial"/>
                <w:lang w:val="en-US"/>
              </w:rPr>
            </w:pPr>
            <w:r w:rsidRPr="00232E5E">
              <w:rPr>
                <w:rFonts w:eastAsia="Arial" w:cs="Arial"/>
                <w:lang w:val="en-US"/>
              </w:rPr>
              <w:t>Unconventional oil and gas: all companies from the energy sector that generate more than 5% of their revenues from the extraction and production of unconventional oil and gas. This includes shale oil and gas as well as oil sands.</w:t>
            </w:r>
          </w:p>
          <w:p w14:paraId="35A9051D" w14:textId="2B8D66CA" w:rsidR="00177B9E" w:rsidRPr="00232E5E" w:rsidRDefault="00177B9E" w:rsidP="003F25D1">
            <w:pPr>
              <w:pStyle w:val="Paragraphedeliste"/>
              <w:numPr>
                <w:ilvl w:val="0"/>
                <w:numId w:val="46"/>
              </w:numPr>
              <w:ind w:right="-2"/>
              <w:rPr>
                <w:rFonts w:eastAsia="Arial" w:cs="Arial"/>
                <w:lang w:val="en-US"/>
              </w:rPr>
            </w:pPr>
            <w:r w:rsidRPr="00232E5E">
              <w:rPr>
                <w:rFonts w:eastAsia="Arial" w:cs="Arial"/>
                <w:lang w:val="en-US"/>
              </w:rPr>
              <w:t>Arctic exploration: all companies from the energy sector that generate more than 10% of their revenues from the extraction and production of (conventional and unconventional) oil and gas in the Arctic.</w:t>
            </w:r>
          </w:p>
          <w:p w14:paraId="367318C4" w14:textId="47557651" w:rsidR="00177B9E" w:rsidRPr="00232E5E" w:rsidRDefault="00177B9E" w:rsidP="003F25D1">
            <w:pPr>
              <w:pStyle w:val="Paragraphedeliste"/>
              <w:numPr>
                <w:ilvl w:val="0"/>
                <w:numId w:val="46"/>
              </w:numPr>
              <w:ind w:right="-2"/>
              <w:rPr>
                <w:rFonts w:eastAsia="Arial" w:cs="Arial"/>
                <w:lang w:val="en-US"/>
              </w:rPr>
            </w:pPr>
            <w:r w:rsidRPr="00232E5E">
              <w:rPr>
                <w:rFonts w:eastAsia="Arial" w:cs="Arial"/>
                <w:lang w:val="en-US"/>
              </w:rPr>
              <w:t>Governance and international norms and conventions: all companies violating the United Nations Global Compact as well as OECD Guidelines for Multinational Enterprises</w:t>
            </w:r>
            <w:r w:rsidR="00A44C57">
              <w:rPr>
                <w:rFonts w:eastAsia="Arial" w:cs="Arial"/>
                <w:lang w:val="en-US"/>
              </w:rPr>
              <w:t>.</w:t>
            </w:r>
          </w:p>
          <w:p w14:paraId="073DB6D2" w14:textId="53ED6D95" w:rsidR="00177B9E" w:rsidRPr="00232E5E" w:rsidRDefault="00177B9E" w:rsidP="00A96E52">
            <w:pPr>
              <w:pStyle w:val="Paragraphedeliste"/>
              <w:numPr>
                <w:ilvl w:val="0"/>
                <w:numId w:val="46"/>
              </w:numPr>
              <w:ind w:right="-2"/>
              <w:rPr>
                <w:rFonts w:eastAsia="Arial" w:cs="Arial"/>
                <w:lang w:val="en-US"/>
              </w:rPr>
            </w:pPr>
            <w:r w:rsidRPr="00232E5E">
              <w:rPr>
                <w:rFonts w:eastAsia="Arial" w:cs="Arial"/>
                <w:lang w:val="en-US"/>
              </w:rPr>
              <w:t>Biodiversity: all companies that generate more than 5% of their revenues from the production of palm oil as well as any company involved in serious controversies linked to biodiversity</w:t>
            </w:r>
            <w:r w:rsidR="000077CA" w:rsidRPr="00232E5E">
              <w:rPr>
                <w:rFonts w:eastAsia="Arial" w:cs="Arial"/>
                <w:lang w:val="en-US"/>
              </w:rPr>
              <w:t>.</w:t>
            </w:r>
          </w:p>
          <w:p w14:paraId="32911DF3" w14:textId="77777777" w:rsidR="005C1EF9" w:rsidRPr="00232E5E" w:rsidRDefault="005C1EF9" w:rsidP="00721AB4">
            <w:pPr>
              <w:ind w:right="-2"/>
              <w:rPr>
                <w:rFonts w:eastAsia="Arial" w:cs="Arial"/>
                <w:lang w:val="en-US"/>
              </w:rPr>
            </w:pPr>
          </w:p>
          <w:p w14:paraId="01B1EDEC" w14:textId="2DDCE446" w:rsidR="005C1EF9" w:rsidRPr="00232E5E" w:rsidRDefault="005C1EF9" w:rsidP="00721AB4">
            <w:pPr>
              <w:ind w:right="-2"/>
              <w:rPr>
                <w:rFonts w:eastAsia="Arial" w:cs="Arial"/>
                <w:lang w:val="en-US"/>
              </w:rPr>
            </w:pPr>
            <w:r w:rsidRPr="00232E5E">
              <w:rPr>
                <w:rFonts w:eastAsia="Arial" w:cs="Arial"/>
                <w:lang w:val="en-US"/>
              </w:rPr>
              <w:t>Second stage: ESG rating</w:t>
            </w:r>
          </w:p>
          <w:p w14:paraId="6927530B" w14:textId="77777777" w:rsidR="005C1EF9" w:rsidRPr="00232E5E" w:rsidRDefault="005C1EF9" w:rsidP="00721AB4">
            <w:pPr>
              <w:ind w:right="-2"/>
              <w:rPr>
                <w:rFonts w:eastAsia="Arial" w:cs="Arial"/>
                <w:lang w:val="en-US"/>
              </w:rPr>
            </w:pPr>
          </w:p>
          <w:p w14:paraId="761A79A6" w14:textId="6D66A4EC" w:rsidR="005C1EF9" w:rsidRPr="00232E5E" w:rsidRDefault="005C1EF9" w:rsidP="00721AB4">
            <w:pPr>
              <w:ind w:right="-2"/>
              <w:rPr>
                <w:rFonts w:eastAsia="Arial" w:cs="Arial"/>
                <w:lang w:val="en-US"/>
              </w:rPr>
            </w:pPr>
            <w:r w:rsidRPr="00232E5E">
              <w:rPr>
                <w:rFonts w:eastAsia="Arial" w:cs="Arial"/>
                <w:lang w:val="en-US"/>
              </w:rPr>
              <w:t>This involves taking into account the ESG rating of the securities comprising the investment universe.</w:t>
            </w:r>
            <w:r w:rsidR="00D47180">
              <w:rPr>
                <w:rFonts w:eastAsia="Arial" w:cs="Arial"/>
                <w:lang w:val="en-US"/>
              </w:rPr>
              <w:t xml:space="preserve"> </w:t>
            </w:r>
            <w:r w:rsidRPr="00232E5E">
              <w:rPr>
                <w:rFonts w:eastAsia="Arial" w:cs="Arial"/>
                <w:lang w:val="en-US"/>
              </w:rPr>
              <w:t>To this end, the management team relies on ESG ratings provided by the external data provider</w:t>
            </w:r>
            <w:r w:rsidR="00D47180">
              <w:rPr>
                <w:rFonts w:eastAsia="Arial" w:cs="Arial"/>
                <w:lang w:val="en-US"/>
              </w:rPr>
              <w:t>,</w:t>
            </w:r>
            <w:r w:rsidRPr="00232E5E">
              <w:rPr>
                <w:rFonts w:eastAsia="Arial" w:cs="Arial"/>
                <w:lang w:val="en-US"/>
              </w:rPr>
              <w:t xml:space="preserve"> MSCI.</w:t>
            </w:r>
          </w:p>
          <w:p w14:paraId="6B28290E" w14:textId="77777777" w:rsidR="005A12B8" w:rsidRPr="00232E5E" w:rsidRDefault="005A12B8" w:rsidP="00721AB4">
            <w:pPr>
              <w:ind w:right="-2"/>
              <w:rPr>
                <w:rFonts w:eastAsia="Arial" w:cs="Arial"/>
                <w:lang w:val="en-US"/>
              </w:rPr>
            </w:pPr>
          </w:p>
          <w:p w14:paraId="082FFC01" w14:textId="6543EC0D" w:rsidR="00EE2C08" w:rsidRPr="00232E5E" w:rsidRDefault="00D62129" w:rsidP="00721AB4">
            <w:pPr>
              <w:ind w:right="-2"/>
              <w:rPr>
                <w:rFonts w:eastAsia="Arial" w:cs="Arial"/>
                <w:lang w:val="en-US"/>
              </w:rPr>
            </w:pPr>
            <w:r>
              <w:rPr>
                <w:rFonts w:eastAsia="Arial" w:cs="Arial"/>
                <w:lang w:val="en-US"/>
              </w:rPr>
              <w:t>The Investment Manager</w:t>
            </w:r>
            <w:r w:rsidR="00EE2C08" w:rsidRPr="00232E5E">
              <w:rPr>
                <w:rFonts w:eastAsia="Arial" w:cs="Arial"/>
                <w:lang w:val="en-US"/>
              </w:rPr>
              <w:t xml:space="preserve"> takes into account the weighting of the securities held in the </w:t>
            </w:r>
            <w:r w:rsidR="00121E6C" w:rsidRPr="00232E5E">
              <w:rPr>
                <w:rFonts w:eastAsia="Arial" w:cs="Arial"/>
                <w:lang w:val="en-US"/>
              </w:rPr>
              <w:t>Sub-Fund</w:t>
            </w:r>
            <w:r w:rsidR="00121E6C" w:rsidRPr="00232E5E" w:rsidDel="00121E6C">
              <w:rPr>
                <w:rFonts w:eastAsia="Arial" w:cs="Arial"/>
                <w:lang w:val="en-US"/>
              </w:rPr>
              <w:t xml:space="preserve"> </w:t>
            </w:r>
            <w:r w:rsidR="00EE2C08" w:rsidRPr="00232E5E">
              <w:rPr>
                <w:rFonts w:eastAsia="Arial" w:cs="Arial"/>
                <w:lang w:val="en-US"/>
              </w:rPr>
              <w:t xml:space="preserve">when calculating the average ESG score of the Sub-Fund. In the event of a deterioration in the ESG ratings of the securities in the Sub-Fund or a change in the ESG rating methodology affecting the average ESG rating of the Sub-Fund, the average ESG rating of the Sub-Fund will be restored to a level higher than that of the benchmark index, taking into account the interests of unitholders and market conditions. </w:t>
            </w:r>
          </w:p>
          <w:p w14:paraId="1BB65001" w14:textId="77777777" w:rsidR="00EE2C08" w:rsidRPr="00232E5E" w:rsidRDefault="00EE2C08" w:rsidP="00721AB4">
            <w:pPr>
              <w:ind w:right="-2"/>
              <w:rPr>
                <w:rFonts w:eastAsia="Arial" w:cs="Arial"/>
                <w:lang w:val="en-US"/>
              </w:rPr>
            </w:pPr>
          </w:p>
          <w:p w14:paraId="25A986CB" w14:textId="2237D316" w:rsidR="00EE2C08" w:rsidRDefault="00EE2C08" w:rsidP="00721AB4">
            <w:pPr>
              <w:ind w:right="-2"/>
              <w:rPr>
                <w:rFonts w:eastAsia="Arial" w:cs="Arial"/>
                <w:lang w:val="en-US"/>
              </w:rPr>
            </w:pPr>
            <w:bookmarkStart w:id="47" w:name="_Hlk200041379"/>
            <w:r w:rsidRPr="00232E5E">
              <w:rPr>
                <w:rFonts w:eastAsia="Arial" w:cs="Arial"/>
                <w:lang w:val="en-US"/>
              </w:rPr>
              <w:t xml:space="preserve">The </w:t>
            </w:r>
            <w:r w:rsidR="00702F40">
              <w:rPr>
                <w:rFonts w:eastAsia="Arial" w:cs="Arial"/>
                <w:lang w:val="en-US"/>
              </w:rPr>
              <w:t xml:space="preserve">Investment Manager </w:t>
            </w:r>
            <w:r w:rsidRPr="00232E5E">
              <w:rPr>
                <w:rFonts w:eastAsia="Arial" w:cs="Arial"/>
                <w:lang w:val="en-US"/>
              </w:rPr>
              <w:t xml:space="preserve">pledges that at least </w:t>
            </w:r>
            <w:r w:rsidR="002A54A1" w:rsidRPr="00232E5E">
              <w:rPr>
                <w:rFonts w:eastAsia="Arial" w:cs="Arial"/>
                <w:lang w:val="en-US"/>
              </w:rPr>
              <w:t>9</w:t>
            </w:r>
            <w:r w:rsidR="005A12B8" w:rsidRPr="00232E5E">
              <w:rPr>
                <w:rFonts w:eastAsia="Arial" w:cs="Arial"/>
                <w:lang w:val="en-US"/>
              </w:rPr>
              <w:t>0</w:t>
            </w:r>
            <w:r w:rsidRPr="00232E5E">
              <w:rPr>
                <w:rFonts w:eastAsia="Arial" w:cs="Arial"/>
                <w:lang w:val="en-US"/>
              </w:rPr>
              <w:t>% of the</w:t>
            </w:r>
            <w:r w:rsidR="002A54A1" w:rsidRPr="00232E5E">
              <w:rPr>
                <w:rFonts w:eastAsia="Arial" w:cs="Arial"/>
                <w:lang w:val="en-US"/>
              </w:rPr>
              <w:t xml:space="preserve"> Sub-Fund’s </w:t>
            </w:r>
            <w:r w:rsidR="00CA4C2F" w:rsidRPr="00232E5E">
              <w:rPr>
                <w:rFonts w:eastAsia="Arial" w:cs="Arial"/>
                <w:lang w:val="en-US"/>
              </w:rPr>
              <w:t>n</w:t>
            </w:r>
            <w:r w:rsidR="002A54A1" w:rsidRPr="00232E5E">
              <w:rPr>
                <w:rFonts w:eastAsia="Arial" w:cs="Arial"/>
                <w:lang w:val="en-US"/>
              </w:rPr>
              <w:t xml:space="preserve">et </w:t>
            </w:r>
            <w:r w:rsidR="00CA4C2F" w:rsidRPr="00232E5E">
              <w:rPr>
                <w:rFonts w:eastAsia="Arial" w:cs="Arial"/>
                <w:lang w:val="en-US"/>
              </w:rPr>
              <w:t>a</w:t>
            </w:r>
            <w:r w:rsidR="002A54A1" w:rsidRPr="00232E5E">
              <w:rPr>
                <w:rFonts w:eastAsia="Arial" w:cs="Arial"/>
                <w:lang w:val="en-US"/>
              </w:rPr>
              <w:t>sset</w:t>
            </w:r>
            <w:r w:rsidR="00D91611" w:rsidRPr="00232E5E">
              <w:rPr>
                <w:rFonts w:eastAsia="Arial" w:cs="Arial"/>
                <w:lang w:val="en-US"/>
              </w:rPr>
              <w:t xml:space="preserve"> value is</w:t>
            </w:r>
            <w:r w:rsidR="002A54A1" w:rsidRPr="00232E5E">
              <w:rPr>
                <w:rFonts w:eastAsia="Arial" w:cs="Arial"/>
                <w:lang w:val="en-US"/>
              </w:rPr>
              <w:t xml:space="preserve"> invested in</w:t>
            </w:r>
            <w:r w:rsidRPr="00232E5E">
              <w:rPr>
                <w:rFonts w:eastAsia="Arial" w:cs="Arial"/>
                <w:lang w:val="en-US"/>
              </w:rPr>
              <w:t xml:space="preserve"> </w:t>
            </w:r>
            <w:r w:rsidR="002A54A1" w:rsidRPr="00232E5E">
              <w:rPr>
                <w:rFonts w:eastAsia="Arial" w:cs="Arial"/>
                <w:lang w:val="en-US"/>
              </w:rPr>
              <w:t>securities</w:t>
            </w:r>
            <w:r w:rsidRPr="00232E5E">
              <w:rPr>
                <w:rFonts w:eastAsia="Arial" w:cs="Arial"/>
                <w:lang w:val="en-US"/>
              </w:rPr>
              <w:t xml:space="preserve"> </w:t>
            </w:r>
            <w:r w:rsidR="002A54A1" w:rsidRPr="00232E5E">
              <w:rPr>
                <w:rFonts w:eastAsia="Arial" w:cs="Arial"/>
                <w:lang w:val="en-US"/>
              </w:rPr>
              <w:t>with an</w:t>
            </w:r>
            <w:r w:rsidRPr="00232E5E">
              <w:rPr>
                <w:rFonts w:eastAsia="Arial" w:cs="Arial"/>
                <w:lang w:val="en-US"/>
              </w:rPr>
              <w:t xml:space="preserve"> ESG rating </w:t>
            </w:r>
            <w:r w:rsidR="002A54A1" w:rsidRPr="00232E5E">
              <w:rPr>
                <w:rFonts w:eastAsia="Arial" w:cs="Arial"/>
                <w:lang w:val="en-US"/>
              </w:rPr>
              <w:t>(accounting</w:t>
            </w:r>
            <w:r w:rsidRPr="00232E5E">
              <w:rPr>
                <w:rFonts w:eastAsia="Arial" w:cs="Arial"/>
                <w:lang w:val="en-US"/>
              </w:rPr>
              <w:t xml:space="preserve"> </w:t>
            </w:r>
            <w:r w:rsidR="002A54A1" w:rsidRPr="00232E5E">
              <w:rPr>
                <w:rFonts w:eastAsia="Arial" w:cs="Arial"/>
                <w:lang w:val="en-US"/>
              </w:rPr>
              <w:t xml:space="preserve">for the </w:t>
            </w:r>
            <w:r w:rsidRPr="00232E5E">
              <w:rPr>
                <w:rFonts w:eastAsia="Arial" w:cs="Arial"/>
                <w:lang w:val="en-US"/>
              </w:rPr>
              <w:t>weigh</w:t>
            </w:r>
            <w:r w:rsidR="002A54A1" w:rsidRPr="00232E5E">
              <w:rPr>
                <w:rFonts w:eastAsia="Arial" w:cs="Arial"/>
                <w:lang w:val="en-US"/>
              </w:rPr>
              <w:t>t</w:t>
            </w:r>
            <w:r w:rsidRPr="00232E5E">
              <w:rPr>
                <w:rFonts w:eastAsia="Arial" w:cs="Arial"/>
                <w:lang w:val="en-US"/>
              </w:rPr>
              <w:t xml:space="preserve"> of each </w:t>
            </w:r>
            <w:r w:rsidR="002A54A1" w:rsidRPr="00232E5E">
              <w:rPr>
                <w:rFonts w:eastAsia="Arial" w:cs="Arial"/>
                <w:lang w:val="en-US"/>
              </w:rPr>
              <w:t>security</w:t>
            </w:r>
            <w:r w:rsidRPr="00232E5E">
              <w:rPr>
                <w:rFonts w:eastAsia="Arial" w:cs="Arial"/>
                <w:lang w:val="en-US"/>
              </w:rPr>
              <w:t>).</w:t>
            </w:r>
          </w:p>
          <w:p w14:paraId="1AF3B05E" w14:textId="77777777" w:rsidR="00A20CCA" w:rsidRDefault="00A20CCA" w:rsidP="00721AB4">
            <w:pPr>
              <w:ind w:right="-2"/>
              <w:rPr>
                <w:rFonts w:eastAsia="Arial" w:cs="Arial"/>
                <w:lang w:val="en-US"/>
              </w:rPr>
            </w:pPr>
          </w:p>
          <w:p w14:paraId="697C74DC" w14:textId="71ADD79D" w:rsidR="00A20CCA" w:rsidRPr="007169FF" w:rsidRDefault="00A20CCA" w:rsidP="00A20CCA">
            <w:pPr>
              <w:rPr>
                <w:rFonts w:eastAsia="Arial" w:cs="Arial"/>
                <w:lang w:val="en-US"/>
              </w:rPr>
            </w:pPr>
            <w:r w:rsidRPr="008A4AF3">
              <w:rPr>
                <w:rFonts w:eastAsia="Arial" w:cs="Arial"/>
                <w:lang w:val="en-US"/>
              </w:rPr>
              <w:t xml:space="preserve">The </w:t>
            </w:r>
            <w:r>
              <w:rPr>
                <w:rFonts w:eastAsia="Arial" w:cs="Arial"/>
                <w:lang w:val="en-US"/>
              </w:rPr>
              <w:t>Sub-F</w:t>
            </w:r>
            <w:r w:rsidRPr="008A4AF3">
              <w:rPr>
                <w:rFonts w:eastAsia="Arial" w:cs="Arial"/>
                <w:lang w:val="en-US"/>
              </w:rPr>
              <w:t xml:space="preserve">und has not designated a reference benchmark to determine whether the </w:t>
            </w:r>
            <w:r>
              <w:rPr>
                <w:rFonts w:eastAsia="Arial" w:cs="Arial"/>
                <w:lang w:val="en-US"/>
              </w:rPr>
              <w:t>Sub-F</w:t>
            </w:r>
            <w:r w:rsidRPr="008A4AF3">
              <w:rPr>
                <w:rFonts w:eastAsia="Arial" w:cs="Arial"/>
                <w:lang w:val="en-US"/>
              </w:rPr>
              <w:t>und is aligned with the environmental and/or social characteristics it promotes.</w:t>
            </w:r>
          </w:p>
          <w:bookmarkEnd w:id="47"/>
          <w:p w14:paraId="14734DFE" w14:textId="77777777" w:rsidR="005466ED" w:rsidRPr="00232E5E" w:rsidRDefault="005466ED" w:rsidP="00714F01">
            <w:pPr>
              <w:spacing w:line="276" w:lineRule="auto"/>
              <w:rPr>
                <w:rFonts w:eastAsia="Arial" w:cs="Arial"/>
                <w:lang w:val="en-US"/>
              </w:rPr>
            </w:pPr>
          </w:p>
        </w:tc>
      </w:tr>
      <w:tr w:rsidR="005466ED" w:rsidRPr="00776340" w14:paraId="0A65C215" w14:textId="77777777" w:rsidTr="00721AB4">
        <w:trPr>
          <w:trHeight w:val="883"/>
        </w:trPr>
        <w:tc>
          <w:tcPr>
            <w:tcW w:w="2064" w:type="dxa"/>
            <w:gridSpan w:val="5"/>
            <w:shd w:val="clear" w:color="000000" w:fill="auto"/>
          </w:tcPr>
          <w:p w14:paraId="2911EAB9" w14:textId="77777777" w:rsidR="005466ED" w:rsidRPr="003A1C01" w:rsidRDefault="005466ED" w:rsidP="00721AB4">
            <w:pPr>
              <w:ind w:right="-2"/>
              <w:rPr>
                <w:rFonts w:ascii="Calibri" w:hAnsi="Calibri"/>
                <w:noProof/>
                <w:szCs w:val="24"/>
                <w:lang w:eastAsia="en-IE"/>
              </w:rPr>
            </w:pPr>
          </w:p>
        </w:tc>
        <w:tc>
          <w:tcPr>
            <w:tcW w:w="9135" w:type="dxa"/>
            <w:gridSpan w:val="3"/>
            <w:vMerge/>
            <w:shd w:val="clear" w:color="000000" w:fill="auto"/>
          </w:tcPr>
          <w:p w14:paraId="2F6680BE" w14:textId="77777777" w:rsidR="005466ED" w:rsidRPr="00776340" w:rsidRDefault="005466ED" w:rsidP="00721AB4">
            <w:pPr>
              <w:ind w:right="-2"/>
              <w:rPr>
                <w:rFonts w:ascii="Calibri" w:eastAsia="Calibri" w:hAnsi="Calibri"/>
                <w:b/>
                <w:noProof/>
                <w:sz w:val="24"/>
              </w:rPr>
            </w:pPr>
          </w:p>
        </w:tc>
      </w:tr>
      <w:tr w:rsidR="005466ED" w:rsidRPr="00C45E20" w14:paraId="487C5673" w14:textId="77777777" w:rsidTr="00721AB4">
        <w:trPr>
          <w:trHeight w:val="540"/>
        </w:trPr>
        <w:tc>
          <w:tcPr>
            <w:tcW w:w="1884" w:type="dxa"/>
            <w:gridSpan w:val="3"/>
            <w:shd w:val="clear" w:color="auto" w:fill="F2F2F2" w:themeFill="background1" w:themeFillShade="F2"/>
          </w:tcPr>
          <w:p w14:paraId="7CD356EC" w14:textId="77777777" w:rsidR="005466ED" w:rsidRPr="00142770" w:rsidRDefault="005466ED" w:rsidP="00721AB4">
            <w:pPr>
              <w:ind w:right="-2"/>
              <w:jc w:val="left"/>
              <w:rPr>
                <w:rFonts w:ascii="Calibri" w:eastAsia="Calibri" w:hAnsi="Calibri"/>
                <w:b/>
                <w:bCs/>
                <w:noProof/>
                <w:sz w:val="18"/>
                <w:szCs w:val="18"/>
              </w:rPr>
            </w:pPr>
            <w:r w:rsidRPr="00142770">
              <w:rPr>
                <w:rFonts w:ascii="Calibri" w:hAnsi="Calibri"/>
                <w:b/>
                <w:noProof/>
                <w:sz w:val="18"/>
                <w:szCs w:val="18"/>
                <w:shd w:val="clear" w:color="auto" w:fill="F2F2F2" w:themeFill="background1" w:themeFillShade="F2"/>
                <w:lang w:eastAsia="en-IE"/>
              </w:rPr>
              <w:t>Sustainability indicators</w:t>
            </w:r>
            <w:r w:rsidRPr="00142770">
              <w:rPr>
                <w:rFonts w:ascii="Calibri" w:hAnsi="Calibri"/>
                <w:noProof/>
                <w:sz w:val="18"/>
                <w:szCs w:val="18"/>
                <w:shd w:val="clear" w:color="auto" w:fill="F2F2F2" w:themeFill="background1" w:themeFillShade="F2"/>
                <w:lang w:eastAsia="en-IE"/>
              </w:rPr>
              <w:t xml:space="preserve"> </w:t>
            </w:r>
            <w:r w:rsidRPr="00142770">
              <w:rPr>
                <w:rFonts w:ascii="Calibri" w:hAnsi="Calibri"/>
                <w:noProof/>
                <w:sz w:val="18"/>
                <w:szCs w:val="18"/>
                <w:lang w:eastAsia="en-IE"/>
              </w:rPr>
              <w:t>measure how the environmental or social characteristics promoted by the financial product are attained.</w:t>
            </w:r>
          </w:p>
        </w:tc>
        <w:tc>
          <w:tcPr>
            <w:tcW w:w="9315" w:type="dxa"/>
            <w:gridSpan w:val="5"/>
          </w:tcPr>
          <w:p w14:paraId="52BA9DE2" w14:textId="77777777" w:rsidR="005466ED" w:rsidRPr="00A71F62" w:rsidRDefault="005466ED" w:rsidP="00721AB4">
            <w:pPr>
              <w:pStyle w:val="Paragraphedeliste"/>
              <w:numPr>
                <w:ilvl w:val="0"/>
                <w:numId w:val="13"/>
              </w:numPr>
              <w:ind w:left="1434" w:hanging="357"/>
              <w:contextualSpacing w:val="0"/>
              <w:rPr>
                <w:rFonts w:ascii="Calibri" w:eastAsia="Calibri" w:hAnsi="Calibri"/>
                <w:b/>
                <w:bCs/>
                <w:noProof/>
                <w:sz w:val="28"/>
              </w:rPr>
            </w:pPr>
            <w:r w:rsidRPr="00A71F62">
              <w:rPr>
                <w:rFonts w:ascii="Calibri" w:eastAsia="Calibri" w:hAnsi="Calibri"/>
                <w:b/>
                <w:bCs/>
                <w:i/>
                <w:iCs/>
                <w:noProof/>
                <w:sz w:val="22"/>
                <w:szCs w:val="22"/>
              </w:rPr>
              <w:t>What sustainability indicators are used to measure the attainment of each of the environmental or social characteristics promoted by this financial product?</w:t>
            </w:r>
          </w:p>
          <w:p w14:paraId="5C47D492" w14:textId="77777777" w:rsidR="005466ED" w:rsidRDefault="005466ED" w:rsidP="00721AB4">
            <w:pPr>
              <w:ind w:left="641"/>
              <w:rPr>
                <w:rFonts w:ascii="Calibri" w:eastAsia="Calibri" w:hAnsi="Calibri"/>
                <w:bCs/>
                <w:iCs/>
                <w:noProof/>
                <w:sz w:val="22"/>
                <w:szCs w:val="22"/>
              </w:rPr>
            </w:pPr>
          </w:p>
          <w:p w14:paraId="6FA0896C" w14:textId="58B17DC1" w:rsidR="00777A7C" w:rsidRPr="001C1DF2" w:rsidRDefault="00777A7C" w:rsidP="00714F01">
            <w:pPr>
              <w:ind w:left="641"/>
              <w:rPr>
                <w:rFonts w:eastAsia="Arial" w:cs="Arial"/>
                <w:lang w:val="en-US"/>
              </w:rPr>
            </w:pPr>
            <w:r w:rsidRPr="001C1DF2">
              <w:rPr>
                <w:rFonts w:eastAsia="Arial" w:cs="Arial"/>
                <w:lang w:val="en-US"/>
              </w:rPr>
              <w:t xml:space="preserve">The following sustainability indicators are used to measure the </w:t>
            </w:r>
            <w:r w:rsidR="00CE6D4F">
              <w:rPr>
                <w:rFonts w:eastAsia="Arial" w:cs="Arial"/>
                <w:lang w:val="en-US"/>
              </w:rPr>
              <w:t>attainment</w:t>
            </w:r>
            <w:r w:rsidRPr="001C1DF2">
              <w:rPr>
                <w:rFonts w:eastAsia="Arial" w:cs="Arial"/>
                <w:lang w:val="en-US"/>
              </w:rPr>
              <w:t xml:space="preserve"> of the </w:t>
            </w:r>
            <w:r w:rsidR="00121E6C" w:rsidRPr="001C1DF2">
              <w:rPr>
                <w:rFonts w:eastAsia="Arial" w:cs="Arial"/>
                <w:lang w:val="en-US"/>
              </w:rPr>
              <w:t>Sub-Fund</w:t>
            </w:r>
            <w:r w:rsidRPr="001C1DF2">
              <w:rPr>
                <w:rFonts w:eastAsia="Arial" w:cs="Arial"/>
                <w:lang w:val="en-US"/>
              </w:rPr>
              <w:t>'s ESG characteristics:</w:t>
            </w:r>
          </w:p>
          <w:p w14:paraId="592D2EBF" w14:textId="4B9660F3" w:rsidR="003D4F44" w:rsidRPr="001C1DF2" w:rsidRDefault="003D4F44" w:rsidP="00714F01">
            <w:pPr>
              <w:ind w:left="641"/>
              <w:rPr>
                <w:rFonts w:eastAsia="Arial" w:cs="Arial"/>
                <w:lang w:val="en-US"/>
              </w:rPr>
            </w:pPr>
            <w:r w:rsidRPr="001C1DF2">
              <w:rPr>
                <w:rFonts w:eastAsia="Arial" w:cs="Arial"/>
                <w:lang w:val="en-US"/>
              </w:rPr>
              <w:t>-</w:t>
            </w:r>
            <w:r w:rsidR="00777A7C" w:rsidRPr="001C1DF2">
              <w:rPr>
                <w:rFonts w:eastAsia="Arial" w:cs="Arial"/>
                <w:lang w:val="en-US"/>
              </w:rPr>
              <w:t xml:space="preserve"> The ESG coverage of the </w:t>
            </w:r>
            <w:r w:rsidR="00121E6C" w:rsidRPr="001C1DF2">
              <w:rPr>
                <w:rFonts w:eastAsia="Arial" w:cs="Arial"/>
                <w:lang w:val="en-US"/>
              </w:rPr>
              <w:t>Sub-Fund</w:t>
            </w:r>
            <w:r w:rsidR="00777A7C" w:rsidRPr="001C1DF2">
              <w:rPr>
                <w:rFonts w:eastAsia="Arial" w:cs="Arial"/>
                <w:lang w:val="en-US"/>
              </w:rPr>
              <w:t xml:space="preserve">, notably given the pledge </w:t>
            </w:r>
            <w:r w:rsidR="00CA4C2F" w:rsidRPr="001C1DF2">
              <w:rPr>
                <w:rFonts w:eastAsia="Arial" w:cs="Arial"/>
                <w:lang w:val="en-US"/>
              </w:rPr>
              <w:t>that at least 90% of the Sub-Fund’s net asset</w:t>
            </w:r>
            <w:r w:rsidR="00D62129" w:rsidRPr="001C1DF2">
              <w:rPr>
                <w:rFonts w:eastAsia="Arial" w:cs="Arial"/>
                <w:lang w:val="en-US"/>
              </w:rPr>
              <w:t>s</w:t>
            </w:r>
            <w:r w:rsidR="00CA4C2F" w:rsidRPr="001C1DF2">
              <w:rPr>
                <w:rFonts w:eastAsia="Arial" w:cs="Arial"/>
                <w:lang w:val="en-US"/>
              </w:rPr>
              <w:t xml:space="preserve"> </w:t>
            </w:r>
            <w:r w:rsidR="00D62129" w:rsidRPr="001C1DF2">
              <w:rPr>
                <w:rFonts w:eastAsia="Arial" w:cs="Arial"/>
                <w:lang w:val="en-US"/>
              </w:rPr>
              <w:t xml:space="preserve">will be </w:t>
            </w:r>
            <w:r w:rsidR="00CA4C2F" w:rsidRPr="001C1DF2">
              <w:rPr>
                <w:rFonts w:eastAsia="Arial" w:cs="Arial"/>
                <w:lang w:val="en-US"/>
              </w:rPr>
              <w:t>invested in securities with an ESG rating (accounting for the weight of each security).</w:t>
            </w:r>
          </w:p>
          <w:p w14:paraId="051284ED" w14:textId="44695ABC" w:rsidR="00714F01" w:rsidRPr="001C1DF2" w:rsidRDefault="00714F01" w:rsidP="00714F01">
            <w:pPr>
              <w:ind w:left="641"/>
              <w:rPr>
                <w:rFonts w:eastAsia="Arial" w:cs="Arial"/>
                <w:lang w:val="en-US"/>
              </w:rPr>
            </w:pPr>
            <w:r w:rsidRPr="001C1DF2">
              <w:rPr>
                <w:rFonts w:eastAsia="Arial" w:cs="Arial"/>
                <w:lang w:val="en-US"/>
              </w:rPr>
              <w:t xml:space="preserve">- The internal weighted ESG score of the </w:t>
            </w:r>
            <w:r w:rsidR="00121E6C" w:rsidRPr="001C1DF2">
              <w:rPr>
                <w:rFonts w:eastAsia="Arial" w:cs="Arial"/>
                <w:lang w:val="en-US"/>
              </w:rPr>
              <w:t>Sub-Fund</w:t>
            </w:r>
            <w:r w:rsidR="00121E6C" w:rsidRPr="001C1DF2" w:rsidDel="00121E6C">
              <w:rPr>
                <w:rFonts w:eastAsia="Arial" w:cs="Arial"/>
                <w:lang w:val="en-US"/>
              </w:rPr>
              <w:t xml:space="preserve"> </w:t>
            </w:r>
            <w:r w:rsidRPr="001C1DF2">
              <w:rPr>
                <w:rFonts w:eastAsia="Arial" w:cs="Arial"/>
                <w:lang w:val="en-US"/>
              </w:rPr>
              <w:t>to assess the overall achievement of environmental, social and governance characteristics.</w:t>
            </w:r>
          </w:p>
          <w:p w14:paraId="6BF57C4F" w14:textId="287F62CC" w:rsidR="00714F01" w:rsidRPr="001C1DF2" w:rsidRDefault="00714F01" w:rsidP="00714F01">
            <w:pPr>
              <w:ind w:left="641"/>
              <w:rPr>
                <w:rFonts w:eastAsia="Arial" w:cs="Arial"/>
                <w:lang w:val="en-US"/>
              </w:rPr>
            </w:pPr>
            <w:r w:rsidRPr="001C1DF2">
              <w:rPr>
                <w:rFonts w:eastAsia="Arial" w:cs="Arial"/>
                <w:lang w:val="en-US"/>
              </w:rPr>
              <w:t>- The CO2 intensity of the Sub-Fund</w:t>
            </w:r>
            <w:r w:rsidR="00C94E1F">
              <w:rPr>
                <w:rFonts w:eastAsia="Arial" w:cs="Arial"/>
                <w:lang w:val="en-US"/>
              </w:rPr>
              <w:t xml:space="preserve">. This is calculated as the </w:t>
            </w:r>
            <w:r w:rsidRPr="001C1DF2">
              <w:rPr>
                <w:rFonts w:eastAsia="Arial" w:cs="Arial"/>
                <w:lang w:val="en-US"/>
              </w:rPr>
              <w:t xml:space="preserve">sum of </w:t>
            </w:r>
            <w:r w:rsidR="00C94E1F">
              <w:rPr>
                <w:rFonts w:eastAsia="Arial" w:cs="Arial"/>
                <w:lang w:val="en-US"/>
              </w:rPr>
              <w:t>scope 1 and scope 2</w:t>
            </w:r>
            <w:r w:rsidRPr="001C1DF2">
              <w:rPr>
                <w:rFonts w:eastAsia="Arial" w:cs="Arial"/>
                <w:lang w:val="en-US"/>
              </w:rPr>
              <w:t xml:space="preserve"> emissions</w:t>
            </w:r>
            <w:r w:rsidR="00C94E1F">
              <w:rPr>
                <w:rFonts w:eastAsia="Arial" w:cs="Arial"/>
                <w:lang w:val="en-US"/>
              </w:rPr>
              <w:t xml:space="preserve">, </w:t>
            </w:r>
            <w:r w:rsidRPr="001C1DF2">
              <w:rPr>
                <w:rFonts w:eastAsia="Arial" w:cs="Arial"/>
                <w:lang w:val="en-US"/>
              </w:rPr>
              <w:t>divided by the sum of the revenues of the companies in which the Sub-Fund invests.</w:t>
            </w:r>
            <w:r w:rsidR="00C94E1F">
              <w:rPr>
                <w:rFonts w:eastAsia="Arial" w:cs="Arial"/>
                <w:lang w:val="en-US"/>
              </w:rPr>
              <w:t xml:space="preserve"> Scope 1 emissions are the direct emissions from sources that the company owns or controls and scope 2 emissions are the indirect emissions that result from the energy purchased and used by the company. </w:t>
            </w:r>
          </w:p>
          <w:p w14:paraId="4AB2CD57" w14:textId="35D7F5C1" w:rsidR="005466ED" w:rsidRPr="00DC07E1" w:rsidRDefault="005466ED" w:rsidP="00721AB4">
            <w:pPr>
              <w:ind w:left="1434"/>
              <w:rPr>
                <w:rFonts w:eastAsia="Arial" w:cs="Arial"/>
              </w:rPr>
            </w:pPr>
          </w:p>
        </w:tc>
      </w:tr>
      <w:tr w:rsidR="005466ED" w:rsidRPr="0029429F" w14:paraId="73E85A1A" w14:textId="77777777" w:rsidTr="00721AB4">
        <w:trPr>
          <w:trHeight w:val="1077"/>
        </w:trPr>
        <w:tc>
          <w:tcPr>
            <w:tcW w:w="1711" w:type="dxa"/>
          </w:tcPr>
          <w:p w14:paraId="650D5D6E" w14:textId="77777777" w:rsidR="005466ED" w:rsidRPr="00142770" w:rsidRDefault="005466ED" w:rsidP="00721AB4">
            <w:pPr>
              <w:ind w:right="-2"/>
              <w:rPr>
                <w:rFonts w:ascii="Calibri" w:hAnsi="Calibri"/>
                <w:b/>
                <w:noProof/>
                <w:sz w:val="18"/>
                <w:szCs w:val="18"/>
                <w:shd w:val="clear" w:color="auto" w:fill="F2F2F2" w:themeFill="background1" w:themeFillShade="F2"/>
                <w:lang w:eastAsia="en-IE"/>
              </w:rPr>
            </w:pPr>
          </w:p>
        </w:tc>
        <w:tc>
          <w:tcPr>
            <w:tcW w:w="9488" w:type="dxa"/>
            <w:gridSpan w:val="7"/>
          </w:tcPr>
          <w:p w14:paraId="4CC63521" w14:textId="77777777" w:rsidR="005466ED" w:rsidRPr="00C47D1A" w:rsidRDefault="005466ED" w:rsidP="00721AB4">
            <w:pPr>
              <w:pStyle w:val="Paragraphedeliste"/>
              <w:numPr>
                <w:ilvl w:val="0"/>
                <w:numId w:val="13"/>
              </w:numPr>
              <w:ind w:left="1590"/>
              <w:contextualSpacing w:val="0"/>
              <w:rPr>
                <w:rFonts w:ascii="Calibri" w:eastAsia="Calibri" w:hAnsi="Calibri"/>
                <w:b/>
                <w:bCs/>
                <w:i/>
                <w:iCs/>
                <w:noProof/>
                <w:szCs w:val="22"/>
              </w:rPr>
            </w:pPr>
            <w:r w:rsidRPr="00D44CAE">
              <w:rPr>
                <w:rFonts w:ascii="Calibri" w:eastAsia="Calibri" w:hAnsi="Calibri"/>
                <w:b/>
                <w:bCs/>
                <w:i/>
                <w:iCs/>
                <w:noProof/>
                <w:sz w:val="22"/>
                <w:szCs w:val="22"/>
              </w:rPr>
              <w:t xml:space="preserve">What are the objectives of the sustainable investments that the financial product partially intends to make and how does the sustainable investment contribute to such objectives? </w:t>
            </w:r>
          </w:p>
          <w:p w14:paraId="6AF1099A" w14:textId="77777777" w:rsidR="005466ED" w:rsidRDefault="005466ED" w:rsidP="00721AB4">
            <w:pPr>
              <w:pStyle w:val="Paragraphedeliste"/>
              <w:ind w:left="1590"/>
              <w:contextualSpacing w:val="0"/>
              <w:rPr>
                <w:rFonts w:ascii="Calibri" w:eastAsia="Calibri" w:hAnsi="Calibri"/>
                <w:b/>
                <w:bCs/>
                <w:i/>
                <w:iCs/>
                <w:noProof/>
                <w:sz w:val="22"/>
                <w:szCs w:val="22"/>
              </w:rPr>
            </w:pPr>
          </w:p>
          <w:p w14:paraId="3C0A5840" w14:textId="77777777" w:rsidR="005466ED" w:rsidRPr="0029429F" w:rsidRDefault="005466ED" w:rsidP="00721AB4">
            <w:pPr>
              <w:pStyle w:val="Paragraphedeliste"/>
              <w:ind w:left="1590"/>
              <w:contextualSpacing w:val="0"/>
              <w:rPr>
                <w:rFonts w:ascii="Calibri" w:eastAsia="Calibri" w:hAnsi="Calibri"/>
                <w:b/>
                <w:bCs/>
                <w:i/>
                <w:iCs/>
                <w:noProof/>
                <w:szCs w:val="22"/>
              </w:rPr>
            </w:pPr>
            <w:r w:rsidRPr="00A14B0F">
              <w:rPr>
                <w:rFonts w:eastAsia="Arial" w:cs="Arial"/>
                <w:lang w:val="en-US"/>
              </w:rPr>
              <w:t>N/A – the Sub-Fund does not make any sustainable investments</w:t>
            </w:r>
            <w:r>
              <w:rPr>
                <w:rFonts w:eastAsia="Arial" w:cs="Arial"/>
                <w:lang w:val="en-US"/>
              </w:rPr>
              <w:t>.</w:t>
            </w:r>
          </w:p>
        </w:tc>
      </w:tr>
      <w:tr w:rsidR="005466ED" w:rsidRPr="0029429F" w14:paraId="76AF6114" w14:textId="77777777" w:rsidTr="00721AB4">
        <w:trPr>
          <w:trHeight w:val="3098"/>
        </w:trPr>
        <w:tc>
          <w:tcPr>
            <w:tcW w:w="1794" w:type="dxa"/>
            <w:gridSpan w:val="2"/>
            <w:shd w:val="clear" w:color="auto" w:fill="F2F2F2" w:themeFill="background1" w:themeFillShade="F2"/>
          </w:tcPr>
          <w:p w14:paraId="33D582E5" w14:textId="77777777" w:rsidR="005466ED" w:rsidRDefault="005466ED" w:rsidP="00721AB4">
            <w:pPr>
              <w:ind w:right="-2"/>
              <w:jc w:val="left"/>
              <w:rPr>
                <w:rFonts w:ascii="Calibri" w:eastAsia="Calibri" w:hAnsi="Calibri"/>
                <w:b/>
                <w:bCs/>
                <w:noProof/>
                <w:sz w:val="24"/>
              </w:rPr>
            </w:pPr>
            <w:r>
              <w:rPr>
                <w:rFonts w:asciiTheme="minorHAnsi" w:hAnsiTheme="minorHAnsi" w:cstheme="minorHAnsi"/>
                <w:b/>
                <w:color w:val="000000"/>
                <w:sz w:val="18"/>
              </w:rPr>
              <w:t>P</w:t>
            </w:r>
            <w:r w:rsidRPr="00DB4028">
              <w:rPr>
                <w:rFonts w:asciiTheme="minorHAnsi" w:hAnsiTheme="minorHAnsi" w:cstheme="minorHAnsi"/>
                <w:b/>
                <w:color w:val="000000"/>
                <w:sz w:val="18"/>
              </w:rPr>
              <w:t xml:space="preserve">rincipal adverse impacts </w:t>
            </w:r>
            <w:r w:rsidRPr="00DB4028">
              <w:rPr>
                <w:rFonts w:asciiTheme="minorHAnsi" w:hAnsiTheme="minorHAnsi" w:cstheme="minorHAnsi"/>
                <w:color w:val="000000"/>
                <w:sz w:val="18"/>
              </w:rPr>
              <w:t>are the most significant negative impacts of investment decisions on sustainability factors relating to environmental, social and employee matters, respect for human rights, anti‐corruption and anti‐bribery matters.</w:t>
            </w:r>
          </w:p>
        </w:tc>
        <w:tc>
          <w:tcPr>
            <w:tcW w:w="9405" w:type="dxa"/>
            <w:gridSpan w:val="6"/>
            <w:vMerge w:val="restart"/>
          </w:tcPr>
          <w:p w14:paraId="210B50F4" w14:textId="3C02D74E" w:rsidR="005466ED" w:rsidRPr="00F41E3D" w:rsidRDefault="005466ED" w:rsidP="00721AB4">
            <w:pPr>
              <w:pStyle w:val="Paragraphedeliste"/>
              <w:numPr>
                <w:ilvl w:val="0"/>
                <w:numId w:val="13"/>
              </w:numPr>
              <w:ind w:left="1515"/>
              <w:contextualSpacing w:val="0"/>
              <w:rPr>
                <w:rFonts w:ascii="Calibri" w:eastAsia="Calibri" w:hAnsi="Calibri"/>
                <w:b/>
                <w:bCs/>
                <w:i/>
                <w:iCs/>
                <w:noProof/>
                <w:sz w:val="22"/>
                <w:szCs w:val="22"/>
              </w:rPr>
            </w:pPr>
            <w:r>
              <w:rPr>
                <w:rFonts w:ascii="Calibri" w:eastAsia="Calibri" w:hAnsi="Calibri"/>
                <w:b/>
                <w:bCs/>
                <w:i/>
                <w:iCs/>
                <w:noProof/>
                <w:sz w:val="22"/>
                <w:szCs w:val="22"/>
              </w:rPr>
              <mc:AlternateContent>
                <mc:Choice Requires="wps">
                  <w:drawing>
                    <wp:anchor distT="0" distB="0" distL="114300" distR="114300" simplePos="0" relativeHeight="251681792" behindDoc="0" locked="0" layoutInCell="1" allowOverlap="1" wp14:anchorId="19A093C7" wp14:editId="4052057F">
                      <wp:simplePos x="0" y="0"/>
                      <wp:positionH relativeFrom="column">
                        <wp:posOffset>783590</wp:posOffset>
                      </wp:positionH>
                      <wp:positionV relativeFrom="paragraph">
                        <wp:posOffset>191770</wp:posOffset>
                      </wp:positionV>
                      <wp:extent cx="8115" cy="2028825"/>
                      <wp:effectExtent l="0" t="0" r="30480" b="28575"/>
                      <wp:wrapNone/>
                      <wp:docPr id="15" name="Straight Connector 15"/>
                      <wp:cNvGraphicFramePr/>
                      <a:graphic xmlns:a="http://schemas.openxmlformats.org/drawingml/2006/main">
                        <a:graphicData uri="http://schemas.microsoft.com/office/word/2010/wordprocessingShape">
                          <wps:wsp>
                            <wps:cNvCnPr/>
                            <wps:spPr>
                              <a:xfrm>
                                <a:off x="0" y="0"/>
                                <a:ext cx="8115" cy="2028825"/>
                              </a:xfrm>
                              <a:prstGeom prst="line">
                                <a:avLst/>
                              </a:prstGeom>
                              <a:ln>
                                <a:solidFill>
                                  <a:schemeClr val="bg1">
                                    <a:lumMod val="8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4D174D" id="Straight Connector 15"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7pt,15.1pt" to="62.35pt,1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" strokecolor="#d8d8d8 [2732]">
                      <v:stroke dashstyle="dash"/>
                    </v:line>
                  </w:pict>
                </mc:Fallback>
              </mc:AlternateContent>
            </w:r>
            <w:r w:rsidRPr="00F41E3D">
              <w:rPr>
                <w:rFonts w:ascii="Calibri" w:eastAsia="Calibri" w:hAnsi="Calibri"/>
                <w:b/>
                <w:bCs/>
                <w:i/>
                <w:iCs/>
                <w:noProof/>
                <w:sz w:val="22"/>
                <w:szCs w:val="22"/>
              </w:rPr>
              <w:t>How do the sustainable investments that the financial product partially intends to make, not cause significant harm</w:t>
            </w:r>
            <w:r w:rsidRPr="00F41E3D">
              <w:rPr>
                <w:rFonts w:ascii="Calibri" w:hAnsi="Calibri"/>
                <w:b/>
                <w:bCs/>
                <w:i/>
                <w:iCs/>
                <w:noProof/>
                <w:sz w:val="22"/>
              </w:rPr>
              <w:t xml:space="preserve"> to any </w:t>
            </w:r>
            <w:bookmarkStart w:id="48" w:name="_Hlk76165400"/>
            <w:r w:rsidRPr="00F41E3D">
              <w:rPr>
                <w:rFonts w:ascii="Calibri" w:hAnsi="Calibri"/>
                <w:b/>
                <w:bCs/>
                <w:i/>
                <w:iCs/>
                <w:noProof/>
                <w:sz w:val="22"/>
              </w:rPr>
              <w:t xml:space="preserve">environmental or social </w:t>
            </w:r>
            <w:bookmarkEnd w:id="48"/>
            <w:r w:rsidRPr="00F41E3D">
              <w:rPr>
                <w:rFonts w:ascii="Calibri" w:hAnsi="Calibri"/>
                <w:b/>
                <w:bCs/>
                <w:i/>
                <w:iCs/>
                <w:noProof/>
                <w:sz w:val="22"/>
              </w:rPr>
              <w:t>sustainable investment objective</w:t>
            </w:r>
            <w:r w:rsidRPr="00F41E3D">
              <w:rPr>
                <w:rFonts w:ascii="Calibri" w:eastAsia="Calibri" w:hAnsi="Calibri"/>
                <w:b/>
                <w:bCs/>
                <w:i/>
                <w:iCs/>
                <w:noProof/>
                <w:sz w:val="22"/>
                <w:szCs w:val="22"/>
              </w:rPr>
              <w:t xml:space="preserve">? </w:t>
            </w:r>
          </w:p>
          <w:p w14:paraId="4A2D583D" w14:textId="77777777" w:rsidR="005466ED" w:rsidRPr="00A71F62" w:rsidRDefault="005466ED" w:rsidP="00721AB4">
            <w:pPr>
              <w:pStyle w:val="Paragraphedeliste"/>
              <w:ind w:left="641"/>
              <w:rPr>
                <w:rFonts w:ascii="Calibri" w:eastAsia="Calibri" w:hAnsi="Calibri"/>
                <w:b/>
                <w:bCs/>
                <w:i/>
                <w:iCs/>
                <w:noProof/>
                <w:sz w:val="22"/>
                <w:szCs w:val="22"/>
              </w:rPr>
            </w:pPr>
          </w:p>
          <w:p w14:paraId="489EED75" w14:textId="77777777" w:rsidR="005466ED" w:rsidRPr="00F96EF0" w:rsidRDefault="005466ED" w:rsidP="00721AB4">
            <w:pPr>
              <w:ind w:firstLine="1504"/>
              <w:rPr>
                <w:rFonts w:ascii="Calibri" w:eastAsia="Calibri" w:hAnsi="Calibri"/>
                <w:bCs/>
                <w:iCs/>
                <w:noProof/>
                <w:sz w:val="22"/>
                <w:szCs w:val="22"/>
                <w:lang w:val="en-GB"/>
              </w:rPr>
            </w:pPr>
            <w:r>
              <w:rPr>
                <w:rFonts w:eastAsia="Arial" w:cs="Arial"/>
                <w:lang w:val="en-US"/>
              </w:rPr>
              <w:t xml:space="preserve"> </w:t>
            </w:r>
            <w:r w:rsidRPr="00F96EF0">
              <w:rPr>
                <w:rFonts w:eastAsia="Arial" w:cs="Arial"/>
                <w:lang w:val="en-US"/>
              </w:rPr>
              <w:t>N/A – the Sub-Fund does not make any sustainable investments.</w:t>
            </w:r>
          </w:p>
          <w:p w14:paraId="14087E6B" w14:textId="77777777" w:rsidR="005466ED" w:rsidRDefault="005466ED" w:rsidP="00721AB4">
            <w:pPr>
              <w:pStyle w:val="Paragraphedeliste"/>
              <w:ind w:left="641"/>
              <w:rPr>
                <w:rFonts w:ascii="Calibri" w:eastAsia="Calibri" w:hAnsi="Calibri"/>
                <w:b/>
                <w:bCs/>
                <w:i/>
                <w:iCs/>
                <w:noProof/>
                <w:sz w:val="22"/>
                <w:szCs w:val="22"/>
              </w:rPr>
            </w:pPr>
          </w:p>
          <w:p w14:paraId="24E68B57" w14:textId="48D781A0" w:rsidR="005466ED" w:rsidRPr="00A14B0F" w:rsidRDefault="005466ED" w:rsidP="00721AB4">
            <w:pPr>
              <w:ind w:left="2160" w:hanging="720"/>
              <w:rPr>
                <w:rFonts w:ascii="Calibri" w:hAnsi="Calibri" w:cs="Calibri"/>
                <w:bCs/>
                <w:i/>
                <w:iCs/>
                <w:noProof/>
                <w:color w:val="C00000"/>
              </w:rPr>
            </w:pPr>
            <w:r>
              <w:rPr>
                <w:rFonts w:ascii="Calibri" w:hAnsi="Calibri" w:cs="Calibri"/>
                <w:bCs/>
                <w:i/>
                <w:iCs/>
                <w:noProof/>
                <w:lang w:eastAsia="en-IE"/>
              </w:rPr>
              <mc:AlternateContent>
                <mc:Choice Requires="wps">
                  <w:drawing>
                    <wp:anchor distT="0" distB="0" distL="114300" distR="114300" simplePos="0" relativeHeight="251679744" behindDoc="0" locked="0" layoutInCell="1" allowOverlap="1" wp14:anchorId="25A9A890" wp14:editId="78B46477">
                      <wp:simplePos x="0" y="0"/>
                      <wp:positionH relativeFrom="column">
                        <wp:posOffset>821690</wp:posOffset>
                      </wp:positionH>
                      <wp:positionV relativeFrom="paragraph">
                        <wp:posOffset>82550</wp:posOffset>
                      </wp:positionV>
                      <wp:extent cx="31242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312420" cy="0"/>
                              </a:xfrm>
                              <a:prstGeom prst="line">
                                <a:avLst/>
                              </a:prstGeom>
                              <a:ln>
                                <a:solidFill>
                                  <a:schemeClr val="bg1">
                                    <a:lumMod val="7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099DF8F" id="Straight Connector 10"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7pt,6.5pt" to="89.3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" strokecolor="#bfbfbf [2412]">
                      <v:stroke dashstyle="dash"/>
                    </v:line>
                  </w:pict>
                </mc:Fallback>
              </mc:AlternateContent>
            </w:r>
            <w:r>
              <w:rPr>
                <w:rFonts w:ascii="Calibri" w:hAnsi="Calibri" w:cs="Calibri"/>
                <w:bCs/>
                <w:i/>
                <w:iCs/>
                <w:noProof/>
                <w:sz w:val="22"/>
              </w:rPr>
              <w:tab/>
            </w:r>
            <w:r w:rsidRPr="00A71F62">
              <w:rPr>
                <w:rFonts w:ascii="Calibri" w:hAnsi="Calibri" w:cs="Calibri"/>
                <w:bCs/>
                <w:i/>
                <w:iCs/>
                <w:noProof/>
                <w:sz w:val="22"/>
              </w:rPr>
              <w:t xml:space="preserve">How have the indicators for adverse impacts on sustainability factors been taken into account? </w:t>
            </w:r>
          </w:p>
          <w:p w14:paraId="3B7C527C" w14:textId="77777777" w:rsidR="005466ED" w:rsidRDefault="005466ED" w:rsidP="00721AB4">
            <w:pPr>
              <w:spacing w:line="276" w:lineRule="auto"/>
              <w:ind w:left="2214" w:hanging="709"/>
            </w:pPr>
          </w:p>
          <w:p w14:paraId="05A0438B" w14:textId="77777777" w:rsidR="00EE02E9" w:rsidRDefault="00EE02E9" w:rsidP="00EE02E9">
            <w:pPr>
              <w:spacing w:line="276" w:lineRule="auto"/>
              <w:ind w:left="1499"/>
              <w:rPr>
                <w:rFonts w:eastAsia="Arial" w:cs="Arial"/>
                <w:lang w:val="en-US"/>
              </w:rPr>
            </w:pPr>
            <w:r w:rsidRPr="00B005CA">
              <w:rPr>
                <w:rFonts w:cs="Arial"/>
              </w:rPr>
              <w:t xml:space="preserve">The </w:t>
            </w:r>
            <w:r w:rsidRPr="00B005CA">
              <w:rPr>
                <w:rFonts w:eastAsia="Arial" w:cs="Arial"/>
                <w:lang w:val="en-US"/>
              </w:rPr>
              <w:t xml:space="preserve">Investment Manager applies </w:t>
            </w:r>
            <w:r>
              <w:rPr>
                <w:rFonts w:eastAsia="Arial" w:cs="Arial"/>
                <w:lang w:val="en-US"/>
              </w:rPr>
              <w:t>exclusions in respect of</w:t>
            </w:r>
            <w:r w:rsidRPr="00B005CA">
              <w:rPr>
                <w:rFonts w:eastAsia="Arial" w:cs="Arial"/>
                <w:lang w:val="en-US"/>
              </w:rPr>
              <w:t xml:space="preserve"> two PAIs: </w:t>
            </w:r>
          </w:p>
          <w:p w14:paraId="47635F63" w14:textId="77777777" w:rsidR="00EE02E9" w:rsidRPr="00B005CA" w:rsidRDefault="00EE02E9" w:rsidP="00EE02E9">
            <w:pPr>
              <w:spacing w:line="276" w:lineRule="auto"/>
              <w:ind w:left="1499"/>
              <w:rPr>
                <w:rFonts w:eastAsia="Arial" w:cs="Arial"/>
                <w:lang w:val="en-US"/>
              </w:rPr>
            </w:pPr>
          </w:p>
          <w:p w14:paraId="69FB7CA3" w14:textId="77777777" w:rsidR="005466ED" w:rsidRDefault="005466ED" w:rsidP="00721AB4">
            <w:pPr>
              <w:pStyle w:val="Paragraphedeliste"/>
              <w:numPr>
                <w:ilvl w:val="0"/>
                <w:numId w:val="18"/>
              </w:numPr>
              <w:spacing w:line="276" w:lineRule="auto"/>
              <w:ind w:left="2071" w:hanging="425"/>
              <w:rPr>
                <w:rFonts w:eastAsia="Arial" w:cs="Arial"/>
                <w:lang w:val="en-US"/>
              </w:rPr>
            </w:pPr>
            <w:r>
              <w:rPr>
                <w:rFonts w:eastAsia="Arial" w:cs="Arial"/>
                <w:lang w:val="en-US"/>
              </w:rPr>
              <w:t>e</w:t>
            </w:r>
            <w:r w:rsidRPr="00A14B0F">
              <w:rPr>
                <w:rFonts w:eastAsia="Arial" w:cs="Arial"/>
                <w:lang w:val="en-US"/>
              </w:rPr>
              <w:t>xposure to controversial weapons (PAI 14)</w:t>
            </w:r>
            <w:r>
              <w:rPr>
                <w:rFonts w:eastAsia="Arial" w:cs="Arial"/>
                <w:lang w:val="en-US"/>
              </w:rPr>
              <w:t xml:space="preserve">; </w:t>
            </w:r>
          </w:p>
          <w:p w14:paraId="66352578" w14:textId="56E46BB0" w:rsidR="005466ED" w:rsidRPr="00F96EF0" w:rsidRDefault="005466ED" w:rsidP="00721AB4">
            <w:pPr>
              <w:pStyle w:val="Paragraphedeliste"/>
              <w:numPr>
                <w:ilvl w:val="0"/>
                <w:numId w:val="18"/>
              </w:numPr>
              <w:spacing w:line="276" w:lineRule="auto"/>
              <w:ind w:left="2071" w:hanging="425"/>
              <w:rPr>
                <w:rFonts w:eastAsia="Arial" w:cs="Arial"/>
                <w:lang w:val="en-US"/>
              </w:rPr>
            </w:pPr>
            <w:r w:rsidRPr="00F96EF0">
              <w:rPr>
                <w:rFonts w:eastAsia="Arial" w:cs="Arial"/>
                <w:lang w:val="en-US"/>
              </w:rPr>
              <w:t>violations of the UNG</w:t>
            </w:r>
            <w:r>
              <w:rPr>
                <w:rFonts w:eastAsia="Arial" w:cs="Arial"/>
                <w:lang w:val="en-US"/>
              </w:rPr>
              <w:t>C</w:t>
            </w:r>
            <w:r w:rsidRPr="00F96EF0">
              <w:rPr>
                <w:rFonts w:eastAsia="Arial" w:cs="Arial"/>
                <w:lang w:val="en-US"/>
              </w:rPr>
              <w:t xml:space="preserve"> principles and </w:t>
            </w:r>
            <w:r>
              <w:rPr>
                <w:rFonts w:eastAsia="Arial" w:cs="Arial"/>
                <w:lang w:val="en-US"/>
              </w:rPr>
              <w:t xml:space="preserve">the </w:t>
            </w:r>
            <w:proofErr w:type="spellStart"/>
            <w:r w:rsidRPr="00F96EF0">
              <w:rPr>
                <w:rFonts w:eastAsia="Arial" w:cs="Arial"/>
                <w:lang w:val="en-US"/>
              </w:rPr>
              <w:t>Organisation</w:t>
            </w:r>
            <w:proofErr w:type="spellEnd"/>
            <w:r w:rsidRPr="00F96EF0">
              <w:rPr>
                <w:rFonts w:eastAsia="Arial" w:cs="Arial"/>
                <w:lang w:val="en-US"/>
              </w:rPr>
              <w:t xml:space="preserve"> for </w:t>
            </w:r>
            <w:r w:rsidRPr="00C15ED2">
              <w:rPr>
                <w:rFonts w:eastAsia="Arial" w:cs="Arial"/>
                <w:lang w:val="en-US"/>
              </w:rPr>
              <w:t>OECD</w:t>
            </w:r>
            <w:r w:rsidRPr="00F96EF0">
              <w:rPr>
                <w:rFonts w:eastAsia="Arial" w:cs="Arial"/>
                <w:lang w:val="en-US"/>
              </w:rPr>
              <w:t xml:space="preserve"> Guidelines for Multinational Enterprises (PAI 10).</w:t>
            </w:r>
          </w:p>
          <w:p w14:paraId="1FEB648E" w14:textId="77777777" w:rsidR="005466ED" w:rsidRDefault="005466ED" w:rsidP="00721AB4">
            <w:pPr>
              <w:spacing w:line="276" w:lineRule="auto"/>
              <w:ind w:left="2869" w:hanging="709"/>
              <w:rPr>
                <w:rFonts w:eastAsia="Arial" w:cs="Arial"/>
                <w:lang w:val="en-US"/>
              </w:rPr>
            </w:pPr>
          </w:p>
          <w:p w14:paraId="254FF5CB" w14:textId="676250C0" w:rsidR="00C80165" w:rsidRDefault="005466ED" w:rsidP="00537CB6">
            <w:pPr>
              <w:spacing w:line="276" w:lineRule="auto"/>
              <w:ind w:left="1646"/>
              <w:rPr>
                <w:rFonts w:eastAsia="Arial" w:cs="Arial"/>
                <w:lang w:val="en-US"/>
              </w:rPr>
            </w:pPr>
            <w:r w:rsidRPr="00442789">
              <w:rPr>
                <w:rFonts w:eastAsia="Arial" w:cs="Arial"/>
                <w:lang w:val="en-US"/>
              </w:rPr>
              <w:t xml:space="preserve">In addition, </w:t>
            </w:r>
            <w:r>
              <w:rPr>
                <w:rFonts w:eastAsia="Arial" w:cs="Arial"/>
                <w:lang w:val="en-US"/>
              </w:rPr>
              <w:t xml:space="preserve">the </w:t>
            </w:r>
            <w:r w:rsidRPr="00442789">
              <w:rPr>
                <w:rFonts w:eastAsia="Arial" w:cs="Arial"/>
                <w:lang w:val="en-US"/>
              </w:rPr>
              <w:t>MSCI ESG analysis includes</w:t>
            </w:r>
            <w:r>
              <w:rPr>
                <w:rFonts w:eastAsia="Arial" w:cs="Arial"/>
                <w:lang w:val="en-US"/>
              </w:rPr>
              <w:t>,</w:t>
            </w:r>
            <w:r w:rsidRPr="00442789">
              <w:rPr>
                <w:rFonts w:eastAsia="Arial" w:cs="Arial"/>
                <w:lang w:val="en-US"/>
              </w:rPr>
              <w:t xml:space="preserve"> when the data is available, the monitoring of greenhouse gas emissions (PAI 1), exposure to fossil fuels (PAI 4), share of non-renewable energy consumption and production (PAI 5), energy consumption intensity by high climate impact sectors (PAI 6), </w:t>
            </w:r>
            <w:r w:rsidR="00C80165">
              <w:rPr>
                <w:rFonts w:eastAsia="Arial" w:cs="Arial"/>
                <w:lang w:val="en-US"/>
              </w:rPr>
              <w:t>a</w:t>
            </w:r>
            <w:r w:rsidR="00C80165" w:rsidRPr="00C80165">
              <w:rPr>
                <w:rFonts w:eastAsia="Arial" w:cs="Arial"/>
                <w:lang w:val="en-US"/>
              </w:rPr>
              <w:t xml:space="preserve">ctivities </w:t>
            </w:r>
            <w:r w:rsidR="00C80165">
              <w:rPr>
                <w:rFonts w:eastAsia="Arial" w:cs="Arial"/>
                <w:lang w:val="en-US"/>
              </w:rPr>
              <w:t>n</w:t>
            </w:r>
            <w:r w:rsidR="00C80165" w:rsidRPr="00C80165">
              <w:rPr>
                <w:rFonts w:eastAsia="Arial" w:cs="Arial"/>
                <w:lang w:val="en-US"/>
              </w:rPr>
              <w:t xml:space="preserve">egatively </w:t>
            </w:r>
            <w:r w:rsidR="00C80165">
              <w:rPr>
                <w:rFonts w:eastAsia="Arial" w:cs="Arial"/>
                <w:lang w:val="en-US"/>
              </w:rPr>
              <w:t>a</w:t>
            </w:r>
            <w:r w:rsidR="00C80165" w:rsidRPr="00C80165">
              <w:rPr>
                <w:rFonts w:eastAsia="Arial" w:cs="Arial"/>
                <w:lang w:val="en-US"/>
              </w:rPr>
              <w:t xml:space="preserve">ffecting </w:t>
            </w:r>
            <w:r w:rsidR="00C80165">
              <w:rPr>
                <w:rFonts w:eastAsia="Arial" w:cs="Arial"/>
                <w:lang w:val="en-US"/>
              </w:rPr>
              <w:t>b</w:t>
            </w:r>
            <w:r w:rsidR="00C80165" w:rsidRPr="00C80165">
              <w:rPr>
                <w:rFonts w:eastAsia="Arial" w:cs="Arial"/>
                <w:lang w:val="en-US"/>
              </w:rPr>
              <w:t xml:space="preserve">iodiversity </w:t>
            </w:r>
            <w:r w:rsidR="00C80165">
              <w:rPr>
                <w:rFonts w:eastAsia="Arial" w:cs="Arial"/>
                <w:lang w:val="en-US"/>
              </w:rPr>
              <w:t>a</w:t>
            </w:r>
            <w:r w:rsidR="00C80165" w:rsidRPr="00C80165">
              <w:rPr>
                <w:rFonts w:eastAsia="Arial" w:cs="Arial"/>
                <w:lang w:val="en-US"/>
              </w:rPr>
              <w:t xml:space="preserve">reas </w:t>
            </w:r>
            <w:r w:rsidR="00C80165">
              <w:rPr>
                <w:rFonts w:eastAsia="Arial" w:cs="Arial"/>
                <w:lang w:val="en-US"/>
              </w:rPr>
              <w:t xml:space="preserve">(PAI 7) </w:t>
            </w:r>
            <w:r w:rsidRPr="00442789">
              <w:rPr>
                <w:rFonts w:eastAsia="Arial" w:cs="Arial"/>
                <w:lang w:val="en-US"/>
              </w:rPr>
              <w:t>the lack of processes and compliance mechanisms to monitor adherence to the UN Global Compact and OECD Guidelines for Multinational Enterprises (PAI 11), the unadjusted gender pay gap (PAI 12), and board parity (PAI 13). The Investment Manager also includes two other PAIs: the deforestation policy (PAI 15) and the lack of a human rights policy (PAI 9).</w:t>
            </w:r>
            <w:r w:rsidR="00C80165">
              <w:rPr>
                <w:rFonts w:eastAsia="Arial" w:cs="Arial"/>
                <w:lang w:val="en-US"/>
              </w:rPr>
              <w:t xml:space="preserve"> </w:t>
            </w:r>
          </w:p>
          <w:p w14:paraId="04E1DF73" w14:textId="77777777" w:rsidR="00537CB6" w:rsidRPr="00442789" w:rsidRDefault="00537CB6" w:rsidP="00A96E52">
            <w:pPr>
              <w:spacing w:line="276" w:lineRule="auto"/>
              <w:ind w:left="1646"/>
              <w:rPr>
                <w:rFonts w:eastAsia="Arial" w:cs="Arial"/>
                <w:lang w:val="en-US"/>
              </w:rPr>
            </w:pPr>
          </w:p>
          <w:p w14:paraId="7AF21512" w14:textId="77777777" w:rsidR="005466ED" w:rsidRDefault="005466ED" w:rsidP="00A96E52">
            <w:pPr>
              <w:spacing w:line="276" w:lineRule="auto"/>
              <w:ind w:left="1646"/>
              <w:rPr>
                <w:rFonts w:eastAsia="Arial" w:cs="Arial"/>
                <w:lang w:val="en-US"/>
              </w:rPr>
            </w:pPr>
            <w:r w:rsidRPr="00442789">
              <w:rPr>
                <w:rFonts w:eastAsia="Arial" w:cs="Arial"/>
                <w:lang w:val="en-US"/>
              </w:rPr>
              <w:t>Further information on the Investment Manager's consideration of PAI is available on am.oddo-bhf.com.</w:t>
            </w:r>
          </w:p>
          <w:p w14:paraId="341F4548" w14:textId="77777777" w:rsidR="005466ED" w:rsidRPr="00C065A3" w:rsidRDefault="005466ED" w:rsidP="00721AB4">
            <w:pPr>
              <w:spacing w:line="276" w:lineRule="auto"/>
              <w:ind w:left="2869" w:hanging="709"/>
              <w:rPr>
                <w:rFonts w:eastAsia="Arial" w:cs="Arial"/>
                <w:lang w:val="en-US"/>
              </w:rPr>
            </w:pPr>
          </w:p>
          <w:p w14:paraId="2EB1AACE" w14:textId="327E2A96" w:rsidR="005466ED" w:rsidRDefault="005466ED" w:rsidP="00721AB4">
            <w:pPr>
              <w:pStyle w:val="Paragraphedeliste"/>
              <w:ind w:left="2160" w:hanging="720"/>
              <w:rPr>
                <w:rFonts w:ascii="Calibri" w:hAnsi="Calibri" w:cs="Calibri"/>
                <w:i/>
                <w:noProof/>
                <w:color w:val="C00000"/>
              </w:rPr>
            </w:pPr>
            <w:r>
              <w:rPr>
                <w:rFonts w:ascii="Calibri" w:hAnsi="Calibri" w:cs="Calibri"/>
                <w:bCs/>
                <w:i/>
                <w:iCs/>
                <w:noProof/>
                <w:lang w:eastAsia="en-IE"/>
              </w:rPr>
              <mc:AlternateContent>
                <mc:Choice Requires="wps">
                  <w:drawing>
                    <wp:anchor distT="0" distB="0" distL="114300" distR="114300" simplePos="0" relativeHeight="251680768" behindDoc="0" locked="0" layoutInCell="1" allowOverlap="1" wp14:anchorId="3B7F265D" wp14:editId="17EF7E73">
                      <wp:simplePos x="0" y="0"/>
                      <wp:positionH relativeFrom="column">
                        <wp:posOffset>812165</wp:posOffset>
                      </wp:positionH>
                      <wp:positionV relativeFrom="paragraph">
                        <wp:posOffset>106680</wp:posOffset>
                      </wp:positionV>
                      <wp:extent cx="311785"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311785" cy="0"/>
                              </a:xfrm>
                              <a:prstGeom prst="line">
                                <a:avLst/>
                              </a:prstGeom>
                              <a:ln>
                                <a:solidFill>
                                  <a:schemeClr val="bg1">
                                    <a:lumMod val="7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6E9E061" id="Straight Connector 11" o:spid="_x0000_s1026"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95pt,8.4pt" to="88.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" strokecolor="#bfbfbf [2412]">
                      <v:stroke dashstyle="dash"/>
                    </v:line>
                  </w:pict>
                </mc:Fallback>
              </mc:AlternateContent>
            </w:r>
            <w:r>
              <w:rPr>
                <w:rFonts w:ascii="Calibri" w:hAnsi="Calibri" w:cs="Calibri"/>
                <w:i/>
                <w:noProof/>
                <w:sz w:val="22"/>
              </w:rPr>
              <w:tab/>
            </w:r>
            <w:r w:rsidRPr="00A71F62">
              <w:rPr>
                <w:rFonts w:ascii="Calibri" w:hAnsi="Calibri" w:cs="Calibri"/>
                <w:i/>
                <w:noProof/>
                <w:sz w:val="22"/>
              </w:rPr>
              <w:t>How are the sustainable investments aligned with the OECD Guidelines for Multinational Enterprises and the UN Guiding Principles on Business and Human Rights? Details:</w:t>
            </w:r>
            <w:r>
              <w:rPr>
                <w:rFonts w:ascii="Calibri" w:hAnsi="Calibri" w:cs="Calibri"/>
                <w:i/>
                <w:noProof/>
                <w:sz w:val="22"/>
              </w:rPr>
              <w:t xml:space="preserve"> </w:t>
            </w:r>
          </w:p>
          <w:p w14:paraId="70F27DE5" w14:textId="77777777" w:rsidR="005466ED" w:rsidRDefault="005466ED" w:rsidP="00721AB4">
            <w:pPr>
              <w:pStyle w:val="Paragraphedeliste"/>
              <w:ind w:left="2160" w:hanging="720"/>
              <w:rPr>
                <w:rFonts w:ascii="Calibri" w:hAnsi="Calibri" w:cs="Calibri"/>
                <w:i/>
                <w:noProof/>
                <w:color w:val="C00000"/>
                <w:sz w:val="22"/>
                <w:szCs w:val="22"/>
              </w:rPr>
            </w:pPr>
            <w:r>
              <w:rPr>
                <w:rFonts w:ascii="Calibri" w:hAnsi="Calibri" w:cs="Calibri"/>
                <w:i/>
                <w:noProof/>
                <w:color w:val="C00000"/>
                <w:sz w:val="22"/>
                <w:szCs w:val="22"/>
              </w:rPr>
              <w:t xml:space="preserve">             </w:t>
            </w:r>
          </w:p>
          <w:p w14:paraId="21D4AAF6" w14:textId="77777777" w:rsidR="005466ED" w:rsidRPr="0029429F" w:rsidRDefault="005466ED" w:rsidP="00721AB4">
            <w:pPr>
              <w:pStyle w:val="Paragraphedeliste"/>
              <w:ind w:left="2160"/>
              <w:rPr>
                <w:rFonts w:ascii="Calibri" w:eastAsia="Calibri" w:hAnsi="Calibri"/>
                <w:noProof/>
                <w:sz w:val="22"/>
                <w:szCs w:val="22"/>
              </w:rPr>
            </w:pPr>
            <w:r>
              <w:rPr>
                <w:rFonts w:eastAsia="Arial" w:cs="Arial"/>
                <w:lang w:val="en-US"/>
              </w:rPr>
              <w:t>N/A - the Sub-Fund does not make any sustainable investments</w:t>
            </w:r>
            <w:r w:rsidRPr="00C065A3">
              <w:rPr>
                <w:rFonts w:eastAsia="Arial" w:cs="Arial"/>
                <w:lang w:val="en-US"/>
              </w:rPr>
              <w:t xml:space="preserve">. </w:t>
            </w:r>
          </w:p>
        </w:tc>
      </w:tr>
      <w:tr w:rsidR="005466ED" w14:paraId="7AFE2057" w14:textId="77777777" w:rsidTr="00721AB4">
        <w:trPr>
          <w:trHeight w:val="2403"/>
        </w:trPr>
        <w:tc>
          <w:tcPr>
            <w:tcW w:w="1794" w:type="dxa"/>
            <w:gridSpan w:val="2"/>
            <w:shd w:val="clear" w:color="auto" w:fill="auto"/>
          </w:tcPr>
          <w:p w14:paraId="412C2192" w14:textId="77777777" w:rsidR="005466ED" w:rsidRDefault="005466ED" w:rsidP="00721AB4">
            <w:pPr>
              <w:ind w:right="-2"/>
              <w:jc w:val="left"/>
              <w:rPr>
                <w:rFonts w:asciiTheme="minorHAnsi" w:hAnsiTheme="minorHAnsi" w:cstheme="minorHAnsi"/>
                <w:b/>
                <w:color w:val="000000"/>
                <w:sz w:val="18"/>
              </w:rPr>
            </w:pPr>
          </w:p>
        </w:tc>
        <w:tc>
          <w:tcPr>
            <w:tcW w:w="9405" w:type="dxa"/>
            <w:gridSpan w:val="6"/>
            <w:vMerge/>
          </w:tcPr>
          <w:p w14:paraId="5510A7B1" w14:textId="77777777" w:rsidR="005466ED" w:rsidRDefault="005466ED" w:rsidP="00721AB4">
            <w:pPr>
              <w:pStyle w:val="Paragraphedeliste"/>
              <w:numPr>
                <w:ilvl w:val="0"/>
                <w:numId w:val="13"/>
              </w:numPr>
              <w:ind w:left="1080"/>
              <w:contextualSpacing w:val="0"/>
              <w:rPr>
                <w:rFonts w:ascii="Calibri" w:eastAsia="Calibri" w:hAnsi="Calibri"/>
                <w:b/>
                <w:bCs/>
                <w:i/>
                <w:iCs/>
                <w:noProof/>
                <w:sz w:val="22"/>
                <w:szCs w:val="22"/>
              </w:rPr>
            </w:pPr>
          </w:p>
        </w:tc>
      </w:tr>
      <w:tr w:rsidR="005466ED" w:rsidRPr="004C5A93" w14:paraId="54CBC28E" w14:textId="77777777" w:rsidTr="00721AB4">
        <w:tc>
          <w:tcPr>
            <w:tcW w:w="1794" w:type="dxa"/>
            <w:gridSpan w:val="2"/>
          </w:tcPr>
          <w:p w14:paraId="022BB128" w14:textId="77777777" w:rsidR="005466ED" w:rsidRPr="002234C5" w:rsidRDefault="005466ED" w:rsidP="00721AB4">
            <w:pPr>
              <w:ind w:right="-2"/>
              <w:rPr>
                <w:rFonts w:ascii="Calibri" w:hAnsi="Calibri"/>
                <w:b/>
                <w:noProof/>
                <w:szCs w:val="24"/>
                <w:shd w:val="clear" w:color="auto" w:fill="F2F2F2" w:themeFill="background1" w:themeFillShade="F2"/>
                <w:lang w:eastAsia="en-IE"/>
              </w:rPr>
            </w:pPr>
          </w:p>
        </w:tc>
        <w:tc>
          <w:tcPr>
            <w:tcW w:w="1260" w:type="dxa"/>
            <w:gridSpan w:val="4"/>
          </w:tcPr>
          <w:p w14:paraId="6137EF45" w14:textId="77777777" w:rsidR="005466ED" w:rsidRDefault="005466ED" w:rsidP="00721AB4">
            <w:pPr>
              <w:ind w:right="-2"/>
              <w:rPr>
                <w:rFonts w:ascii="Calibri" w:eastAsia="Calibri" w:hAnsi="Calibri"/>
                <w:b/>
                <w:bCs/>
                <w:noProof/>
                <w:sz w:val="24"/>
              </w:rPr>
            </w:pPr>
          </w:p>
        </w:tc>
        <w:tc>
          <w:tcPr>
            <w:tcW w:w="8145" w:type="dxa"/>
            <w:gridSpan w:val="2"/>
            <w:shd w:val="clear" w:color="auto" w:fill="FBE9D8"/>
          </w:tcPr>
          <w:p w14:paraId="39E31C8F" w14:textId="77777777" w:rsidR="005466ED" w:rsidRDefault="005466ED" w:rsidP="00721AB4">
            <w:pPr>
              <w:ind w:right="-13"/>
              <w:rPr>
                <w:rFonts w:asciiTheme="minorHAnsi" w:hAnsiTheme="minorHAnsi" w:cstheme="minorHAnsi"/>
                <w:i/>
                <w:iCs/>
                <w:color w:val="C00000"/>
              </w:rPr>
            </w:pPr>
          </w:p>
          <w:p w14:paraId="58CB7968" w14:textId="77777777" w:rsidR="005466ED" w:rsidRPr="008114F1" w:rsidRDefault="005466ED" w:rsidP="00721AB4">
            <w:pPr>
              <w:ind w:right="-13"/>
              <w:rPr>
                <w:rFonts w:asciiTheme="minorHAnsi" w:hAnsiTheme="minorHAnsi" w:cstheme="minorHAnsi"/>
                <w:i/>
                <w:iCs/>
                <w:sz w:val="23"/>
                <w:szCs w:val="22"/>
              </w:rPr>
            </w:pPr>
            <w:r w:rsidRPr="008114F1">
              <w:rPr>
                <w:rFonts w:asciiTheme="minorHAnsi" w:hAnsiTheme="minorHAnsi" w:cstheme="minorHAnsi"/>
                <w:i/>
                <w:iCs/>
                <w:sz w:val="23"/>
                <w:szCs w:val="22"/>
              </w:rPr>
              <w:t xml:space="preserve">The EU Taxonomy sets out a “do not significant harm” principle by which Taxonomy-aligned investments should not significantly harm EU Taxonomy objectives and is accompanied by specific EU criteria. </w:t>
            </w:r>
          </w:p>
          <w:p w14:paraId="10FD745C" w14:textId="77777777" w:rsidR="005466ED" w:rsidRPr="008114F1" w:rsidRDefault="005466ED" w:rsidP="00721AB4">
            <w:pPr>
              <w:ind w:right="-13"/>
              <w:rPr>
                <w:rFonts w:asciiTheme="minorHAnsi" w:hAnsiTheme="minorHAnsi" w:cstheme="minorHAnsi"/>
                <w:sz w:val="23"/>
                <w:szCs w:val="22"/>
              </w:rPr>
            </w:pPr>
          </w:p>
          <w:p w14:paraId="66659E46" w14:textId="77777777" w:rsidR="005466ED" w:rsidRPr="008114F1" w:rsidRDefault="005466ED" w:rsidP="00721AB4">
            <w:pPr>
              <w:ind w:right="-13"/>
              <w:rPr>
                <w:rFonts w:asciiTheme="minorHAnsi" w:hAnsiTheme="minorHAnsi" w:cstheme="minorHAnsi"/>
                <w:sz w:val="23"/>
                <w:szCs w:val="22"/>
              </w:rPr>
            </w:pPr>
            <w:r w:rsidRPr="008114F1">
              <w:rPr>
                <w:rFonts w:asciiTheme="minorHAnsi" w:hAnsiTheme="minorHAnsi" w:cstheme="minorHAnsi"/>
                <w:sz w:val="23"/>
                <w:szCs w:val="22"/>
              </w:rPr>
              <w:t>The “do no significant harm” principle applies only to those investments underlying the financial product that take into account the EU criteria for environmentally sustainable economic activities. The investments underlying the remaining portion of this financial product do not take into account the EU criteria for environmentally sustainable economic activities.</w:t>
            </w:r>
          </w:p>
          <w:p w14:paraId="6375CDC0" w14:textId="77777777" w:rsidR="005466ED" w:rsidRPr="008114F1" w:rsidRDefault="005466ED" w:rsidP="00721AB4">
            <w:pPr>
              <w:ind w:right="-13"/>
              <w:rPr>
                <w:rFonts w:asciiTheme="minorHAnsi" w:hAnsiTheme="minorHAnsi" w:cstheme="minorHAnsi"/>
                <w:i/>
                <w:iCs/>
                <w:sz w:val="23"/>
                <w:szCs w:val="22"/>
              </w:rPr>
            </w:pPr>
          </w:p>
          <w:p w14:paraId="3963354A" w14:textId="77777777" w:rsidR="005466ED" w:rsidRPr="008114F1" w:rsidRDefault="005466ED" w:rsidP="00721AB4">
            <w:pPr>
              <w:rPr>
                <w:rFonts w:asciiTheme="minorHAnsi" w:hAnsiTheme="minorHAnsi" w:cstheme="minorHAnsi"/>
                <w:i/>
                <w:iCs/>
                <w:sz w:val="23"/>
                <w:szCs w:val="22"/>
              </w:rPr>
            </w:pPr>
            <w:r w:rsidRPr="008114F1">
              <w:rPr>
                <w:rFonts w:asciiTheme="minorHAnsi" w:hAnsiTheme="minorHAnsi" w:cstheme="minorHAnsi"/>
                <w:i/>
                <w:iCs/>
                <w:sz w:val="23"/>
                <w:szCs w:val="22"/>
              </w:rPr>
              <w:t>Any other sustainable investments must also not significantly harm any environmental or social objectives.</w:t>
            </w:r>
          </w:p>
          <w:p w14:paraId="2E0018FF" w14:textId="77777777" w:rsidR="005466ED" w:rsidRPr="004C5A93" w:rsidRDefault="005466ED" w:rsidP="00721AB4">
            <w:pPr>
              <w:rPr>
                <w:rFonts w:asciiTheme="minorHAnsi" w:hAnsiTheme="minorHAnsi" w:cstheme="minorHAnsi"/>
                <w:i/>
                <w:iCs/>
              </w:rPr>
            </w:pPr>
          </w:p>
        </w:tc>
      </w:tr>
      <w:tr w:rsidR="005466ED" w:rsidRPr="00960E40" w14:paraId="391BDB64" w14:textId="77777777" w:rsidTr="00721AB4">
        <w:trPr>
          <w:trHeight w:val="3430"/>
        </w:trPr>
        <w:tc>
          <w:tcPr>
            <w:tcW w:w="1711" w:type="dxa"/>
          </w:tcPr>
          <w:p w14:paraId="27F3AC36" w14:textId="77777777" w:rsidR="005466ED" w:rsidRDefault="005466ED" w:rsidP="00721AB4">
            <w:pPr>
              <w:ind w:right="-2"/>
              <w:rPr>
                <w:rFonts w:ascii="Calibri" w:eastAsia="Calibri" w:hAnsi="Calibri"/>
                <w:b/>
                <w:bCs/>
                <w:noProof/>
                <w:sz w:val="24"/>
              </w:rPr>
            </w:pPr>
          </w:p>
        </w:tc>
        <w:tc>
          <w:tcPr>
            <w:tcW w:w="9488" w:type="dxa"/>
            <w:gridSpan w:val="7"/>
          </w:tcPr>
          <w:p w14:paraId="4A22594D" w14:textId="77777777" w:rsidR="005466ED" w:rsidRDefault="005466ED" w:rsidP="00721AB4">
            <w:pPr>
              <w:ind w:left="284"/>
              <w:rPr>
                <w:rFonts w:ascii="Calibri" w:eastAsia="Calibri" w:hAnsi="Calibri"/>
                <w:b/>
                <w:bCs/>
                <w:noProof/>
                <w:sz w:val="24"/>
                <w:szCs w:val="24"/>
              </w:rPr>
            </w:pPr>
            <w:r w:rsidRPr="003A1C01">
              <w:rPr>
                <w:rFonts w:ascii="Calibri" w:hAnsi="Calibri"/>
                <w:noProof/>
                <w:szCs w:val="24"/>
                <w:lang w:eastAsia="en-IE"/>
              </w:rPr>
              <w:drawing>
                <wp:anchor distT="0" distB="0" distL="114300" distR="114300" simplePos="0" relativeHeight="251682816" behindDoc="0" locked="0" layoutInCell="1" allowOverlap="1" wp14:anchorId="59D2D240" wp14:editId="07D8BE3D">
                  <wp:simplePos x="0" y="0"/>
                  <wp:positionH relativeFrom="page">
                    <wp:posOffset>-1311910</wp:posOffset>
                  </wp:positionH>
                  <wp:positionV relativeFrom="paragraph">
                    <wp:posOffset>153670</wp:posOffset>
                  </wp:positionV>
                  <wp:extent cx="1706245" cy="600710"/>
                  <wp:effectExtent l="0" t="0" r="8255" b="8890"/>
                  <wp:wrapNone/>
                  <wp:docPr id="240" name="Graphic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1706245" cy="600710"/>
                          </a:xfrm>
                          <a:prstGeom prst="rect">
                            <a:avLst/>
                          </a:prstGeom>
                        </pic:spPr>
                      </pic:pic>
                    </a:graphicData>
                  </a:graphic>
                  <wp14:sizeRelH relativeFrom="margin">
                    <wp14:pctWidth>0</wp14:pctWidth>
                  </wp14:sizeRelH>
                  <wp14:sizeRelV relativeFrom="margin">
                    <wp14:pctHeight>0</wp14:pctHeight>
                  </wp14:sizeRelV>
                </wp:anchor>
              </w:drawing>
            </w:r>
          </w:p>
          <w:p w14:paraId="22C8B5F7" w14:textId="77777777" w:rsidR="005466ED" w:rsidRDefault="005466ED" w:rsidP="00721AB4">
            <w:pPr>
              <w:ind w:left="284"/>
              <w:rPr>
                <w:rFonts w:ascii="Calibri" w:eastAsia="Calibri" w:hAnsi="Calibri"/>
                <w:b/>
                <w:bCs/>
                <w:noProof/>
                <w:sz w:val="24"/>
                <w:szCs w:val="24"/>
              </w:rPr>
            </w:pPr>
          </w:p>
          <w:p w14:paraId="08F99A27" w14:textId="77777777" w:rsidR="005466ED" w:rsidRDefault="005466ED" w:rsidP="00721AB4">
            <w:pPr>
              <w:ind w:left="720"/>
              <w:rPr>
                <w:rFonts w:ascii="Calibri" w:eastAsia="Calibri" w:hAnsi="Calibri"/>
                <w:b/>
                <w:bCs/>
                <w:noProof/>
                <w:sz w:val="24"/>
                <w:szCs w:val="24"/>
              </w:rPr>
            </w:pPr>
            <w:r w:rsidRPr="003A1C01">
              <w:rPr>
                <w:rFonts w:ascii="Calibri" w:eastAsia="Calibri" w:hAnsi="Calibri"/>
                <w:b/>
                <w:bCs/>
                <w:noProof/>
                <w:sz w:val="24"/>
                <w:szCs w:val="24"/>
              </w:rPr>
              <w:t xml:space="preserve">Does this </w:t>
            </w:r>
            <w:r>
              <w:rPr>
                <w:rFonts w:ascii="Calibri" w:eastAsia="Calibri" w:hAnsi="Calibri"/>
                <w:b/>
                <w:bCs/>
                <w:noProof/>
                <w:sz w:val="24"/>
                <w:szCs w:val="24"/>
              </w:rPr>
              <w:t xml:space="preserve">financial </w:t>
            </w:r>
            <w:r w:rsidRPr="003A1C01">
              <w:rPr>
                <w:rFonts w:ascii="Calibri" w:eastAsia="Calibri" w:hAnsi="Calibri"/>
                <w:b/>
                <w:bCs/>
                <w:noProof/>
                <w:sz w:val="24"/>
                <w:szCs w:val="24"/>
              </w:rPr>
              <w:t xml:space="preserve">product </w:t>
            </w:r>
            <w:r>
              <w:rPr>
                <w:rFonts w:ascii="Calibri" w:eastAsia="Calibri" w:hAnsi="Calibri"/>
                <w:b/>
                <w:bCs/>
                <w:noProof/>
                <w:sz w:val="24"/>
                <w:szCs w:val="24"/>
              </w:rPr>
              <w:t>consider</w:t>
            </w:r>
            <w:r w:rsidRPr="003A1C01">
              <w:rPr>
                <w:rFonts w:ascii="Calibri" w:eastAsia="Calibri" w:hAnsi="Calibri"/>
                <w:b/>
                <w:bCs/>
                <w:noProof/>
                <w:sz w:val="24"/>
                <w:szCs w:val="24"/>
              </w:rPr>
              <w:t xml:space="preserve"> principal adverse impacts on sustainability factors?</w:t>
            </w:r>
          </w:p>
          <w:p w14:paraId="6A9B8057" w14:textId="2C004B03" w:rsidR="005466ED" w:rsidRDefault="005466ED" w:rsidP="00721AB4">
            <w:pPr>
              <w:ind w:left="720"/>
              <w:rPr>
                <w:rFonts w:ascii="Calibri" w:eastAsia="Calibri" w:hAnsi="Calibri"/>
                <w:b/>
                <w:bCs/>
                <w:noProof/>
                <w:sz w:val="24"/>
                <w:szCs w:val="24"/>
              </w:rPr>
            </w:pPr>
            <w:r w:rsidRPr="00CA2E47">
              <w:rPr>
                <w:rFonts w:cs="Arial"/>
                <w:noProof/>
                <w:lang w:eastAsia="en-IE"/>
              </w:rPr>
              <w:drawing>
                <wp:anchor distT="0" distB="0" distL="114300" distR="114300" simplePos="0" relativeHeight="251685888" behindDoc="0" locked="0" layoutInCell="1" allowOverlap="1" wp14:anchorId="2106ED99" wp14:editId="21D5CC58">
                  <wp:simplePos x="0" y="0"/>
                  <wp:positionH relativeFrom="column">
                    <wp:posOffset>313690</wp:posOffset>
                  </wp:positionH>
                  <wp:positionV relativeFrom="paragraph">
                    <wp:posOffset>194310</wp:posOffset>
                  </wp:positionV>
                  <wp:extent cx="113665" cy="113665"/>
                  <wp:effectExtent l="0" t="0" r="635" b="635"/>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flipV="1">
                            <a:off x="0" y="0"/>
                            <a:ext cx="113665" cy="113665"/>
                          </a:xfrm>
                          <a:prstGeom prst="rect">
                            <a:avLst/>
                          </a:prstGeom>
                          <a:noFill/>
                        </pic:spPr>
                      </pic:pic>
                    </a:graphicData>
                  </a:graphic>
                  <wp14:sizeRelH relativeFrom="page">
                    <wp14:pctWidth>0</wp14:pctWidth>
                  </wp14:sizeRelH>
                  <wp14:sizeRelV relativeFrom="page">
                    <wp14:pctHeight>0</wp14:pctHeight>
                  </wp14:sizeRelV>
                </wp:anchor>
              </w:drawing>
            </w:r>
          </w:p>
          <w:p w14:paraId="6A976FF5" w14:textId="4AA4F057" w:rsidR="005466ED" w:rsidRDefault="005466ED" w:rsidP="00721AB4">
            <w:pPr>
              <w:spacing w:after="160" w:line="259" w:lineRule="auto"/>
              <w:ind w:left="993"/>
            </w:pPr>
            <w:r w:rsidRPr="009A0F89">
              <w:rPr>
                <w:noProof/>
              </w:rPr>
              <mc:AlternateContent>
                <mc:Choice Requires="wps">
                  <w:drawing>
                    <wp:anchor distT="0" distB="0" distL="114300" distR="114300" simplePos="0" relativeHeight="251683840" behindDoc="0" locked="0" layoutInCell="1" allowOverlap="1" wp14:anchorId="220D0391" wp14:editId="684EA2F9">
                      <wp:simplePos x="0" y="0"/>
                      <wp:positionH relativeFrom="column">
                        <wp:posOffset>276860</wp:posOffset>
                      </wp:positionH>
                      <wp:positionV relativeFrom="paragraph">
                        <wp:posOffset>11430</wp:posOffset>
                      </wp:positionV>
                      <wp:extent cx="179705" cy="193675"/>
                      <wp:effectExtent l="0" t="0" r="0" b="0"/>
                      <wp:wrapNone/>
                      <wp:docPr id="50" name="Rectangle 50"/>
                      <wp:cNvGraphicFramePr/>
                      <a:graphic xmlns:a="http://schemas.openxmlformats.org/drawingml/2006/main">
                        <a:graphicData uri="http://schemas.microsoft.com/office/word/2010/wordprocessingShape">
                          <wps:wsp>
                            <wps:cNvSpPr/>
                            <wps:spPr>
                              <a:xfrm>
                                <a:off x="0" y="0"/>
                                <a:ext cx="179705" cy="193675"/>
                              </a:xfrm>
                              <a:prstGeom prst="rect">
                                <a:avLst/>
                              </a:prstGeom>
                              <a:solidFill>
                                <a:sysClr val="window" lastClr="FFFFFF">
                                  <a:lumMod val="9500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36BC0" id="Rectangle 50" o:spid="_x0000_s1026" style="position:absolute;margin-left:21.8pt;margin-top:.9pt;width:14.15pt;height:15.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" fillcolor="#f2f2f2" stroked="f" strokeweight="1pt"/>
                  </w:pict>
                </mc:Fallback>
              </mc:AlternateContent>
            </w:r>
            <w:r w:rsidRPr="009A0F89">
              <w:t>Yes, in accordance with the provisions of Article 8 in conjunction with Article 6 of SFDR, sustainability risks are taken into account by incorporating ESG (environmental, social and governance) criteria into the investment decision-making process. The fund manager considers principal adverse impacts either via pre-trade exclusions or through the integration of ESG ratings, which reflect sustainability risks based on a number of criteria including data on principal adverse impacts.</w:t>
            </w:r>
          </w:p>
          <w:p w14:paraId="0E3E25A3" w14:textId="33A4B2A8" w:rsidR="00936A0A" w:rsidRPr="00B005CA" w:rsidRDefault="00936A0A" w:rsidP="00936A0A">
            <w:pPr>
              <w:spacing w:line="276" w:lineRule="auto"/>
              <w:rPr>
                <w:rFonts w:eastAsia="Arial" w:cs="Arial"/>
                <w:lang w:val="en-US"/>
              </w:rPr>
            </w:pPr>
            <w:r w:rsidRPr="00B005CA">
              <w:rPr>
                <w:rFonts w:cs="Arial"/>
              </w:rPr>
              <w:t xml:space="preserve">                   The </w:t>
            </w:r>
            <w:r w:rsidRPr="00B005CA">
              <w:rPr>
                <w:rFonts w:eastAsia="Arial" w:cs="Arial"/>
                <w:lang w:val="en-US"/>
              </w:rPr>
              <w:t xml:space="preserve">Investment Manager applies </w:t>
            </w:r>
            <w:r w:rsidR="00B005CA">
              <w:rPr>
                <w:rFonts w:eastAsia="Arial" w:cs="Arial"/>
                <w:lang w:val="en-US"/>
              </w:rPr>
              <w:t>exclusions in respect of</w:t>
            </w:r>
            <w:r w:rsidRPr="00B005CA">
              <w:rPr>
                <w:rFonts w:eastAsia="Arial" w:cs="Arial"/>
                <w:lang w:val="en-US"/>
              </w:rPr>
              <w:t xml:space="preserve"> two PAIs: </w:t>
            </w:r>
          </w:p>
          <w:p w14:paraId="6C52B40A" w14:textId="77777777" w:rsidR="00936A0A" w:rsidRDefault="00936A0A" w:rsidP="00936A0A">
            <w:pPr>
              <w:spacing w:line="276" w:lineRule="auto"/>
              <w:rPr>
                <w:rFonts w:eastAsia="Arial" w:cs="Arial"/>
                <w:lang w:val="en-US"/>
              </w:rPr>
            </w:pPr>
          </w:p>
          <w:p w14:paraId="013690A5" w14:textId="77777777" w:rsidR="00936A0A" w:rsidRDefault="00936A0A" w:rsidP="00936A0A">
            <w:pPr>
              <w:pStyle w:val="Paragraphedeliste"/>
              <w:numPr>
                <w:ilvl w:val="0"/>
                <w:numId w:val="18"/>
              </w:numPr>
              <w:spacing w:line="276" w:lineRule="auto"/>
              <w:ind w:left="2071" w:hanging="425"/>
              <w:rPr>
                <w:rFonts w:eastAsia="Arial" w:cs="Arial"/>
                <w:lang w:val="en-US"/>
              </w:rPr>
            </w:pPr>
            <w:r>
              <w:rPr>
                <w:rFonts w:eastAsia="Arial" w:cs="Arial"/>
                <w:lang w:val="en-US"/>
              </w:rPr>
              <w:t>e</w:t>
            </w:r>
            <w:r w:rsidRPr="00A14B0F">
              <w:rPr>
                <w:rFonts w:eastAsia="Arial" w:cs="Arial"/>
                <w:lang w:val="en-US"/>
              </w:rPr>
              <w:t>xposure to controversial weapons (PAI 14)</w:t>
            </w:r>
            <w:r>
              <w:rPr>
                <w:rFonts w:eastAsia="Arial" w:cs="Arial"/>
                <w:lang w:val="en-US"/>
              </w:rPr>
              <w:t xml:space="preserve">; </w:t>
            </w:r>
          </w:p>
          <w:p w14:paraId="2557C6C9" w14:textId="2ADB7D7B" w:rsidR="00936A0A" w:rsidRPr="00F96EF0" w:rsidRDefault="00936A0A" w:rsidP="00936A0A">
            <w:pPr>
              <w:pStyle w:val="Paragraphedeliste"/>
              <w:numPr>
                <w:ilvl w:val="0"/>
                <w:numId w:val="18"/>
              </w:numPr>
              <w:spacing w:line="276" w:lineRule="auto"/>
              <w:ind w:left="2071" w:hanging="425"/>
              <w:rPr>
                <w:rFonts w:eastAsia="Arial" w:cs="Arial"/>
                <w:lang w:val="en-US"/>
              </w:rPr>
            </w:pPr>
            <w:r w:rsidRPr="00F96EF0">
              <w:rPr>
                <w:rFonts w:eastAsia="Arial" w:cs="Arial"/>
                <w:lang w:val="en-US"/>
              </w:rPr>
              <w:t>violations of the UNG</w:t>
            </w:r>
            <w:r>
              <w:rPr>
                <w:rFonts w:eastAsia="Arial" w:cs="Arial"/>
                <w:lang w:val="en-US"/>
              </w:rPr>
              <w:t>C</w:t>
            </w:r>
            <w:r w:rsidRPr="00F96EF0">
              <w:rPr>
                <w:rFonts w:eastAsia="Arial" w:cs="Arial"/>
                <w:lang w:val="en-US"/>
              </w:rPr>
              <w:t xml:space="preserve"> principles and </w:t>
            </w:r>
            <w:r>
              <w:rPr>
                <w:rFonts w:eastAsia="Arial" w:cs="Arial"/>
                <w:lang w:val="en-US"/>
              </w:rPr>
              <w:t xml:space="preserve">the </w:t>
            </w:r>
            <w:r w:rsidR="00802410">
              <w:rPr>
                <w:rFonts w:eastAsia="Arial" w:cs="Arial"/>
                <w:lang w:val="en-US"/>
              </w:rPr>
              <w:t>OECD</w:t>
            </w:r>
            <w:r w:rsidRPr="00F96EF0">
              <w:rPr>
                <w:rFonts w:eastAsia="Arial" w:cs="Arial"/>
                <w:lang w:val="en-US"/>
              </w:rPr>
              <w:t xml:space="preserve"> Guidelines for Multinational Enterprises (PAI 10).</w:t>
            </w:r>
          </w:p>
          <w:p w14:paraId="3371D361" w14:textId="77777777" w:rsidR="00936A0A" w:rsidRDefault="00936A0A" w:rsidP="00936A0A">
            <w:pPr>
              <w:spacing w:line="276" w:lineRule="auto"/>
              <w:ind w:left="2869" w:hanging="709"/>
              <w:rPr>
                <w:rFonts w:eastAsia="Arial" w:cs="Arial"/>
                <w:lang w:val="en-US"/>
              </w:rPr>
            </w:pPr>
          </w:p>
          <w:p w14:paraId="479730F6" w14:textId="35266BB4" w:rsidR="00936A0A" w:rsidRDefault="00936A0A" w:rsidP="00802410">
            <w:pPr>
              <w:spacing w:line="276" w:lineRule="auto"/>
              <w:ind w:left="1012" w:right="178"/>
            </w:pPr>
            <w:r w:rsidRPr="00936A0A">
              <w:t xml:space="preserve">In addition, the MSCI ESG analysis includes, when the data is available, the monitoring of greenhouse gas emissions (PAI 1), exposure to fossil fuels (PAI 4), share of non-renewable energy consumption and production (PAI 5), energy consumption intensity by high climate impact sectors (PAI 6), activities negatively affecting biodiversity areas (PAI 7) the lack of processes and compliance mechanisms to monitor adherence to the UN Global Compact and OECD Guidelines for Multinational Enterprises (PAI 11), the unadjusted gender pay gap (PAI 12), and board parity (PAI 13). The Investment Manager also includes two other PAIs: the deforestation policy (PAI 15) and the lack of a human rights policy (PAI 9). </w:t>
            </w:r>
          </w:p>
          <w:p w14:paraId="50362587" w14:textId="77777777" w:rsidR="00936A0A" w:rsidRPr="00936A0A" w:rsidRDefault="00936A0A" w:rsidP="00802410">
            <w:pPr>
              <w:spacing w:line="276" w:lineRule="auto"/>
              <w:ind w:left="1012" w:right="178"/>
            </w:pPr>
          </w:p>
          <w:p w14:paraId="4EAEE87D" w14:textId="77777777" w:rsidR="005466ED" w:rsidRPr="009A0F89" w:rsidRDefault="005466ED" w:rsidP="00721AB4">
            <w:pPr>
              <w:spacing w:after="160" w:line="259" w:lineRule="auto"/>
              <w:ind w:left="993"/>
            </w:pPr>
            <w:r w:rsidRPr="009A0F89">
              <w:t>Information on the principal adverse impacts on sustainability factors is available in the Annual Report pursuant to Article 11(2) of the SFDR.</w:t>
            </w:r>
          </w:p>
          <w:p w14:paraId="2719DF20" w14:textId="41F61DDB" w:rsidR="005466ED" w:rsidRPr="009A0F89" w:rsidRDefault="005466ED" w:rsidP="00721AB4">
            <w:pPr>
              <w:spacing w:after="160" w:line="259" w:lineRule="auto"/>
              <w:ind w:left="993"/>
            </w:pPr>
            <w:r w:rsidRPr="009A0F89">
              <w:rPr>
                <w:noProof/>
              </w:rPr>
              <mc:AlternateContent>
                <mc:Choice Requires="wps">
                  <w:drawing>
                    <wp:anchor distT="0" distB="0" distL="114300" distR="114300" simplePos="0" relativeHeight="251684864" behindDoc="0" locked="0" layoutInCell="1" allowOverlap="1" wp14:anchorId="2BCF075F" wp14:editId="405A83FB">
                      <wp:simplePos x="0" y="0"/>
                      <wp:positionH relativeFrom="column">
                        <wp:posOffset>285115</wp:posOffset>
                      </wp:positionH>
                      <wp:positionV relativeFrom="paragraph">
                        <wp:posOffset>13714</wp:posOffset>
                      </wp:positionV>
                      <wp:extent cx="179705" cy="193675"/>
                      <wp:effectExtent l="0" t="0" r="0" b="0"/>
                      <wp:wrapNone/>
                      <wp:docPr id="77" name="Rectangle 77"/>
                      <wp:cNvGraphicFramePr/>
                      <a:graphic xmlns:a="http://schemas.openxmlformats.org/drawingml/2006/main">
                        <a:graphicData uri="http://schemas.microsoft.com/office/word/2010/wordprocessingShape">
                          <wps:wsp>
                            <wps:cNvSpPr/>
                            <wps:spPr>
                              <a:xfrm>
                                <a:off x="0" y="0"/>
                                <a:ext cx="179705" cy="193675"/>
                              </a:xfrm>
                              <a:prstGeom prst="rect">
                                <a:avLst/>
                              </a:prstGeom>
                              <a:solidFill>
                                <a:sysClr val="window" lastClr="FFFFFF">
                                  <a:lumMod val="9500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A67392" id="Rectangle 77" o:spid="_x0000_s1026" style="position:absolute;margin-left:22.45pt;margin-top:1.1pt;width:14.15pt;height:15.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" fillcolor="#f2f2f2" stroked="f" strokeweight="1pt"/>
                  </w:pict>
                </mc:Fallback>
              </mc:AlternateContent>
            </w:r>
            <w:r w:rsidRPr="009A0F89">
              <w:t>No</w:t>
            </w:r>
          </w:p>
          <w:p w14:paraId="26918EB1" w14:textId="77777777" w:rsidR="005466ED" w:rsidRPr="00960E40" w:rsidRDefault="005466ED" w:rsidP="00721AB4">
            <w:pPr>
              <w:ind w:left="1440"/>
              <w:rPr>
                <w:rFonts w:ascii="Calibri" w:eastAsia="Calibri" w:hAnsi="Calibri"/>
                <w:noProof/>
                <w:sz w:val="22"/>
                <w:szCs w:val="22"/>
              </w:rPr>
            </w:pPr>
          </w:p>
        </w:tc>
      </w:tr>
      <w:tr w:rsidR="005466ED" w:rsidRPr="00960E40" w14:paraId="58E95DDD" w14:textId="77777777" w:rsidTr="00721AB4">
        <w:trPr>
          <w:trHeight w:val="751"/>
        </w:trPr>
        <w:tc>
          <w:tcPr>
            <w:tcW w:w="1711" w:type="dxa"/>
          </w:tcPr>
          <w:p w14:paraId="7CBC62EA" w14:textId="77777777" w:rsidR="005466ED" w:rsidRDefault="005466ED" w:rsidP="00936A0A">
            <w:pPr>
              <w:ind w:right="-1237"/>
              <w:rPr>
                <w:rFonts w:ascii="Calibri" w:hAnsi="Calibri"/>
                <w:b/>
                <w:noProof/>
                <w:szCs w:val="24"/>
                <w:shd w:val="clear" w:color="auto" w:fill="F2F2F2" w:themeFill="background1" w:themeFillShade="F2"/>
                <w:lang w:eastAsia="en-IE"/>
              </w:rPr>
            </w:pPr>
          </w:p>
          <w:p w14:paraId="622BB82C" w14:textId="77777777" w:rsidR="005466ED" w:rsidRDefault="005466ED" w:rsidP="00936A0A">
            <w:pPr>
              <w:ind w:right="-1237"/>
              <w:rPr>
                <w:rFonts w:ascii="Calibri" w:hAnsi="Calibri"/>
                <w:b/>
                <w:noProof/>
                <w:szCs w:val="24"/>
                <w:shd w:val="clear" w:color="auto" w:fill="F2F2F2" w:themeFill="background1" w:themeFillShade="F2"/>
                <w:lang w:eastAsia="en-IE"/>
              </w:rPr>
            </w:pPr>
          </w:p>
          <w:p w14:paraId="424551EA" w14:textId="77777777" w:rsidR="005466ED" w:rsidRDefault="005466ED" w:rsidP="00936A0A">
            <w:pPr>
              <w:ind w:right="-1237"/>
              <w:rPr>
                <w:rFonts w:ascii="Calibri" w:hAnsi="Calibri"/>
                <w:b/>
                <w:noProof/>
                <w:szCs w:val="24"/>
                <w:shd w:val="clear" w:color="auto" w:fill="F2F2F2" w:themeFill="background1" w:themeFillShade="F2"/>
                <w:lang w:eastAsia="en-IE"/>
              </w:rPr>
            </w:pPr>
          </w:p>
          <w:p w14:paraId="7864675B" w14:textId="77777777" w:rsidR="005466ED" w:rsidRDefault="005466ED" w:rsidP="00721AB4">
            <w:pPr>
              <w:ind w:right="-2"/>
              <w:rPr>
                <w:rFonts w:ascii="Calibri" w:eastAsia="Calibri" w:hAnsi="Calibri"/>
                <w:b/>
                <w:bCs/>
                <w:noProof/>
                <w:sz w:val="24"/>
              </w:rPr>
            </w:pPr>
          </w:p>
        </w:tc>
        <w:tc>
          <w:tcPr>
            <w:tcW w:w="9488" w:type="dxa"/>
            <w:gridSpan w:val="7"/>
          </w:tcPr>
          <w:p w14:paraId="3EDDF6BC" w14:textId="4DB735DE" w:rsidR="005466ED" w:rsidRDefault="005466ED" w:rsidP="00721AB4">
            <w:pPr>
              <w:ind w:left="720"/>
              <w:rPr>
                <w:rFonts w:ascii="Calibri" w:eastAsia="Calibri" w:hAnsi="Calibri"/>
                <w:bCs/>
                <w:i/>
                <w:noProof/>
                <w:color w:val="C00000"/>
                <w:szCs w:val="24"/>
              </w:rPr>
            </w:pPr>
            <w:r w:rsidRPr="003A1C01">
              <w:rPr>
                <w:rFonts w:ascii="Calibri" w:hAnsi="Calibri"/>
                <w:noProof/>
                <w:szCs w:val="24"/>
                <w:lang w:eastAsia="en-IE"/>
              </w:rPr>
              <w:drawing>
                <wp:anchor distT="0" distB="0" distL="114300" distR="114300" simplePos="0" relativeHeight="251686912" behindDoc="0" locked="0" layoutInCell="1" allowOverlap="1" wp14:anchorId="6B85FE10" wp14:editId="0E708967">
                  <wp:simplePos x="0" y="0"/>
                  <wp:positionH relativeFrom="page">
                    <wp:posOffset>-1313180</wp:posOffset>
                  </wp:positionH>
                  <wp:positionV relativeFrom="paragraph">
                    <wp:posOffset>3810</wp:posOffset>
                  </wp:positionV>
                  <wp:extent cx="1714500" cy="600075"/>
                  <wp:effectExtent l="0" t="0" r="0" b="9525"/>
                  <wp:wrapNone/>
                  <wp:docPr id="234" name="Graphic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1714500" cy="600075"/>
                          </a:xfrm>
                          <a:prstGeom prst="rect">
                            <a:avLst/>
                          </a:prstGeom>
                        </pic:spPr>
                      </pic:pic>
                    </a:graphicData>
                  </a:graphic>
                  <wp14:sizeRelH relativeFrom="margin">
                    <wp14:pctWidth>0</wp14:pctWidth>
                  </wp14:sizeRelH>
                  <wp14:sizeRelV relativeFrom="margin">
                    <wp14:pctHeight>0</wp14:pctHeight>
                  </wp14:sizeRelV>
                </wp:anchor>
              </w:drawing>
            </w:r>
            <w:r w:rsidRPr="003A1C01">
              <w:rPr>
                <w:rFonts w:ascii="Calibri" w:eastAsia="Calibri" w:hAnsi="Calibri"/>
                <w:b/>
                <w:bCs/>
                <w:noProof/>
                <w:sz w:val="24"/>
                <w:szCs w:val="24"/>
              </w:rPr>
              <w:t>What investment strategy does this financial product follow?</w:t>
            </w:r>
            <w:r>
              <w:rPr>
                <w:rFonts w:ascii="Calibri" w:eastAsia="Calibri" w:hAnsi="Calibri"/>
                <w:b/>
                <w:bCs/>
                <w:noProof/>
                <w:sz w:val="24"/>
                <w:szCs w:val="24"/>
              </w:rPr>
              <w:t xml:space="preserve"> </w:t>
            </w:r>
          </w:p>
          <w:p w14:paraId="644F5AB1" w14:textId="77777777" w:rsidR="005466ED" w:rsidRDefault="005466ED" w:rsidP="00721AB4">
            <w:pPr>
              <w:ind w:left="284"/>
              <w:rPr>
                <w:rFonts w:ascii="Calibri" w:eastAsia="Calibri" w:hAnsi="Calibri"/>
                <w:bCs/>
                <w:noProof/>
                <w:sz w:val="22"/>
                <w:szCs w:val="24"/>
              </w:rPr>
            </w:pPr>
          </w:p>
          <w:p w14:paraId="535734AE" w14:textId="170DC28D" w:rsidR="005466ED" w:rsidRPr="00380B73" w:rsidRDefault="005466ED" w:rsidP="0040274F">
            <w:pPr>
              <w:spacing w:after="160" w:line="259" w:lineRule="auto"/>
              <w:ind w:left="729"/>
              <w:rPr>
                <w:rFonts w:eastAsia="Arial" w:cs="Arial"/>
              </w:rPr>
            </w:pPr>
            <w:r w:rsidRPr="00380B73">
              <w:rPr>
                <w:rFonts w:eastAsia="Arial" w:cs="Arial"/>
              </w:rPr>
              <w:t xml:space="preserve">The Sub-Fund is actively managed and in order to achieve its investment objective, the Sub-Fund will invest, in a manner consistent with the UCITS Regulations and Central Bank requirements, at least, 70% of its net assets in equities of the </w:t>
            </w:r>
            <w:r w:rsidR="00B84916" w:rsidRPr="00B84916">
              <w:rPr>
                <w:rFonts w:eastAsia="Arial" w:cs="Arial"/>
              </w:rPr>
              <w:t xml:space="preserve">S&amp;P 500 Index (USD, NR) </w:t>
            </w:r>
            <w:r w:rsidRPr="00380B73">
              <w:rPr>
                <w:rFonts w:eastAsia="Arial" w:cs="Arial"/>
              </w:rPr>
              <w:t xml:space="preserve">(the </w:t>
            </w:r>
            <w:r w:rsidRPr="00380B73">
              <w:rPr>
                <w:rFonts w:eastAsia="Arial" w:cs="Arial"/>
                <w:b/>
                <w:bCs/>
              </w:rPr>
              <w:t>Benchmark</w:t>
            </w:r>
            <w:r w:rsidRPr="00380B73">
              <w:rPr>
                <w:rFonts w:eastAsia="Arial" w:cs="Arial"/>
              </w:rPr>
              <w:t xml:space="preserve">) and up to 30% of its net assets in </w:t>
            </w:r>
            <w:r w:rsidR="00930A5E">
              <w:rPr>
                <w:rFonts w:eastAsia="Arial" w:cs="Arial"/>
              </w:rPr>
              <w:t xml:space="preserve">investment </w:t>
            </w:r>
            <w:r w:rsidR="0040274F">
              <w:rPr>
                <w:rFonts w:cs="Arial"/>
              </w:rPr>
              <w:t>grade fixed or floating rate bonds issued by corporate or sovereign issuers</w:t>
            </w:r>
            <w:r w:rsidRPr="00380B73">
              <w:rPr>
                <w:rFonts w:eastAsia="Arial" w:cs="Arial"/>
              </w:rPr>
              <w:t>. An investment grade rating is a classification of BBB- or above by Standard &amp; Poor or the deemed equivalent by the Investment Manager or the Investment Manager’s internal rating.</w:t>
            </w:r>
          </w:p>
          <w:p w14:paraId="538CE521" w14:textId="73D187BE" w:rsidR="005466ED" w:rsidRDefault="005466ED" w:rsidP="00721AB4">
            <w:pPr>
              <w:spacing w:after="160" w:line="259" w:lineRule="auto"/>
              <w:ind w:left="729"/>
              <w:rPr>
                <w:rFonts w:eastAsia="Arial" w:cs="Arial"/>
                <w:lang w:val="en-US"/>
              </w:rPr>
            </w:pPr>
            <w:r w:rsidRPr="00B04A31">
              <w:rPr>
                <w:rFonts w:eastAsia="Arial" w:cs="Arial"/>
                <w:lang w:val="en-US"/>
              </w:rPr>
              <w:t xml:space="preserve">The selection of equity securities for the Sub-Fund is performed using the Investment Manager’s proprietary quantitative trend-following model. The quantitative model rates all stocks in the investment universe based on a momentum strategy </w:t>
            </w:r>
            <w:proofErr w:type="spellStart"/>
            <w:r w:rsidRPr="00B04A31">
              <w:rPr>
                <w:rFonts w:eastAsia="Arial" w:cs="Arial"/>
                <w:lang w:val="en-US"/>
              </w:rPr>
              <w:t>analysing</w:t>
            </w:r>
            <w:proofErr w:type="spellEnd"/>
            <w:r w:rsidRPr="00B04A31">
              <w:rPr>
                <w:rFonts w:eastAsia="Arial" w:cs="Arial"/>
                <w:lang w:val="en-US"/>
              </w:rPr>
              <w:t xml:space="preserve"> extensive historical data to detect stable trends in the market. The portfolio construction process involves an optimization in order to build a high-momentum portfolio under various risk management constraints. Apart from the ESG screening and placing orders for purchases or sales of securities performed by the Investment Manager, there is no manual intervention in the model’s investment decisions.</w:t>
            </w:r>
            <w:r w:rsidRPr="00C065A3">
              <w:rPr>
                <w:rFonts w:eastAsia="Arial" w:cs="Arial"/>
                <w:lang w:val="en-US"/>
              </w:rPr>
              <w:t xml:space="preserve"> As part of </w:t>
            </w:r>
            <w:r>
              <w:rPr>
                <w:rFonts w:eastAsia="Arial" w:cs="Arial"/>
                <w:lang w:val="en-US"/>
              </w:rPr>
              <w:t>the Investment Manager’s</w:t>
            </w:r>
            <w:r w:rsidRPr="00C065A3">
              <w:rPr>
                <w:rFonts w:eastAsia="Arial" w:cs="Arial"/>
                <w:lang w:val="en-US"/>
              </w:rPr>
              <w:t xml:space="preserve"> strategy</w:t>
            </w:r>
            <w:r w:rsidR="000F3094">
              <w:rPr>
                <w:rFonts w:eastAsia="Arial" w:cs="Arial"/>
                <w:lang w:val="en-US"/>
              </w:rPr>
              <w:t xml:space="preserve"> to promote environmental and social characteristics</w:t>
            </w:r>
            <w:r w:rsidRPr="00C065A3">
              <w:rPr>
                <w:rFonts w:eastAsia="Arial" w:cs="Arial"/>
                <w:lang w:val="en-US"/>
              </w:rPr>
              <w:t xml:space="preserve">, the current and future </w:t>
            </w:r>
            <w:r w:rsidR="000F3094">
              <w:rPr>
                <w:rFonts w:eastAsia="Arial" w:cs="Arial"/>
                <w:lang w:val="en-US"/>
              </w:rPr>
              <w:t xml:space="preserve">material </w:t>
            </w:r>
            <w:r w:rsidRPr="00C065A3">
              <w:rPr>
                <w:rFonts w:eastAsia="Arial" w:cs="Arial"/>
                <w:lang w:val="en-US"/>
              </w:rPr>
              <w:t>sustainability</w:t>
            </w:r>
            <w:r w:rsidR="000F3094">
              <w:rPr>
                <w:rFonts w:eastAsia="Arial" w:cs="Arial"/>
                <w:lang w:val="en-US"/>
              </w:rPr>
              <w:t>-related impacts, risks, and opportunities</w:t>
            </w:r>
            <w:r w:rsidRPr="00C065A3">
              <w:rPr>
                <w:rFonts w:eastAsia="Arial" w:cs="Arial"/>
                <w:lang w:val="en-US"/>
              </w:rPr>
              <w:t xml:space="preserve"> of issuers </w:t>
            </w:r>
            <w:r>
              <w:rPr>
                <w:rFonts w:eastAsia="Arial" w:cs="Arial"/>
                <w:lang w:val="en-US"/>
              </w:rPr>
              <w:t>will be</w:t>
            </w:r>
            <w:r w:rsidRPr="00C065A3">
              <w:rPr>
                <w:rFonts w:eastAsia="Arial" w:cs="Arial"/>
                <w:lang w:val="en-US"/>
              </w:rPr>
              <w:t xml:space="preserve"> </w:t>
            </w:r>
            <w:r w:rsidR="00B677D2">
              <w:rPr>
                <w:rFonts w:eastAsia="Arial" w:cs="Arial"/>
                <w:lang w:val="en-US"/>
              </w:rPr>
              <w:t>integrated</w:t>
            </w:r>
            <w:r w:rsidR="00B677D2" w:rsidRPr="00C065A3">
              <w:rPr>
                <w:rFonts w:eastAsia="Arial" w:cs="Arial"/>
                <w:lang w:val="en-US"/>
              </w:rPr>
              <w:t xml:space="preserve"> </w:t>
            </w:r>
            <w:r w:rsidRPr="00C065A3">
              <w:rPr>
                <w:rFonts w:eastAsia="Arial" w:cs="Arial"/>
                <w:lang w:val="en-US"/>
              </w:rPr>
              <w:t>into investment decisions</w:t>
            </w:r>
            <w:r>
              <w:rPr>
                <w:rFonts w:eastAsia="Arial" w:cs="Arial"/>
                <w:lang w:val="en-US"/>
              </w:rPr>
              <w:t>.</w:t>
            </w:r>
            <w:r w:rsidRPr="00C065A3">
              <w:rPr>
                <w:rFonts w:eastAsia="Arial" w:cs="Arial"/>
                <w:lang w:val="en-US"/>
              </w:rPr>
              <w:t xml:space="preserve">  </w:t>
            </w:r>
            <w:r>
              <w:rPr>
                <w:rFonts w:eastAsia="Arial" w:cs="Arial"/>
                <w:lang w:val="en-US"/>
              </w:rPr>
              <w:t>S</w:t>
            </w:r>
            <w:r w:rsidRPr="00C065A3">
              <w:rPr>
                <w:rFonts w:eastAsia="Arial" w:cs="Arial"/>
                <w:lang w:val="en-US"/>
              </w:rPr>
              <w:t xml:space="preserve">ignificant negative impact of investment decisions on sustainability factors </w:t>
            </w:r>
            <w:r>
              <w:rPr>
                <w:rFonts w:eastAsia="Arial" w:cs="Arial"/>
                <w:lang w:val="en-US"/>
              </w:rPr>
              <w:t>will</w:t>
            </w:r>
            <w:r w:rsidRPr="00C065A3">
              <w:rPr>
                <w:rFonts w:eastAsia="Arial" w:cs="Arial"/>
                <w:lang w:val="en-US"/>
              </w:rPr>
              <w:t xml:space="preserve"> also</w:t>
            </w:r>
            <w:r>
              <w:rPr>
                <w:rFonts w:eastAsia="Arial" w:cs="Arial"/>
                <w:lang w:val="en-US"/>
              </w:rPr>
              <w:t xml:space="preserve"> be</w:t>
            </w:r>
            <w:r w:rsidRPr="00C065A3">
              <w:rPr>
                <w:rFonts w:eastAsia="Arial" w:cs="Arial"/>
                <w:lang w:val="en-US"/>
              </w:rPr>
              <w:t xml:space="preserve"> taken into account. </w:t>
            </w:r>
          </w:p>
          <w:p w14:paraId="5F3F0EBC" w14:textId="00678BBB" w:rsidR="005466ED" w:rsidRDefault="005466ED" w:rsidP="00721AB4">
            <w:pPr>
              <w:spacing w:after="160" w:line="259" w:lineRule="auto"/>
              <w:ind w:left="729"/>
              <w:rPr>
                <w:rFonts w:eastAsia="Arial" w:cs="Arial"/>
                <w:lang w:val="en-US"/>
              </w:rPr>
            </w:pPr>
            <w:r w:rsidRPr="00C065A3">
              <w:rPr>
                <w:rFonts w:eastAsia="Arial" w:cs="Arial"/>
                <w:lang w:val="en-US"/>
              </w:rPr>
              <w:t xml:space="preserve">The investment process is based on ESG integration, ESG ratings, normative and sector exclusions (including </w:t>
            </w:r>
            <w:r>
              <w:rPr>
                <w:rFonts w:eastAsia="Arial" w:cs="Arial"/>
                <w:lang w:val="en-US"/>
              </w:rPr>
              <w:t xml:space="preserve">UNGC and </w:t>
            </w:r>
            <w:r w:rsidRPr="00C065A3">
              <w:rPr>
                <w:rFonts w:eastAsia="Arial" w:cs="Arial"/>
                <w:lang w:val="en-US"/>
              </w:rPr>
              <w:t xml:space="preserve">controversial weapons) and positive selection. In addition, the </w:t>
            </w:r>
            <w:r>
              <w:rPr>
                <w:rFonts w:eastAsia="Arial" w:cs="Arial"/>
                <w:lang w:val="en-US"/>
              </w:rPr>
              <w:t>Investment Manager will</w:t>
            </w:r>
            <w:r w:rsidRPr="00C065A3">
              <w:rPr>
                <w:rFonts w:eastAsia="Arial" w:cs="Arial"/>
                <w:lang w:val="en-US"/>
              </w:rPr>
              <w:t xml:space="preserve"> observe the United Nations Principles for Responsible Investment with respect to </w:t>
            </w:r>
            <w:r>
              <w:rPr>
                <w:rFonts w:eastAsia="Arial" w:cs="Arial"/>
                <w:lang w:val="en-US"/>
              </w:rPr>
              <w:t>ESG</w:t>
            </w:r>
            <w:r w:rsidRPr="00C065A3">
              <w:rPr>
                <w:rFonts w:eastAsia="Arial" w:cs="Arial"/>
                <w:lang w:val="en-US"/>
              </w:rPr>
              <w:t xml:space="preserve"> issues</w:t>
            </w:r>
            <w:r>
              <w:rPr>
                <w:rFonts w:eastAsia="Arial" w:cs="Arial"/>
                <w:lang w:val="en-US"/>
              </w:rPr>
              <w:t xml:space="preserve"> </w:t>
            </w:r>
            <w:r w:rsidRPr="00C065A3">
              <w:rPr>
                <w:rFonts w:eastAsia="Arial" w:cs="Arial"/>
                <w:lang w:val="en-US"/>
              </w:rPr>
              <w:t xml:space="preserve">and </w:t>
            </w:r>
            <w:r>
              <w:rPr>
                <w:rFonts w:eastAsia="Arial" w:cs="Arial"/>
                <w:lang w:val="en-US"/>
              </w:rPr>
              <w:t xml:space="preserve">will </w:t>
            </w:r>
            <w:r w:rsidRPr="00C065A3">
              <w:rPr>
                <w:rFonts w:eastAsia="Arial" w:cs="Arial"/>
                <w:lang w:val="en-US"/>
              </w:rPr>
              <w:t>appl</w:t>
            </w:r>
            <w:r>
              <w:rPr>
                <w:rFonts w:eastAsia="Arial" w:cs="Arial"/>
                <w:lang w:val="en-US"/>
              </w:rPr>
              <w:t>y</w:t>
            </w:r>
            <w:r w:rsidRPr="00C065A3">
              <w:rPr>
                <w:rFonts w:eastAsia="Arial" w:cs="Arial"/>
                <w:lang w:val="en-US"/>
              </w:rPr>
              <w:t xml:space="preserve"> them in its commitments by actively exercising shareholder and creditor rights. The investment process consists of two stages. The first is based on </w:t>
            </w:r>
            <w:r w:rsidRPr="00801CCC">
              <w:rPr>
                <w:rFonts w:eastAsia="Arial" w:cs="Arial"/>
                <w:lang w:val="en-US"/>
              </w:rPr>
              <w:t>sector</w:t>
            </w:r>
            <w:r w:rsidRPr="00C065A3">
              <w:rPr>
                <w:rFonts w:eastAsia="Arial" w:cs="Arial"/>
                <w:lang w:val="en-US"/>
              </w:rPr>
              <w:t xml:space="preserve">-based exclusions and the exclusion of controversial activities. The </w:t>
            </w:r>
            <w:r>
              <w:rPr>
                <w:rFonts w:eastAsia="Arial" w:cs="Arial"/>
                <w:lang w:val="en-US"/>
              </w:rPr>
              <w:t>Sub-</w:t>
            </w:r>
            <w:r w:rsidRPr="00C065A3">
              <w:rPr>
                <w:rFonts w:eastAsia="Arial" w:cs="Arial"/>
                <w:lang w:val="en-US"/>
              </w:rPr>
              <w:t xml:space="preserve">Fund </w:t>
            </w:r>
            <w:r>
              <w:rPr>
                <w:rFonts w:eastAsia="Arial" w:cs="Arial"/>
                <w:lang w:val="en-US"/>
              </w:rPr>
              <w:t>will</w:t>
            </w:r>
            <w:r w:rsidRPr="00C065A3">
              <w:rPr>
                <w:rFonts w:eastAsia="Arial" w:cs="Arial"/>
                <w:lang w:val="en-US"/>
              </w:rPr>
              <w:t xml:space="preserve"> not invest in issuers involved in the manufacture and distribution of non-conventional weapons. In addition, issuers in other controversial business sectors are excluded if a certain turnover threshold is exceeded. These include coal mining, coal-fired power generation, coal development projects or infrastructure, tobacco and fossil fuel extraction in the Arctic or from the exploration, production and use of unconventional oil and gas (shale oil/gas and oil sands). Issuers that significantly violate the </w:t>
            </w:r>
            <w:r w:rsidR="00A11CC9">
              <w:rPr>
                <w:rFonts w:eastAsia="Arial" w:cs="Arial"/>
                <w:lang w:val="en-US"/>
              </w:rPr>
              <w:t>UNGC principles and OECG guidelines</w:t>
            </w:r>
            <w:r w:rsidRPr="00C065A3">
              <w:rPr>
                <w:rFonts w:eastAsia="Arial" w:cs="Arial"/>
                <w:lang w:val="en-US"/>
              </w:rPr>
              <w:t xml:space="preserve"> are also excluded. </w:t>
            </w:r>
            <w:r w:rsidR="00C15ED2">
              <w:rPr>
                <w:rFonts w:cs="Arial"/>
                <w:bCs/>
              </w:rPr>
              <w:t>The Investment manager will rely on MSCI’s data to determine whether c</w:t>
            </w:r>
            <w:proofErr w:type="spellStart"/>
            <w:r w:rsidR="00C15ED2">
              <w:rPr>
                <w:rFonts w:eastAsia="Arial" w:cs="Arial"/>
                <w:lang w:val="en-US"/>
              </w:rPr>
              <w:t>ompanies</w:t>
            </w:r>
            <w:proofErr w:type="spellEnd"/>
            <w:r w:rsidR="00C15ED2">
              <w:rPr>
                <w:rFonts w:eastAsia="Arial" w:cs="Arial"/>
                <w:lang w:val="en-US"/>
              </w:rPr>
              <w:t xml:space="preserve"> are considered to have </w:t>
            </w:r>
            <w:r w:rsidR="00C15ED2" w:rsidRPr="00A11CC9">
              <w:rPr>
                <w:rFonts w:eastAsia="Arial" w:cs="Arial"/>
                <w:lang w:val="en-US"/>
              </w:rPr>
              <w:t>significantly violate</w:t>
            </w:r>
            <w:r w:rsidR="00C15ED2">
              <w:rPr>
                <w:rFonts w:eastAsia="Arial" w:cs="Arial"/>
                <w:lang w:val="en-US"/>
              </w:rPr>
              <w:t xml:space="preserve">d the UNGC principles and/or OECD Guidelines. </w:t>
            </w:r>
          </w:p>
          <w:p w14:paraId="112523C8" w14:textId="5FED7FF8" w:rsidR="005466ED" w:rsidRDefault="005466ED" w:rsidP="00721AB4">
            <w:pPr>
              <w:spacing w:after="160" w:line="259" w:lineRule="auto"/>
              <w:ind w:left="729"/>
              <w:rPr>
                <w:rFonts w:eastAsia="Arial" w:cs="Arial"/>
                <w:lang w:val="en-US"/>
              </w:rPr>
            </w:pPr>
            <w:r w:rsidRPr="00C065A3">
              <w:rPr>
                <w:rFonts w:eastAsia="Arial" w:cs="Arial"/>
                <w:lang w:val="en-US"/>
              </w:rPr>
              <w:t xml:space="preserve">ESG ratings </w:t>
            </w:r>
            <w:r w:rsidRPr="00B04A31">
              <w:rPr>
                <w:rFonts w:eastAsia="Arial" w:cs="Arial"/>
                <w:lang w:val="en-US"/>
              </w:rPr>
              <w:t>by MSCI or another internal or external rating acceptable to the Investment Manager</w:t>
            </w:r>
            <w:r w:rsidRPr="005020A5">
              <w:rPr>
                <w:rFonts w:eastAsia="Arial" w:cs="Arial"/>
                <w:lang w:val="en-US"/>
              </w:rPr>
              <w:t xml:space="preserve"> </w:t>
            </w:r>
            <w:r>
              <w:rPr>
                <w:rFonts w:eastAsia="Arial" w:cs="Arial"/>
                <w:lang w:val="en-US"/>
              </w:rPr>
              <w:t>will be</w:t>
            </w:r>
            <w:r w:rsidRPr="00C065A3">
              <w:rPr>
                <w:rFonts w:eastAsia="Arial" w:cs="Arial"/>
                <w:lang w:val="en-US"/>
              </w:rPr>
              <w:t xml:space="preserve"> </w:t>
            </w:r>
            <w:r>
              <w:rPr>
                <w:rFonts w:eastAsia="Arial" w:cs="Arial"/>
                <w:lang w:val="en-US"/>
              </w:rPr>
              <w:t>applied</w:t>
            </w:r>
            <w:r w:rsidRPr="00C065A3">
              <w:rPr>
                <w:rFonts w:eastAsia="Arial" w:cs="Arial"/>
                <w:lang w:val="en-US"/>
              </w:rPr>
              <w:t xml:space="preserve"> at the second level. In addition, this results in positive bias for issuers with lower sustainability risks (best-in-class approach).</w:t>
            </w:r>
          </w:p>
          <w:p w14:paraId="58DA6F32" w14:textId="455999D1" w:rsidR="005466ED" w:rsidRDefault="00CA4C2F" w:rsidP="00721AB4">
            <w:pPr>
              <w:spacing w:after="160" w:line="259" w:lineRule="auto"/>
              <w:ind w:left="729"/>
              <w:rPr>
                <w:rFonts w:eastAsia="Arial" w:cs="Arial"/>
                <w:lang w:val="en-US"/>
              </w:rPr>
            </w:pPr>
            <w:r w:rsidRPr="00CA4C2F">
              <w:rPr>
                <w:rFonts w:eastAsia="Arial" w:cs="Arial"/>
                <w:lang w:val="en-US"/>
              </w:rPr>
              <w:t xml:space="preserve">The </w:t>
            </w:r>
            <w:r w:rsidR="00D62129">
              <w:rPr>
                <w:rFonts w:eastAsia="Arial" w:cs="Arial"/>
                <w:lang w:val="en-US"/>
              </w:rPr>
              <w:t>Investment Manager</w:t>
            </w:r>
            <w:r w:rsidRPr="00CA4C2F">
              <w:rPr>
                <w:rFonts w:eastAsia="Arial" w:cs="Arial"/>
                <w:lang w:val="en-US"/>
              </w:rPr>
              <w:t xml:space="preserve"> pledges that at least 90% of the Sub-Fund’s net asset</w:t>
            </w:r>
            <w:r>
              <w:rPr>
                <w:rFonts w:eastAsia="Arial" w:cs="Arial"/>
                <w:lang w:val="en-US"/>
              </w:rPr>
              <w:t xml:space="preserve"> value</w:t>
            </w:r>
            <w:r w:rsidRPr="00CA4C2F">
              <w:rPr>
                <w:rFonts w:eastAsia="Arial" w:cs="Arial"/>
                <w:lang w:val="en-US"/>
              </w:rPr>
              <w:t xml:space="preserve"> </w:t>
            </w:r>
            <w:r>
              <w:rPr>
                <w:rFonts w:eastAsia="Arial" w:cs="Arial"/>
                <w:lang w:val="en-US"/>
              </w:rPr>
              <w:t>is</w:t>
            </w:r>
            <w:r w:rsidRPr="00CA4C2F">
              <w:rPr>
                <w:rFonts w:eastAsia="Arial" w:cs="Arial"/>
                <w:lang w:val="en-US"/>
              </w:rPr>
              <w:t xml:space="preserve"> invested in securities with an ESG rating (accounting for the weight of each security).</w:t>
            </w:r>
            <w:r w:rsidR="005466ED" w:rsidRPr="00C065A3">
              <w:rPr>
                <w:rFonts w:eastAsia="Arial" w:cs="Arial"/>
                <w:lang w:val="en-US"/>
              </w:rPr>
              <w:t xml:space="preserve">The </w:t>
            </w:r>
            <w:r w:rsidR="005466ED">
              <w:rPr>
                <w:rFonts w:eastAsia="Arial" w:cs="Arial"/>
                <w:lang w:val="en-US"/>
              </w:rPr>
              <w:t>Sub-</w:t>
            </w:r>
            <w:r w:rsidR="005466ED" w:rsidRPr="00C065A3">
              <w:rPr>
                <w:rFonts w:eastAsia="Arial" w:cs="Arial"/>
                <w:lang w:val="en-US"/>
              </w:rPr>
              <w:t xml:space="preserve">Fund </w:t>
            </w:r>
            <w:r w:rsidR="005466ED">
              <w:rPr>
                <w:rFonts w:eastAsia="Arial" w:cs="Arial"/>
                <w:lang w:val="en-US"/>
              </w:rPr>
              <w:t>will focus</w:t>
            </w:r>
            <w:r w:rsidR="005466ED" w:rsidRPr="00C065A3">
              <w:rPr>
                <w:rFonts w:eastAsia="Arial" w:cs="Arial"/>
                <w:lang w:val="en-US"/>
              </w:rPr>
              <w:t xml:space="preserve"> on issuers with a high sustainability performance. The </w:t>
            </w:r>
            <w:r w:rsidR="005466ED">
              <w:rPr>
                <w:rFonts w:eastAsia="Arial" w:cs="Arial"/>
                <w:lang w:val="en-US"/>
              </w:rPr>
              <w:t xml:space="preserve">Investment Manager will construct the </w:t>
            </w:r>
            <w:r w:rsidR="00537CB6">
              <w:rPr>
                <w:rFonts w:eastAsia="Arial" w:cs="Arial"/>
                <w:lang w:val="en-US"/>
              </w:rPr>
              <w:t>Sub-</w:t>
            </w:r>
            <w:r w:rsidR="00537CB6" w:rsidRPr="00C065A3">
              <w:rPr>
                <w:rFonts w:eastAsia="Arial" w:cs="Arial"/>
                <w:lang w:val="en-US"/>
              </w:rPr>
              <w:t xml:space="preserve">Fund </w:t>
            </w:r>
            <w:r w:rsidR="005466ED">
              <w:rPr>
                <w:rFonts w:eastAsia="Arial" w:cs="Arial"/>
                <w:lang w:val="en-US"/>
              </w:rPr>
              <w:t xml:space="preserve">with an </w:t>
            </w:r>
            <w:r w:rsidR="005466ED" w:rsidRPr="00C065A3">
              <w:rPr>
                <w:rFonts w:eastAsia="Arial" w:cs="Arial"/>
                <w:lang w:val="en-US"/>
              </w:rPr>
              <w:t>aver</w:t>
            </w:r>
            <w:r w:rsidR="005466ED" w:rsidRPr="00B04A31">
              <w:rPr>
                <w:rFonts w:eastAsia="Arial" w:cs="Arial"/>
                <w:lang w:val="en-US"/>
              </w:rPr>
              <w:t xml:space="preserve">age ESG </w:t>
            </w:r>
            <w:r w:rsidR="00537CB6">
              <w:rPr>
                <w:rFonts w:eastAsia="Arial" w:cs="Arial"/>
                <w:lang w:val="en-US"/>
              </w:rPr>
              <w:t>score</w:t>
            </w:r>
            <w:r w:rsidR="00537CB6" w:rsidRPr="00B04A31">
              <w:rPr>
                <w:rFonts w:eastAsia="Arial" w:cs="Arial"/>
                <w:lang w:val="en-US"/>
              </w:rPr>
              <w:t xml:space="preserve"> </w:t>
            </w:r>
            <w:r w:rsidR="005466ED" w:rsidRPr="00B04A31">
              <w:rPr>
                <w:rFonts w:eastAsia="Arial" w:cs="Arial"/>
                <w:lang w:val="en-US"/>
              </w:rPr>
              <w:t>better than the</w:t>
            </w:r>
            <w:r w:rsidR="005466ED" w:rsidRPr="009F3F2D">
              <w:rPr>
                <w:rFonts w:eastAsia="Arial" w:cs="Arial"/>
                <w:lang w:val="en-US"/>
              </w:rPr>
              <w:t xml:space="preserve"> average ESG </w:t>
            </w:r>
            <w:r w:rsidR="00C53078">
              <w:rPr>
                <w:rFonts w:eastAsia="Arial" w:cs="Arial"/>
                <w:lang w:val="en-US"/>
              </w:rPr>
              <w:t>score</w:t>
            </w:r>
            <w:r w:rsidR="00C53078" w:rsidRPr="009F3F2D">
              <w:rPr>
                <w:rFonts w:eastAsia="Arial" w:cs="Arial"/>
                <w:lang w:val="en-US"/>
              </w:rPr>
              <w:t xml:space="preserve"> </w:t>
            </w:r>
            <w:r w:rsidR="005466ED" w:rsidRPr="009F3F2D">
              <w:rPr>
                <w:rFonts w:eastAsia="Arial" w:cs="Arial"/>
                <w:lang w:val="en-US"/>
              </w:rPr>
              <w:t>of the</w:t>
            </w:r>
            <w:r w:rsidR="005466ED" w:rsidRPr="00B04A31">
              <w:rPr>
                <w:rFonts w:eastAsia="Arial" w:cs="Arial"/>
                <w:lang w:val="en-US"/>
              </w:rPr>
              <w:t xml:space="preserve"> </w:t>
            </w:r>
            <w:r w:rsidR="005466ED">
              <w:rPr>
                <w:rFonts w:eastAsia="Arial" w:cs="Arial"/>
                <w:lang w:val="en-US"/>
              </w:rPr>
              <w:t>Benchmark</w:t>
            </w:r>
            <w:r w:rsidR="005466ED" w:rsidRPr="00B04A31">
              <w:rPr>
                <w:rFonts w:eastAsia="Arial" w:cs="Arial"/>
                <w:lang w:val="en-US"/>
              </w:rPr>
              <w:t>.</w:t>
            </w:r>
          </w:p>
          <w:p w14:paraId="4EE8AC34" w14:textId="77777777" w:rsidR="005466ED" w:rsidRDefault="005466ED" w:rsidP="00721AB4">
            <w:pPr>
              <w:spacing w:after="160" w:line="259" w:lineRule="auto"/>
              <w:ind w:left="729"/>
              <w:rPr>
                <w:rFonts w:eastAsia="Arial" w:cs="Arial"/>
                <w:lang w:val="en-US"/>
              </w:rPr>
            </w:pPr>
            <w:r w:rsidRPr="00B04A31">
              <w:rPr>
                <w:rFonts w:eastAsia="Arial" w:cs="Arial"/>
                <w:lang w:val="en-US"/>
              </w:rPr>
              <w:t>D</w:t>
            </w:r>
            <w:r w:rsidRPr="00C065A3">
              <w:rPr>
                <w:rFonts w:eastAsia="Arial" w:cs="Arial"/>
                <w:lang w:val="en-US"/>
              </w:rPr>
              <w:t xml:space="preserve">irect investments acquired for the </w:t>
            </w:r>
            <w:r>
              <w:rPr>
                <w:rFonts w:eastAsia="Arial" w:cs="Arial"/>
                <w:lang w:val="en-US"/>
              </w:rPr>
              <w:t>Sub-</w:t>
            </w:r>
            <w:r w:rsidRPr="00C065A3">
              <w:rPr>
                <w:rFonts w:eastAsia="Arial" w:cs="Arial"/>
                <w:lang w:val="en-US"/>
              </w:rPr>
              <w:t xml:space="preserve">Fund are subject to the minimum exclusions which guarantee a minimum level of environmental or social safeguards. However, there is no look-through </w:t>
            </w:r>
            <w:r>
              <w:rPr>
                <w:rFonts w:eastAsia="Arial" w:cs="Arial"/>
                <w:lang w:val="en-US"/>
              </w:rPr>
              <w:t>approach in relation to</w:t>
            </w:r>
            <w:r w:rsidRPr="00C065A3">
              <w:rPr>
                <w:rFonts w:eastAsia="Arial" w:cs="Arial"/>
                <w:lang w:val="en-US"/>
              </w:rPr>
              <w:t xml:space="preserve"> financial instruments (no look-through at the assets of a target fund or certificates).</w:t>
            </w:r>
          </w:p>
          <w:p w14:paraId="4F2314F7" w14:textId="0176A176" w:rsidR="005466ED" w:rsidRPr="00C065A3" w:rsidRDefault="005466ED" w:rsidP="00721AB4">
            <w:pPr>
              <w:spacing w:after="160" w:line="259" w:lineRule="auto"/>
              <w:ind w:left="729"/>
              <w:rPr>
                <w:rFonts w:eastAsia="Arial" w:cs="Arial"/>
                <w:lang w:val="en-US"/>
              </w:rPr>
            </w:pPr>
            <w:r>
              <w:rPr>
                <w:rFonts w:eastAsia="Arial" w:cs="Arial"/>
                <w:lang w:val="en-US"/>
              </w:rPr>
              <w:t>The Benchmark</w:t>
            </w:r>
            <w:r w:rsidRPr="00C065A3">
              <w:rPr>
                <w:rFonts w:eastAsia="Arial" w:cs="Arial"/>
                <w:lang w:val="en-US"/>
              </w:rPr>
              <w:t xml:space="preserve"> is a registered trademark of MSCI Limited</w:t>
            </w:r>
            <w:r w:rsidR="00217C7B">
              <w:rPr>
                <w:rFonts w:eastAsia="Arial" w:cs="Arial"/>
                <w:lang w:val="en-US"/>
              </w:rPr>
              <w:t>.</w:t>
            </w:r>
          </w:p>
          <w:p w14:paraId="0FE82BEA" w14:textId="77777777" w:rsidR="005466ED" w:rsidRPr="00630F50" w:rsidRDefault="005466ED" w:rsidP="00721AB4">
            <w:pPr>
              <w:ind w:left="1080"/>
              <w:rPr>
                <w:rFonts w:ascii="Calibri" w:eastAsia="Calibri" w:hAnsi="Calibri" w:cs="Calibri"/>
                <w:bCs/>
                <w:iCs/>
                <w:noProof/>
                <w:szCs w:val="22"/>
                <w:lang w:val="en-US"/>
              </w:rPr>
            </w:pPr>
          </w:p>
        </w:tc>
      </w:tr>
      <w:tr w:rsidR="005466ED" w:rsidRPr="008114F1" w14:paraId="47027FF5" w14:textId="77777777" w:rsidTr="00721AB4">
        <w:trPr>
          <w:trHeight w:val="930"/>
        </w:trPr>
        <w:tc>
          <w:tcPr>
            <w:tcW w:w="1794" w:type="dxa"/>
            <w:gridSpan w:val="2"/>
            <w:shd w:val="clear" w:color="auto" w:fill="F2F2F2" w:themeFill="background1" w:themeFillShade="F2"/>
          </w:tcPr>
          <w:p w14:paraId="0BC2C76C" w14:textId="77777777" w:rsidR="005466ED" w:rsidRPr="003A1C01" w:rsidRDefault="005466ED" w:rsidP="00721AB4">
            <w:pPr>
              <w:ind w:right="-2"/>
              <w:jc w:val="left"/>
              <w:rPr>
                <w:rFonts w:ascii="Calibri" w:hAnsi="Calibri"/>
                <w:noProof/>
                <w:szCs w:val="24"/>
                <w:lang w:eastAsia="en-IE"/>
              </w:rPr>
            </w:pPr>
            <w:r w:rsidRPr="00602521">
              <w:rPr>
                <w:rFonts w:ascii="Calibri" w:hAnsi="Calibri"/>
                <w:b/>
                <w:noProof/>
                <w:szCs w:val="24"/>
                <w:lang w:eastAsia="en-IE"/>
              </w:rPr>
              <w:t xml:space="preserve">The investment strategy </w:t>
            </w:r>
            <w:r w:rsidRPr="00602521">
              <w:rPr>
                <w:rFonts w:ascii="Calibri" w:hAnsi="Calibri"/>
                <w:noProof/>
                <w:szCs w:val="24"/>
                <w:lang w:eastAsia="en-IE"/>
              </w:rPr>
              <w:t>guides investment decisions based on factors such as investment objectives and risk tolerance.</w:t>
            </w:r>
          </w:p>
        </w:tc>
        <w:tc>
          <w:tcPr>
            <w:tcW w:w="9405" w:type="dxa"/>
            <w:gridSpan w:val="6"/>
            <w:vMerge w:val="restart"/>
          </w:tcPr>
          <w:p w14:paraId="02232F50" w14:textId="7E0DBE2D" w:rsidR="00A11CC9" w:rsidRPr="00A11CC9" w:rsidRDefault="005466ED" w:rsidP="00A11CC9">
            <w:pPr>
              <w:pStyle w:val="Paragraphedeliste"/>
              <w:numPr>
                <w:ilvl w:val="0"/>
                <w:numId w:val="14"/>
              </w:numPr>
              <w:ind w:left="1080"/>
              <w:contextualSpacing w:val="0"/>
              <w:rPr>
                <w:rFonts w:ascii="Calibri" w:eastAsia="Calibri" w:hAnsi="Calibri"/>
                <w:b/>
                <w:bCs/>
                <w:noProof/>
                <w:sz w:val="24"/>
                <w:szCs w:val="24"/>
              </w:rPr>
            </w:pPr>
            <w:r w:rsidRPr="00A71F62">
              <w:rPr>
                <w:rFonts w:ascii="Calibri" w:eastAsia="Calibri" w:hAnsi="Calibri" w:cs="Calibri"/>
                <w:b/>
                <w:bCs/>
                <w:i/>
                <w:iCs/>
                <w:noProof/>
                <w:sz w:val="22"/>
                <w:szCs w:val="22"/>
              </w:rPr>
              <w:t>What are the binding elements of the investment strategy used to select the investments to attain each of the environmental or social characteristics promoted by this financial product?</w:t>
            </w:r>
          </w:p>
          <w:p w14:paraId="404D8DD1" w14:textId="77777777" w:rsidR="005466ED" w:rsidRPr="008114F1" w:rsidRDefault="005466ED" w:rsidP="00721AB4">
            <w:pPr>
              <w:pStyle w:val="Paragraphedeliste"/>
              <w:ind w:left="1080"/>
              <w:contextualSpacing w:val="0"/>
              <w:rPr>
                <w:rFonts w:ascii="Calibri" w:eastAsia="Calibri" w:hAnsi="Calibri"/>
                <w:b/>
                <w:bCs/>
                <w:noProof/>
                <w:sz w:val="24"/>
                <w:szCs w:val="24"/>
              </w:rPr>
            </w:pPr>
          </w:p>
          <w:p w14:paraId="052B6C0B" w14:textId="29B7E63E" w:rsidR="00A11CC9" w:rsidRPr="00766094" w:rsidRDefault="005466ED" w:rsidP="00766094">
            <w:pPr>
              <w:pStyle w:val="Paragraphedeliste"/>
              <w:ind w:right="-2"/>
              <w:rPr>
                <w:rFonts w:eastAsia="Arial" w:cs="Arial"/>
                <w:lang w:val="en-US"/>
              </w:rPr>
            </w:pPr>
            <w:r w:rsidRPr="00C065A3">
              <w:rPr>
                <w:rFonts w:eastAsia="Calibri" w:cs="Arial"/>
                <w:bCs/>
                <w:iCs/>
                <w:noProof/>
                <w:lang w:val="en-US"/>
              </w:rPr>
              <w:t xml:space="preserve">The investment strategy </w:t>
            </w:r>
            <w:r>
              <w:rPr>
                <w:rFonts w:eastAsia="Calibri" w:cs="Arial"/>
                <w:bCs/>
                <w:iCs/>
                <w:noProof/>
                <w:lang w:val="en-US"/>
              </w:rPr>
              <w:t>excludes</w:t>
            </w:r>
            <w:r>
              <w:rPr>
                <w:rFonts w:eastAsia="Calibri" w:cs="Arial"/>
                <w:bCs/>
                <w:iCs/>
                <w:noProof/>
                <w:lang w:val="en-US"/>
              </w:rPr>
              <w:tab/>
              <w:t xml:space="preserve"> </w:t>
            </w:r>
            <w:r w:rsidRPr="004045F0">
              <w:rPr>
                <w:rFonts w:eastAsia="Calibri" w:cs="Arial"/>
                <w:bCs/>
                <w:iCs/>
                <w:noProof/>
                <w:lang w:val="en-US"/>
              </w:rPr>
              <w:t>companies that violate the UN Global Compact principles</w:t>
            </w:r>
            <w:r w:rsidR="009A3C34">
              <w:rPr>
                <w:rFonts w:eastAsia="Calibri" w:cs="Arial"/>
                <w:bCs/>
                <w:iCs/>
                <w:noProof/>
                <w:lang w:val="en-US"/>
              </w:rPr>
              <w:t xml:space="preserve"> or with serious controversies related to biodiversity</w:t>
            </w:r>
            <w:r>
              <w:rPr>
                <w:rFonts w:eastAsia="Calibri" w:cs="Arial"/>
                <w:bCs/>
                <w:iCs/>
                <w:noProof/>
                <w:lang w:val="en-US"/>
              </w:rPr>
              <w:t>,</w:t>
            </w:r>
            <w:r w:rsidRPr="004045F0">
              <w:rPr>
                <w:rFonts w:eastAsia="Calibri" w:cs="Arial"/>
                <w:bCs/>
                <w:iCs/>
                <w:noProof/>
                <w:lang w:val="en-US"/>
              </w:rPr>
              <w:t xml:space="preserve"> in addition to companies that are involved in and/or derive a specified proportion of their revenues from</w:t>
            </w:r>
            <w:r>
              <w:rPr>
                <w:rFonts w:eastAsia="Calibri" w:cs="Arial"/>
                <w:bCs/>
                <w:iCs/>
                <w:noProof/>
                <w:lang w:val="en-US"/>
              </w:rPr>
              <w:t xml:space="preserve"> </w:t>
            </w:r>
            <w:r w:rsidRPr="00DC07E1">
              <w:rPr>
                <w:rFonts w:eastAsia="Calibri" w:cs="Arial"/>
                <w:bCs/>
                <w:iCs/>
                <w:noProof/>
              </w:rPr>
              <w:t>non-conventional weapons, coal mining</w:t>
            </w:r>
            <w:r w:rsidR="00A11CC9">
              <w:rPr>
                <w:rFonts w:eastAsia="Calibri" w:cs="Arial"/>
                <w:bCs/>
                <w:iCs/>
                <w:noProof/>
              </w:rPr>
              <w:t xml:space="preserve"> (a</w:t>
            </w:r>
            <w:proofErr w:type="spellStart"/>
            <w:r w:rsidR="00A11CC9" w:rsidRPr="00232E5E">
              <w:rPr>
                <w:rFonts w:eastAsia="Arial" w:cs="Arial"/>
                <w:lang w:val="en-US"/>
              </w:rPr>
              <w:t>ny</w:t>
            </w:r>
            <w:proofErr w:type="spellEnd"/>
            <w:r w:rsidR="00A11CC9" w:rsidRPr="00232E5E">
              <w:rPr>
                <w:rFonts w:eastAsia="Arial" w:cs="Arial"/>
                <w:lang w:val="en-US"/>
              </w:rPr>
              <w:t xml:space="preserve"> company with an annual production in excess of 8 million </w:t>
            </w:r>
            <w:proofErr w:type="spellStart"/>
            <w:r w:rsidR="00A11CC9" w:rsidRPr="00232E5E">
              <w:rPr>
                <w:rFonts w:eastAsia="Arial" w:cs="Arial"/>
                <w:lang w:val="en-US"/>
              </w:rPr>
              <w:t>tonnes</w:t>
            </w:r>
            <w:proofErr w:type="spellEnd"/>
            <w:r w:rsidR="00A11CC9" w:rsidRPr="00232E5E">
              <w:rPr>
                <w:rFonts w:eastAsia="Arial" w:cs="Arial"/>
                <w:lang w:val="en-US"/>
              </w:rPr>
              <w:t xml:space="preserve"> or, alternatively, a production equivalent to 5% of its revenues</w:t>
            </w:r>
            <w:r w:rsidR="00A11CC9">
              <w:rPr>
                <w:rFonts w:eastAsia="Arial" w:cs="Arial"/>
                <w:lang w:val="en-US"/>
              </w:rPr>
              <w:t>)</w:t>
            </w:r>
            <w:r w:rsidRPr="00A11CC9">
              <w:rPr>
                <w:rFonts w:eastAsia="Calibri" w:cs="Arial"/>
                <w:bCs/>
                <w:iCs/>
                <w:noProof/>
              </w:rPr>
              <w:t>, coal-fired power generation</w:t>
            </w:r>
            <w:r w:rsidR="00A11CC9">
              <w:rPr>
                <w:rFonts w:eastAsia="Calibri" w:cs="Arial"/>
                <w:bCs/>
                <w:iCs/>
                <w:noProof/>
              </w:rPr>
              <w:t xml:space="preserve"> (a</w:t>
            </w:r>
            <w:proofErr w:type="spellStart"/>
            <w:r w:rsidR="00A11CC9" w:rsidRPr="00232E5E">
              <w:rPr>
                <w:rFonts w:eastAsia="Arial" w:cs="Arial"/>
                <w:lang w:val="en-US"/>
              </w:rPr>
              <w:t>ny</w:t>
            </w:r>
            <w:proofErr w:type="spellEnd"/>
            <w:r w:rsidR="00A11CC9" w:rsidRPr="00232E5E">
              <w:rPr>
                <w:rFonts w:eastAsia="Arial" w:cs="Arial"/>
                <w:lang w:val="en-US"/>
              </w:rPr>
              <w:t xml:space="preserve"> company for which coal accounts for more than 15% of its production mix or, alternatively, more than 15% of its installed </w:t>
            </w:r>
            <w:r w:rsidR="00A11CC9">
              <w:rPr>
                <w:rFonts w:eastAsia="Arial" w:cs="Arial"/>
                <w:lang w:val="en-US"/>
              </w:rPr>
              <w:t>capacity)</w:t>
            </w:r>
            <w:r w:rsidRPr="00A11CC9">
              <w:rPr>
                <w:rFonts w:eastAsia="Calibri" w:cs="Arial"/>
                <w:bCs/>
                <w:iCs/>
                <w:noProof/>
              </w:rPr>
              <w:t>, coal development projects or infrastructure, tobacco</w:t>
            </w:r>
            <w:r w:rsidR="00766094">
              <w:rPr>
                <w:rFonts w:eastAsia="Calibri" w:cs="Arial"/>
                <w:bCs/>
                <w:iCs/>
                <w:noProof/>
              </w:rPr>
              <w:t xml:space="preserve"> (</w:t>
            </w:r>
            <w:r w:rsidR="00766094" w:rsidRPr="00232E5E">
              <w:rPr>
                <w:rFonts w:eastAsia="Arial" w:cs="Arial"/>
                <w:lang w:val="en-US"/>
              </w:rPr>
              <w:t>all companies that generate more than 0% of their revenues from the production of tobacco</w:t>
            </w:r>
            <w:r w:rsidR="00766094">
              <w:rPr>
                <w:rFonts w:eastAsia="Arial" w:cs="Arial"/>
                <w:lang w:val="en-US"/>
              </w:rPr>
              <w:t>)</w:t>
            </w:r>
            <w:r w:rsidRPr="00A11CC9">
              <w:rPr>
                <w:rFonts w:eastAsia="Calibri" w:cs="Arial"/>
                <w:bCs/>
                <w:iCs/>
                <w:noProof/>
              </w:rPr>
              <w:t>, fossil fuel extraction in the Arctic</w:t>
            </w:r>
            <w:r w:rsidR="00766094">
              <w:rPr>
                <w:rFonts w:eastAsia="Calibri" w:cs="Arial"/>
                <w:bCs/>
                <w:iCs/>
                <w:noProof/>
              </w:rPr>
              <w:t xml:space="preserve"> (</w:t>
            </w:r>
            <w:r w:rsidR="00766094" w:rsidRPr="00232E5E">
              <w:rPr>
                <w:rFonts w:eastAsia="Arial" w:cs="Arial"/>
                <w:lang w:val="en-US"/>
              </w:rPr>
              <w:t>all companies from the energy sector that generate more than 10% of their revenues from the extraction and production of (conventional and unconventional) oil and gas in the Arctic</w:t>
            </w:r>
            <w:r w:rsidR="00766094">
              <w:rPr>
                <w:rFonts w:eastAsia="Arial" w:cs="Arial"/>
                <w:lang w:val="en-US"/>
              </w:rPr>
              <w:t>)</w:t>
            </w:r>
            <w:r w:rsidRPr="00766094">
              <w:rPr>
                <w:rFonts w:eastAsia="Calibri" w:cs="Arial"/>
                <w:bCs/>
                <w:iCs/>
                <w:noProof/>
              </w:rPr>
              <w:t>, unconventional oil and gas and extraction</w:t>
            </w:r>
            <w:r w:rsidR="00A11CC9" w:rsidRPr="00766094">
              <w:rPr>
                <w:rFonts w:eastAsia="Calibri" w:cs="Arial"/>
                <w:bCs/>
                <w:iCs/>
                <w:noProof/>
              </w:rPr>
              <w:t xml:space="preserve"> (</w:t>
            </w:r>
            <w:r w:rsidR="00A11CC9" w:rsidRPr="00766094">
              <w:rPr>
                <w:rFonts w:eastAsia="Arial" w:cs="Arial"/>
                <w:lang w:val="en-US"/>
              </w:rPr>
              <w:t>all companies from the energy sector that generate more than 5% of their revenues from the extraction and production of unconventional oil and gas. This includes shale oil and gas as well as oil sands)</w:t>
            </w:r>
            <w:r w:rsidR="009A3C34" w:rsidRPr="00766094">
              <w:rPr>
                <w:rFonts w:eastAsia="Calibri" w:cs="Arial"/>
                <w:bCs/>
                <w:iCs/>
                <w:noProof/>
              </w:rPr>
              <w:t xml:space="preserve"> and palm oil production</w:t>
            </w:r>
            <w:r w:rsidR="00766094">
              <w:rPr>
                <w:rFonts w:eastAsia="Calibri" w:cs="Arial"/>
                <w:bCs/>
                <w:iCs/>
                <w:noProof/>
              </w:rPr>
              <w:t xml:space="preserve"> (</w:t>
            </w:r>
            <w:r w:rsidR="00766094" w:rsidRPr="00232E5E">
              <w:rPr>
                <w:rFonts w:eastAsia="Arial" w:cs="Arial"/>
                <w:lang w:val="en-US"/>
              </w:rPr>
              <w:t>all companies that generate more than 5% of their revenues from the production of palm oil as well as any company involved in serious controversies linked to biodiversity</w:t>
            </w:r>
            <w:r w:rsidR="00766094">
              <w:rPr>
                <w:rFonts w:eastAsia="Arial" w:cs="Arial"/>
                <w:lang w:val="en-US"/>
              </w:rPr>
              <w:t>)</w:t>
            </w:r>
            <w:r w:rsidRPr="00766094">
              <w:rPr>
                <w:rFonts w:eastAsia="Calibri" w:cs="Arial"/>
                <w:bCs/>
                <w:iCs/>
                <w:noProof/>
              </w:rPr>
              <w:t xml:space="preserve">. </w:t>
            </w:r>
          </w:p>
          <w:p w14:paraId="40932952" w14:textId="77777777" w:rsidR="00A11CC9" w:rsidRDefault="00A11CC9" w:rsidP="00A11CC9">
            <w:pPr>
              <w:pStyle w:val="Paragraphedeliste"/>
              <w:ind w:right="-2"/>
              <w:rPr>
                <w:rFonts w:eastAsia="Calibri" w:cs="Arial"/>
                <w:bCs/>
                <w:iCs/>
                <w:noProof/>
                <w:lang w:val="en-US"/>
              </w:rPr>
            </w:pPr>
          </w:p>
          <w:p w14:paraId="76CE84D1" w14:textId="4CE590ED" w:rsidR="005466ED" w:rsidRPr="00A11CC9" w:rsidRDefault="00CA4C2F" w:rsidP="00A11CC9">
            <w:pPr>
              <w:pStyle w:val="Paragraphedeliste"/>
              <w:ind w:right="-2"/>
              <w:rPr>
                <w:rFonts w:eastAsia="Arial" w:cs="Arial"/>
                <w:lang w:val="en-US"/>
              </w:rPr>
            </w:pPr>
            <w:r w:rsidRPr="00A11CC9">
              <w:rPr>
                <w:rFonts w:eastAsia="Calibri" w:cs="Arial"/>
                <w:bCs/>
                <w:iCs/>
                <w:noProof/>
              </w:rPr>
              <w:t xml:space="preserve">The </w:t>
            </w:r>
            <w:r w:rsidR="00D62129" w:rsidRPr="00A11CC9">
              <w:rPr>
                <w:rFonts w:eastAsia="Calibri" w:cs="Arial"/>
                <w:bCs/>
                <w:iCs/>
                <w:noProof/>
              </w:rPr>
              <w:t>Investment Manager</w:t>
            </w:r>
            <w:r w:rsidRPr="00A11CC9">
              <w:rPr>
                <w:rFonts w:eastAsia="Calibri" w:cs="Arial"/>
                <w:bCs/>
                <w:iCs/>
                <w:noProof/>
              </w:rPr>
              <w:t xml:space="preserve"> pledges that at least 90% of the Sub-Fund’s net asset value is invested in securities with an ESG rating (accounting for the weight of each security).</w:t>
            </w:r>
            <w:r w:rsidR="005466ED" w:rsidRPr="00A11CC9">
              <w:rPr>
                <w:rFonts w:eastAsia="Calibri" w:cs="Arial"/>
                <w:bCs/>
                <w:iCs/>
                <w:noProof/>
              </w:rPr>
              <w:t xml:space="preserve"> The Investment Manager will construct the Sub-Fund to have an average ESG </w:t>
            </w:r>
            <w:r w:rsidRPr="00A11CC9">
              <w:rPr>
                <w:rFonts w:eastAsia="Calibri" w:cs="Arial"/>
                <w:bCs/>
                <w:iCs/>
                <w:noProof/>
              </w:rPr>
              <w:t xml:space="preserve">score </w:t>
            </w:r>
            <w:r w:rsidR="005466ED" w:rsidRPr="00A11CC9">
              <w:rPr>
                <w:rFonts w:eastAsia="Calibri" w:cs="Arial"/>
                <w:bCs/>
                <w:iCs/>
                <w:noProof/>
              </w:rPr>
              <w:t>better than the Benchmark</w:t>
            </w:r>
            <w:r w:rsidR="00766094">
              <w:rPr>
                <w:rFonts w:eastAsia="Calibri" w:cs="Arial"/>
                <w:bCs/>
                <w:iCs/>
                <w:noProof/>
              </w:rPr>
              <w:t xml:space="preserve"> so as to ensure the Sub-Fund </w:t>
            </w:r>
            <w:r w:rsidR="00766094" w:rsidRPr="00766094">
              <w:rPr>
                <w:rFonts w:eastAsia="Calibri" w:cs="Arial"/>
                <w:bCs/>
                <w:iCs/>
                <w:noProof/>
                <w:lang w:val="en-US"/>
              </w:rPr>
              <w:t>promotes the environmental characteristic of carbon emission intensity reduction and the social characteristics of the reduction of the production of controversial weapons and the reduction in environmental harm.</w:t>
            </w:r>
          </w:p>
          <w:p w14:paraId="6BCA33D8" w14:textId="77777777" w:rsidR="005466ED" w:rsidRPr="00C47D1A" w:rsidRDefault="005466ED" w:rsidP="00721AB4">
            <w:pPr>
              <w:pStyle w:val="Paragraphedeliste"/>
              <w:numPr>
                <w:ilvl w:val="0"/>
                <w:numId w:val="16"/>
              </w:numPr>
              <w:ind w:left="1080"/>
              <w:contextualSpacing w:val="0"/>
              <w:rPr>
                <w:rFonts w:ascii="Calibri" w:eastAsia="Calibri" w:hAnsi="Calibri" w:cs="Calibri"/>
                <w:bCs/>
                <w:iCs/>
                <w:noProof/>
                <w:szCs w:val="22"/>
              </w:rPr>
            </w:pPr>
            <w:r w:rsidRPr="00C47D1A">
              <w:rPr>
                <w:rFonts w:asciiTheme="minorHAnsi" w:eastAsia="Calibri" w:hAnsiTheme="minorHAnsi" w:cstheme="minorHAnsi"/>
                <w:b/>
                <w:bCs/>
                <w:i/>
                <w:iCs/>
                <w:noProof/>
                <w:sz w:val="22"/>
                <w:szCs w:val="22"/>
              </w:rPr>
              <w:t xml:space="preserve">What is the committed minimum rate to reduce the scope of the investments considered prior to the application of that investment strategy? </w:t>
            </w:r>
          </w:p>
          <w:p w14:paraId="4733D14A" w14:textId="77777777" w:rsidR="005466ED" w:rsidRPr="00C47D1A" w:rsidRDefault="005466ED" w:rsidP="00721AB4">
            <w:pPr>
              <w:pStyle w:val="Paragraphedeliste"/>
              <w:ind w:left="1080"/>
              <w:contextualSpacing w:val="0"/>
              <w:rPr>
                <w:rFonts w:ascii="Calibri" w:eastAsia="Calibri" w:hAnsi="Calibri" w:cs="Calibri"/>
                <w:bCs/>
                <w:iCs/>
                <w:noProof/>
                <w:szCs w:val="22"/>
              </w:rPr>
            </w:pPr>
          </w:p>
          <w:p w14:paraId="29F0EC69" w14:textId="77777777" w:rsidR="005466ED" w:rsidRPr="00114582" w:rsidRDefault="005466ED" w:rsidP="00721AB4">
            <w:pPr>
              <w:ind w:left="1080"/>
              <w:rPr>
                <w:rFonts w:eastAsia="Arial" w:cs="Arial"/>
                <w:lang w:val="en-US"/>
              </w:rPr>
            </w:pPr>
            <w:r>
              <w:rPr>
                <w:rFonts w:eastAsia="Arial" w:cs="Arial"/>
                <w:lang w:val="en-US"/>
              </w:rPr>
              <w:t>The Sub-Fund has no</w:t>
            </w:r>
            <w:r w:rsidRPr="00114582">
              <w:rPr>
                <w:rFonts w:eastAsia="Arial" w:cs="Arial"/>
                <w:lang w:val="en-US"/>
              </w:rPr>
              <w:t xml:space="preserve"> commitm</w:t>
            </w:r>
            <w:r>
              <w:rPr>
                <w:rFonts w:eastAsia="Arial" w:cs="Arial"/>
                <w:lang w:val="en-US"/>
              </w:rPr>
              <w:t>ent</w:t>
            </w:r>
            <w:r w:rsidRPr="00114582">
              <w:rPr>
                <w:rFonts w:eastAsia="Arial" w:cs="Arial"/>
                <w:lang w:val="en-US"/>
              </w:rPr>
              <w:t xml:space="preserve"> to reduce the scope of investments</w:t>
            </w:r>
            <w:r>
              <w:rPr>
                <w:rFonts w:eastAsia="Arial" w:cs="Arial"/>
                <w:lang w:val="en-US"/>
              </w:rPr>
              <w:t xml:space="preserve">. </w:t>
            </w:r>
          </w:p>
          <w:p w14:paraId="1AAA3A89" w14:textId="77777777" w:rsidR="005466ED" w:rsidRDefault="005466ED" w:rsidP="00721AB4">
            <w:pPr>
              <w:ind w:left="1080" w:hanging="1080"/>
              <w:rPr>
                <w:rFonts w:eastAsia="Arial" w:cs="Arial"/>
                <w:lang w:val="en-US"/>
              </w:rPr>
            </w:pPr>
          </w:p>
          <w:p w14:paraId="0F944AB3" w14:textId="77777777" w:rsidR="005466ED" w:rsidRPr="008114F1" w:rsidRDefault="005466ED" w:rsidP="00721AB4">
            <w:pPr>
              <w:ind w:left="1080" w:hanging="1080"/>
              <w:rPr>
                <w:rFonts w:ascii="Calibri" w:eastAsia="Calibri" w:hAnsi="Calibri"/>
                <w:b/>
                <w:bCs/>
                <w:noProof/>
                <w:sz w:val="24"/>
                <w:szCs w:val="24"/>
              </w:rPr>
            </w:pPr>
          </w:p>
        </w:tc>
      </w:tr>
      <w:tr w:rsidR="005466ED" w:rsidRPr="00A71F62" w14:paraId="517F1D96" w14:textId="77777777" w:rsidTr="00721AB4">
        <w:trPr>
          <w:trHeight w:val="930"/>
        </w:trPr>
        <w:tc>
          <w:tcPr>
            <w:tcW w:w="1794" w:type="dxa"/>
            <w:gridSpan w:val="2"/>
            <w:shd w:val="clear" w:color="auto" w:fill="FFFFFF" w:themeFill="background1"/>
          </w:tcPr>
          <w:p w14:paraId="45F3A60E" w14:textId="77777777" w:rsidR="005466ED" w:rsidRPr="00602521" w:rsidRDefault="005466ED" w:rsidP="00721AB4">
            <w:pPr>
              <w:ind w:right="-2"/>
              <w:jc w:val="left"/>
              <w:rPr>
                <w:rFonts w:ascii="Calibri" w:hAnsi="Calibri"/>
                <w:b/>
                <w:noProof/>
                <w:szCs w:val="24"/>
                <w:lang w:eastAsia="en-IE"/>
              </w:rPr>
            </w:pPr>
          </w:p>
        </w:tc>
        <w:tc>
          <w:tcPr>
            <w:tcW w:w="9405" w:type="dxa"/>
            <w:gridSpan w:val="6"/>
            <w:vMerge/>
          </w:tcPr>
          <w:p w14:paraId="2F364EF0" w14:textId="77777777" w:rsidR="005466ED" w:rsidRPr="00A71F62" w:rsidRDefault="005466ED" w:rsidP="00721AB4">
            <w:pPr>
              <w:pStyle w:val="Paragraphedeliste"/>
              <w:numPr>
                <w:ilvl w:val="0"/>
                <w:numId w:val="14"/>
              </w:numPr>
              <w:ind w:left="1080"/>
              <w:contextualSpacing w:val="0"/>
              <w:rPr>
                <w:rFonts w:ascii="Calibri" w:eastAsia="Calibri" w:hAnsi="Calibri" w:cs="Calibri"/>
                <w:b/>
                <w:bCs/>
                <w:i/>
                <w:iCs/>
                <w:noProof/>
                <w:sz w:val="22"/>
                <w:szCs w:val="22"/>
              </w:rPr>
            </w:pPr>
          </w:p>
        </w:tc>
      </w:tr>
      <w:tr w:rsidR="005466ED" w:rsidRPr="002F7924" w14:paraId="5DBB02CE" w14:textId="77777777" w:rsidTr="00721AB4">
        <w:trPr>
          <w:trHeight w:val="1664"/>
        </w:trPr>
        <w:tc>
          <w:tcPr>
            <w:tcW w:w="1794" w:type="dxa"/>
            <w:gridSpan w:val="2"/>
            <w:shd w:val="clear" w:color="auto" w:fill="F2F2F2" w:themeFill="background1" w:themeFillShade="F2"/>
          </w:tcPr>
          <w:p w14:paraId="149ED983" w14:textId="77777777" w:rsidR="005466ED" w:rsidRPr="00602521" w:rsidRDefault="005466ED" w:rsidP="00721AB4">
            <w:pPr>
              <w:jc w:val="left"/>
              <w:rPr>
                <w:rFonts w:ascii="Calibri" w:hAnsi="Calibri"/>
                <w:b/>
                <w:noProof/>
                <w:szCs w:val="24"/>
                <w:lang w:eastAsia="en-IE"/>
              </w:rPr>
            </w:pPr>
            <w:r w:rsidRPr="001678F4">
              <w:rPr>
                <w:rFonts w:asciiTheme="minorHAnsi" w:hAnsiTheme="minorHAnsi" w:cstheme="minorHAnsi"/>
                <w:b/>
                <w:bCs/>
                <w:color w:val="000000"/>
              </w:rPr>
              <w:t xml:space="preserve">Good governance </w:t>
            </w:r>
            <w:r w:rsidRPr="001678F4">
              <w:rPr>
                <w:rFonts w:asciiTheme="minorHAnsi" w:hAnsiTheme="minorHAnsi" w:cstheme="minorHAnsi"/>
                <w:bCs/>
                <w:color w:val="000000"/>
              </w:rPr>
              <w:t>practices include sound management structures, employee relations, remuneration of staff and tax compliance.</w:t>
            </w:r>
            <w:r w:rsidRPr="001678F4">
              <w:rPr>
                <w:rFonts w:asciiTheme="minorHAnsi" w:hAnsiTheme="minorHAnsi" w:cstheme="minorHAnsi"/>
                <w:b/>
                <w:bCs/>
                <w:color w:val="000000"/>
              </w:rPr>
              <w:t xml:space="preserve"> </w:t>
            </w:r>
          </w:p>
        </w:tc>
        <w:tc>
          <w:tcPr>
            <w:tcW w:w="9405" w:type="dxa"/>
            <w:gridSpan w:val="6"/>
          </w:tcPr>
          <w:p w14:paraId="2D0B3E26" w14:textId="77777777" w:rsidR="005466ED" w:rsidRDefault="005466ED" w:rsidP="00721AB4">
            <w:pPr>
              <w:pStyle w:val="Paragraphedeliste"/>
              <w:spacing w:after="160" w:line="259" w:lineRule="auto"/>
              <w:ind w:left="1080"/>
              <w:rPr>
                <w:rFonts w:ascii="Calibri" w:eastAsia="Calibri" w:hAnsi="Calibri"/>
                <w:b/>
                <w:bCs/>
                <w:i/>
                <w:iCs/>
                <w:noProof/>
                <w:sz w:val="22"/>
                <w:szCs w:val="22"/>
              </w:rPr>
            </w:pPr>
            <w:r w:rsidRPr="00A71F62">
              <w:rPr>
                <w:rFonts w:ascii="Calibri" w:eastAsia="Calibri" w:hAnsi="Calibri"/>
                <w:b/>
                <w:bCs/>
                <w:i/>
                <w:iCs/>
                <w:noProof/>
                <w:sz w:val="22"/>
                <w:szCs w:val="22"/>
              </w:rPr>
              <w:t>What is the policy to assess good governance practices of the investee companies?</w:t>
            </w:r>
            <w:r>
              <w:rPr>
                <w:rFonts w:ascii="Calibri" w:eastAsia="Calibri" w:hAnsi="Calibri"/>
                <w:b/>
                <w:bCs/>
                <w:i/>
                <w:iCs/>
                <w:noProof/>
                <w:sz w:val="22"/>
                <w:szCs w:val="22"/>
              </w:rPr>
              <w:t xml:space="preserve"> </w:t>
            </w:r>
          </w:p>
          <w:p w14:paraId="235BFD31" w14:textId="77777777" w:rsidR="005466ED" w:rsidRDefault="005466ED" w:rsidP="00721AB4">
            <w:pPr>
              <w:pStyle w:val="Paragraphedeliste"/>
              <w:spacing w:after="160" w:line="259" w:lineRule="auto"/>
              <w:ind w:left="1080"/>
              <w:rPr>
                <w:rFonts w:eastAsia="Arial"/>
                <w:b/>
                <w:sz w:val="22"/>
              </w:rPr>
            </w:pPr>
          </w:p>
          <w:p w14:paraId="1B0CFBEC" w14:textId="77777777" w:rsidR="005466ED" w:rsidRDefault="005466ED" w:rsidP="00721AB4">
            <w:pPr>
              <w:pStyle w:val="Paragraphedeliste"/>
              <w:ind w:left="1080"/>
              <w:rPr>
                <w:rFonts w:eastAsia="Arial" w:cs="Arial"/>
                <w:lang w:val="en-US"/>
              </w:rPr>
            </w:pPr>
            <w:r w:rsidRPr="00C065A3">
              <w:rPr>
                <w:rFonts w:eastAsia="Arial" w:cs="Arial"/>
                <w:lang w:val="en-US"/>
              </w:rPr>
              <w:t xml:space="preserve">The </w:t>
            </w:r>
            <w:r>
              <w:rPr>
                <w:rFonts w:eastAsia="Arial" w:cs="Arial"/>
                <w:lang w:val="en-US"/>
              </w:rPr>
              <w:t>Investment Manager’s</w:t>
            </w:r>
            <w:r w:rsidRPr="00C065A3">
              <w:rPr>
                <w:rFonts w:eastAsia="Arial" w:cs="Arial"/>
                <w:lang w:val="en-US"/>
              </w:rPr>
              <w:t xml:space="preserve"> Responsible Investment Policy sets out </w:t>
            </w:r>
            <w:r>
              <w:rPr>
                <w:rFonts w:eastAsia="Arial" w:cs="Arial"/>
                <w:lang w:val="en-US"/>
              </w:rPr>
              <w:t>the Investment Manager’s</w:t>
            </w:r>
            <w:r w:rsidRPr="00C065A3">
              <w:rPr>
                <w:rFonts w:eastAsia="Arial" w:cs="Arial"/>
                <w:lang w:val="en-US"/>
              </w:rPr>
              <w:t xml:space="preserve"> definition and assessment of good corporate governance. Analysis of good corporate governance practices is based on the quality of the management team, the strategy for sustainable development, the rights of minority shareholders, anti-corruption practices, track record and other criteria. </w:t>
            </w:r>
          </w:p>
          <w:p w14:paraId="5C294C46" w14:textId="77777777" w:rsidR="005466ED" w:rsidRDefault="005466ED" w:rsidP="00721AB4">
            <w:pPr>
              <w:pStyle w:val="Paragraphedeliste"/>
              <w:ind w:left="1080"/>
              <w:rPr>
                <w:rFonts w:eastAsia="Arial" w:cs="Arial"/>
                <w:lang w:val="en-US"/>
              </w:rPr>
            </w:pPr>
          </w:p>
          <w:p w14:paraId="375FF478" w14:textId="77777777" w:rsidR="005466ED" w:rsidRPr="00DC07E1" w:rsidRDefault="005466ED" w:rsidP="00721AB4">
            <w:pPr>
              <w:pStyle w:val="Paragraphedeliste"/>
              <w:ind w:left="1074"/>
              <w:rPr>
                <w:rFonts w:eastAsia="Arial" w:cs="Arial"/>
                <w:lang w:val="en-US"/>
              </w:rPr>
            </w:pPr>
            <w:r w:rsidRPr="00DC07E1">
              <w:rPr>
                <w:rFonts w:eastAsia="Arial" w:cs="Arial"/>
                <w:lang w:val="en-US"/>
              </w:rPr>
              <w:t xml:space="preserve">The </w:t>
            </w:r>
            <w:r>
              <w:rPr>
                <w:rFonts w:eastAsia="Arial" w:cs="Arial"/>
                <w:lang w:val="en-US"/>
              </w:rPr>
              <w:t>investment strategy</w:t>
            </w:r>
            <w:r w:rsidRPr="00DC07E1">
              <w:rPr>
                <w:rFonts w:eastAsia="Arial" w:cs="Arial"/>
                <w:lang w:val="en-US"/>
              </w:rPr>
              <w:t xml:space="preserve"> screens companies for compliance with UN Global Compact principles. Companies </w:t>
            </w:r>
            <w:r>
              <w:rPr>
                <w:rFonts w:eastAsia="Arial" w:cs="Arial"/>
                <w:lang w:val="en-US"/>
              </w:rPr>
              <w:t>for which a severe</w:t>
            </w:r>
            <w:r w:rsidRPr="00DC07E1">
              <w:rPr>
                <w:rFonts w:eastAsia="Arial" w:cs="Arial"/>
                <w:lang w:val="en-US"/>
              </w:rPr>
              <w:t xml:space="preserve"> violat</w:t>
            </w:r>
            <w:r>
              <w:rPr>
                <w:rFonts w:eastAsia="Arial" w:cs="Arial"/>
                <w:lang w:val="en-US"/>
              </w:rPr>
              <w:t>ion is detected in</w:t>
            </w:r>
            <w:r w:rsidRPr="00DC07E1">
              <w:rPr>
                <w:rFonts w:eastAsia="Arial" w:cs="Arial"/>
                <w:lang w:val="en-US"/>
              </w:rPr>
              <w:t xml:space="preserve"> the screening process</w:t>
            </w:r>
            <w:r>
              <w:rPr>
                <w:rFonts w:eastAsia="Arial" w:cs="Arial"/>
                <w:lang w:val="en-US"/>
              </w:rPr>
              <w:t xml:space="preserve"> and confirmed after an internal due diligence</w:t>
            </w:r>
            <w:r w:rsidRPr="00DC07E1">
              <w:rPr>
                <w:rFonts w:eastAsia="Arial" w:cs="Arial"/>
                <w:lang w:val="en-US"/>
              </w:rPr>
              <w:t xml:space="preserve"> will be excluded from the selection and any companies for which an evaluation cannot be made due to insufficient and/or missing information or data will also be excluded.  </w:t>
            </w:r>
          </w:p>
          <w:p w14:paraId="77326DAA" w14:textId="77777777" w:rsidR="005466ED" w:rsidRPr="00DC07E1" w:rsidRDefault="005466ED" w:rsidP="00721AB4">
            <w:pPr>
              <w:rPr>
                <w:rFonts w:eastAsia="Arial" w:cs="Arial"/>
                <w:lang w:val="en-US"/>
              </w:rPr>
            </w:pPr>
          </w:p>
          <w:p w14:paraId="64A61D4C" w14:textId="77777777" w:rsidR="005466ED" w:rsidRDefault="005466ED" w:rsidP="00721AB4">
            <w:pPr>
              <w:pStyle w:val="Paragraphedeliste"/>
              <w:ind w:left="1080"/>
              <w:rPr>
                <w:rFonts w:eastAsia="Arial" w:cs="Arial"/>
                <w:lang w:val="en-US"/>
              </w:rPr>
            </w:pPr>
            <w:r w:rsidRPr="00C065A3">
              <w:rPr>
                <w:rFonts w:eastAsia="Arial" w:cs="Arial"/>
                <w:lang w:val="en-US"/>
              </w:rPr>
              <w:t xml:space="preserve">A check is carried out on whether companies have introduced a sustainability strategy or have set corresponding targets. If so, further analysis is performed on the measures implemented to achieve these targets, who is in charge and whether there is a link between achieving these targets and executive remuneration. </w:t>
            </w:r>
          </w:p>
          <w:p w14:paraId="53BEE744" w14:textId="77777777" w:rsidR="005466ED" w:rsidRPr="002F7924" w:rsidRDefault="005466ED" w:rsidP="00721AB4">
            <w:pPr>
              <w:pStyle w:val="Paragraphedeliste"/>
              <w:ind w:left="1080"/>
              <w:rPr>
                <w:rFonts w:ascii="Calibri" w:eastAsia="Calibri" w:hAnsi="Calibri"/>
                <w:bCs/>
                <w:noProof/>
                <w:szCs w:val="24"/>
                <w:lang w:val="en-US"/>
              </w:rPr>
            </w:pPr>
          </w:p>
        </w:tc>
      </w:tr>
      <w:tr w:rsidR="005466ED" w:rsidRPr="00A71F62" w14:paraId="67FD1334" w14:textId="77777777" w:rsidTr="00721AB4">
        <w:trPr>
          <w:trHeight w:val="90"/>
        </w:trPr>
        <w:tc>
          <w:tcPr>
            <w:tcW w:w="1711" w:type="dxa"/>
          </w:tcPr>
          <w:p w14:paraId="6A677046" w14:textId="77777777" w:rsidR="005466ED" w:rsidRPr="001678F4" w:rsidRDefault="005466ED" w:rsidP="00721AB4">
            <w:pPr>
              <w:ind w:right="-272"/>
              <w:rPr>
                <w:rFonts w:asciiTheme="minorHAnsi" w:hAnsiTheme="minorHAnsi" w:cstheme="minorHAnsi"/>
                <w:b/>
                <w:bCs/>
                <w:color w:val="000000"/>
              </w:rPr>
            </w:pPr>
          </w:p>
        </w:tc>
        <w:tc>
          <w:tcPr>
            <w:tcW w:w="9488" w:type="dxa"/>
            <w:gridSpan w:val="7"/>
          </w:tcPr>
          <w:p w14:paraId="1D4B2CA9" w14:textId="77777777" w:rsidR="005466ED" w:rsidRPr="00A71F62" w:rsidRDefault="005466ED" w:rsidP="00721AB4">
            <w:pPr>
              <w:pStyle w:val="Paragraphedeliste"/>
              <w:contextualSpacing w:val="0"/>
              <w:rPr>
                <w:rFonts w:ascii="Calibri" w:eastAsia="Calibri" w:hAnsi="Calibri"/>
                <w:b/>
                <w:bCs/>
                <w:i/>
                <w:iCs/>
                <w:noProof/>
                <w:szCs w:val="22"/>
              </w:rPr>
            </w:pPr>
          </w:p>
        </w:tc>
      </w:tr>
      <w:tr w:rsidR="005466ED" w:rsidRPr="00B57030" w14:paraId="6AB071E5" w14:textId="77777777" w:rsidTr="00721AB4">
        <w:trPr>
          <w:trHeight w:val="1039"/>
        </w:trPr>
        <w:tc>
          <w:tcPr>
            <w:tcW w:w="1711" w:type="dxa"/>
          </w:tcPr>
          <w:p w14:paraId="72D69A7D" w14:textId="0044548A" w:rsidR="005466ED" w:rsidRPr="00602521" w:rsidRDefault="005466ED" w:rsidP="00721AB4">
            <w:pPr>
              <w:ind w:right="-2"/>
              <w:rPr>
                <w:rFonts w:ascii="Calibri" w:hAnsi="Calibri"/>
                <w:b/>
                <w:noProof/>
                <w:szCs w:val="24"/>
                <w:lang w:eastAsia="en-IE"/>
              </w:rPr>
            </w:pPr>
            <w:r w:rsidRPr="003A1C01">
              <w:rPr>
                <w:rFonts w:ascii="Calibri" w:hAnsi="Calibri"/>
                <w:noProof/>
                <w:szCs w:val="24"/>
                <w:lang w:eastAsia="en-IE"/>
              </w:rPr>
              <w:drawing>
                <wp:anchor distT="0" distB="0" distL="114300" distR="114300" simplePos="0" relativeHeight="251687936" behindDoc="0" locked="0" layoutInCell="1" allowOverlap="1" wp14:anchorId="0E53E2F4" wp14:editId="43365666">
                  <wp:simplePos x="0" y="0"/>
                  <wp:positionH relativeFrom="page">
                    <wp:posOffset>-500380</wp:posOffset>
                  </wp:positionH>
                  <wp:positionV relativeFrom="paragraph">
                    <wp:posOffset>-82550</wp:posOffset>
                  </wp:positionV>
                  <wp:extent cx="1666875" cy="600075"/>
                  <wp:effectExtent l="0" t="0" r="9525" b="9525"/>
                  <wp:wrapNone/>
                  <wp:docPr id="233" name="Graphic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1666875" cy="600075"/>
                          </a:xfrm>
                          <a:prstGeom prst="rect">
                            <a:avLst/>
                          </a:prstGeom>
                        </pic:spPr>
                      </pic:pic>
                    </a:graphicData>
                  </a:graphic>
                  <wp14:sizeRelH relativeFrom="margin">
                    <wp14:pctWidth>0</wp14:pctWidth>
                  </wp14:sizeRelH>
                  <wp14:sizeRelV relativeFrom="margin">
                    <wp14:pctHeight>0</wp14:pctHeight>
                  </wp14:sizeRelV>
                </wp:anchor>
              </w:drawing>
            </w:r>
          </w:p>
        </w:tc>
        <w:tc>
          <w:tcPr>
            <w:tcW w:w="9488" w:type="dxa"/>
            <w:gridSpan w:val="7"/>
            <w:vMerge w:val="restart"/>
          </w:tcPr>
          <w:p w14:paraId="2DF19D21" w14:textId="77777777" w:rsidR="005466ED" w:rsidRDefault="005466ED" w:rsidP="00721AB4">
            <w:pPr>
              <w:ind w:left="284"/>
              <w:rPr>
                <w:rFonts w:ascii="Calibri" w:eastAsia="Calibri" w:hAnsi="Calibri"/>
                <w:bCs/>
                <w:i/>
                <w:noProof/>
                <w:color w:val="C00000"/>
              </w:rPr>
            </w:pPr>
            <w:r w:rsidRPr="00776340">
              <w:rPr>
                <w:rFonts w:ascii="Calibri" w:eastAsia="Calibri" w:hAnsi="Calibri"/>
                <w:b/>
                <w:bCs/>
                <w:noProof/>
                <w:sz w:val="24"/>
              </w:rPr>
              <w:t xml:space="preserve">What is the asset allocation </w:t>
            </w:r>
            <w:r>
              <w:rPr>
                <w:rFonts w:ascii="Calibri" w:eastAsia="Calibri" w:hAnsi="Calibri"/>
                <w:b/>
                <w:bCs/>
                <w:noProof/>
                <w:sz w:val="24"/>
              </w:rPr>
              <w:t>planned for this financial product</w:t>
            </w:r>
            <w:r w:rsidRPr="00776340">
              <w:rPr>
                <w:rFonts w:ascii="Calibri" w:eastAsia="Calibri" w:hAnsi="Calibri"/>
                <w:b/>
                <w:bCs/>
                <w:noProof/>
                <w:sz w:val="24"/>
              </w:rPr>
              <w:t>?</w:t>
            </w:r>
            <w:r>
              <w:rPr>
                <w:rFonts w:ascii="Calibri" w:eastAsia="Calibri" w:hAnsi="Calibri"/>
                <w:b/>
                <w:bCs/>
                <w:noProof/>
                <w:sz w:val="24"/>
              </w:rPr>
              <w:t xml:space="preserve"> </w:t>
            </w:r>
          </w:p>
          <w:p w14:paraId="2925CE3C" w14:textId="77777777" w:rsidR="005466ED" w:rsidRDefault="005466ED" w:rsidP="00721AB4">
            <w:pPr>
              <w:ind w:left="284"/>
              <w:rPr>
                <w:rFonts w:ascii="Calibri" w:eastAsia="Calibri" w:hAnsi="Calibri"/>
                <w:bCs/>
                <w:i/>
                <w:noProof/>
                <w:color w:val="C00000"/>
              </w:rPr>
            </w:pPr>
          </w:p>
          <w:p w14:paraId="2A65A612" w14:textId="6F8F226F" w:rsidR="005466ED" w:rsidRPr="00630F50" w:rsidRDefault="005466ED" w:rsidP="00721AB4">
            <w:pPr>
              <w:rPr>
                <w:rFonts w:eastAsia="Arial" w:cs="Arial"/>
                <w:b/>
                <w:bCs/>
              </w:rPr>
            </w:pPr>
            <w:r w:rsidRPr="00630F50">
              <w:rPr>
                <w:rFonts w:eastAsia="Arial" w:cs="Arial"/>
                <w:lang w:val="en-US"/>
              </w:rPr>
              <w:t xml:space="preserve">At least </w:t>
            </w:r>
            <w:r w:rsidR="00970699">
              <w:rPr>
                <w:rFonts w:eastAsia="Arial" w:cs="Arial"/>
                <w:lang w:val="en-US"/>
              </w:rPr>
              <w:t>9</w:t>
            </w:r>
            <w:r w:rsidRPr="00630F50">
              <w:rPr>
                <w:rFonts w:eastAsia="Arial" w:cs="Arial"/>
                <w:lang w:val="en-US"/>
              </w:rPr>
              <w:t xml:space="preserve">0% of the Sub-Fund’s </w:t>
            </w:r>
            <w:r w:rsidR="00970699">
              <w:rPr>
                <w:rFonts w:eastAsia="Arial" w:cs="Arial"/>
                <w:lang w:val="en-US"/>
              </w:rPr>
              <w:t>net asset</w:t>
            </w:r>
            <w:r w:rsidR="00D62129">
              <w:rPr>
                <w:rFonts w:eastAsia="Arial" w:cs="Arial"/>
                <w:lang w:val="en-US"/>
              </w:rPr>
              <w:t xml:space="preserve">s will be </w:t>
            </w:r>
            <w:r w:rsidRPr="00630F50">
              <w:rPr>
                <w:rFonts w:eastAsia="Arial" w:cs="Arial"/>
                <w:lang w:val="en-US"/>
              </w:rPr>
              <w:t xml:space="preserve">aligned with the environmental and social characteristics promoted by the Sub-Fund (#Aligned with E/S characteristics), </w:t>
            </w:r>
            <w:r>
              <w:rPr>
                <w:rFonts w:eastAsia="Arial" w:cs="Arial"/>
                <w:lang w:val="en-US"/>
              </w:rPr>
              <w:t>but</w:t>
            </w:r>
            <w:r w:rsidRPr="00630F50">
              <w:rPr>
                <w:rFonts w:eastAsia="Arial" w:cs="Arial"/>
                <w:lang w:val="en-US"/>
              </w:rPr>
              <w:t xml:space="preserve"> do not </w:t>
            </w:r>
            <w:r>
              <w:rPr>
                <w:rFonts w:eastAsia="Arial" w:cs="Arial"/>
                <w:lang w:val="en-US"/>
              </w:rPr>
              <w:t xml:space="preserve">have to </w:t>
            </w:r>
            <w:r w:rsidRPr="00630F50">
              <w:rPr>
                <w:rFonts w:eastAsia="Arial" w:cs="Arial"/>
                <w:lang w:val="en-US"/>
              </w:rPr>
              <w:t xml:space="preserve">qualify as sustainable investments. Up to </w:t>
            </w:r>
            <w:r w:rsidR="00970699">
              <w:rPr>
                <w:rFonts w:eastAsia="Arial" w:cs="Arial"/>
                <w:lang w:val="en-US"/>
              </w:rPr>
              <w:t>1</w:t>
            </w:r>
            <w:r w:rsidRPr="00630F50">
              <w:rPr>
                <w:rFonts w:eastAsia="Arial" w:cs="Arial"/>
                <w:lang w:val="en-US"/>
              </w:rPr>
              <w:t xml:space="preserve">0% of the investments of the Sub-Fund are not aligned with these characteristics (#2 Other). </w:t>
            </w:r>
          </w:p>
          <w:p w14:paraId="18A0C4F4" w14:textId="661B1274" w:rsidR="005466ED" w:rsidRPr="00B57030" w:rsidRDefault="005466ED" w:rsidP="00721AB4">
            <w:pPr>
              <w:rPr>
                <w:rFonts w:ascii="Calibri" w:eastAsia="Calibri" w:hAnsi="Calibri"/>
                <w:bCs/>
                <w:noProof/>
                <w:sz w:val="22"/>
                <w:szCs w:val="24"/>
              </w:rPr>
            </w:pPr>
            <w:r w:rsidRPr="003A1C01">
              <w:rPr>
                <w:rFonts w:ascii="Calibri" w:eastAsia="Calibri" w:hAnsi="Calibri"/>
                <w:noProof/>
                <w:sz w:val="18"/>
                <w:szCs w:val="18"/>
                <w:lang w:eastAsia="en-IE"/>
              </w:rPr>
              <mc:AlternateContent>
                <mc:Choice Requires="wps">
                  <w:drawing>
                    <wp:anchor distT="0" distB="0" distL="114300" distR="114300" simplePos="0" relativeHeight="251688960" behindDoc="0" locked="0" layoutInCell="1" allowOverlap="1" wp14:anchorId="169D63E5" wp14:editId="2F0DFDB1">
                      <wp:simplePos x="0" y="0"/>
                      <wp:positionH relativeFrom="margin">
                        <wp:posOffset>217170</wp:posOffset>
                      </wp:positionH>
                      <wp:positionV relativeFrom="paragraph">
                        <wp:posOffset>213360</wp:posOffset>
                      </wp:positionV>
                      <wp:extent cx="5695950" cy="2133600"/>
                      <wp:effectExtent l="0" t="0" r="0" b="0"/>
                      <wp:wrapNone/>
                      <wp:docPr id="198" name="Rectangle 198"/>
                      <wp:cNvGraphicFramePr/>
                      <a:graphic xmlns:a="http://schemas.openxmlformats.org/drawingml/2006/main">
                        <a:graphicData uri="http://schemas.microsoft.com/office/word/2010/wordprocessingShape">
                          <wps:wsp>
                            <wps:cNvSpPr/>
                            <wps:spPr>
                              <a:xfrm>
                                <a:off x="0" y="0"/>
                                <a:ext cx="5695950" cy="2133600"/>
                              </a:xfrm>
                              <a:prstGeom prst="rect">
                                <a:avLst/>
                              </a:prstGeom>
                              <a:solidFill>
                                <a:srgbClr val="EA933B">
                                  <a:lumMod val="20000"/>
                                  <a:lumOff val="80000"/>
                                </a:srgbClr>
                              </a:solidFill>
                              <a:ln w="12700" cap="flat" cmpd="sng" algn="ctr">
                                <a:noFill/>
                                <a:prstDash val="solid"/>
                                <a:miter lim="800000"/>
                              </a:ln>
                              <a:effectLst/>
                            </wps:spPr>
                            <wps:txbx>
                              <w:txbxContent>
                                <w:p w14:paraId="58AA3EC3" w14:textId="77777777" w:rsidR="005466ED" w:rsidRDefault="005466ED" w:rsidP="005466ED">
                                  <w:pPr>
                                    <w:spacing w:before="0"/>
                                    <w:rPr>
                                      <w:rFonts w:asciiTheme="minorHAnsi" w:hAnsiTheme="minorHAnsi" w:cstheme="minorHAnsi"/>
                                      <w:b/>
                                      <w:bCs/>
                                      <w:color w:val="000000"/>
                                      <w:sz w:val="20"/>
                                    </w:rPr>
                                  </w:pPr>
                                </w:p>
                                <w:p w14:paraId="163698FB" w14:textId="77777777" w:rsidR="005466ED" w:rsidRDefault="005466ED" w:rsidP="005466ED">
                                  <w:pPr>
                                    <w:spacing w:before="0"/>
                                    <w:rPr>
                                      <w:rFonts w:asciiTheme="minorHAnsi" w:hAnsiTheme="minorHAnsi" w:cstheme="minorHAnsi"/>
                                      <w:b/>
                                      <w:bCs/>
                                      <w:color w:val="000000"/>
                                      <w:sz w:val="20"/>
                                    </w:rPr>
                                  </w:pPr>
                                  <w:r w:rsidRPr="00630F50">
                                    <w:rPr>
                                      <w:rFonts w:ascii="Calibri" w:eastAsia="SimSun" w:hAnsi="Calibri" w:cs="Arial"/>
                                      <w:noProof/>
                                      <w:sz w:val="20"/>
                                      <w:szCs w:val="24"/>
                                      <w:lang w:eastAsia="en-IE"/>
                                    </w:rPr>
                                    <w:drawing>
                                      <wp:inline distT="0" distB="0" distL="0" distR="0" wp14:anchorId="792167CE" wp14:editId="3DA5BC56">
                                        <wp:extent cx="4514850" cy="1174750"/>
                                        <wp:effectExtent l="0" t="0" r="0" b="6350"/>
                                        <wp:docPr id="870343782" name="Diagram 87034378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47979C5E" w14:textId="77777777" w:rsidR="005466ED" w:rsidRDefault="005466ED" w:rsidP="005466ED">
                                  <w:pPr>
                                    <w:spacing w:before="0" w:line="240" w:lineRule="auto"/>
                                    <w:rPr>
                                      <w:rFonts w:asciiTheme="minorHAnsi" w:hAnsiTheme="minorHAnsi" w:cstheme="minorHAnsi"/>
                                      <w:color w:val="000000"/>
                                      <w:sz w:val="18"/>
                                    </w:rPr>
                                  </w:pPr>
                                  <w:r w:rsidRPr="00674608">
                                    <w:rPr>
                                      <w:rFonts w:asciiTheme="minorHAnsi" w:hAnsiTheme="minorHAnsi" w:cstheme="minorHAnsi"/>
                                      <w:b/>
                                      <w:bCs/>
                                      <w:color w:val="000000"/>
                                      <w:sz w:val="20"/>
                                    </w:rPr>
                                    <w:t>#</w:t>
                                  </w:r>
                                  <w:r w:rsidRPr="00674608">
                                    <w:rPr>
                                      <w:rFonts w:asciiTheme="minorHAnsi" w:hAnsiTheme="minorHAnsi" w:cstheme="minorHAnsi"/>
                                      <w:b/>
                                      <w:bCs/>
                                      <w:color w:val="000000"/>
                                      <w:sz w:val="18"/>
                                    </w:rPr>
                                    <w:t>1 Aligned with E/S</w:t>
                                  </w:r>
                                  <w:r w:rsidRPr="00674608">
                                    <w:rPr>
                                      <w:rFonts w:asciiTheme="minorHAnsi" w:hAnsiTheme="minorHAnsi" w:cstheme="minorHAnsi"/>
                                      <w:color w:val="000000"/>
                                      <w:sz w:val="18"/>
                                    </w:rPr>
                                    <w:t xml:space="preserve"> </w:t>
                                  </w:r>
                                  <w:r w:rsidRPr="00674608">
                                    <w:rPr>
                                      <w:rFonts w:asciiTheme="minorHAnsi" w:hAnsiTheme="minorHAnsi" w:cstheme="minorHAnsi"/>
                                      <w:b/>
                                      <w:bCs/>
                                      <w:color w:val="000000"/>
                                      <w:sz w:val="18"/>
                                    </w:rPr>
                                    <w:t>characteristics</w:t>
                                  </w:r>
                                  <w:r w:rsidRPr="00674608">
                                    <w:rPr>
                                      <w:rFonts w:asciiTheme="minorHAnsi" w:hAnsiTheme="minorHAnsi" w:cstheme="minorHAnsi"/>
                                      <w:color w:val="000000"/>
                                      <w:sz w:val="18"/>
                                    </w:rPr>
                                    <w:t xml:space="preserve"> includes the investments of the financial product used to attain the environmental or social characteristics promoted by the financial product.</w:t>
                                  </w:r>
                                </w:p>
                                <w:p w14:paraId="1E568B0E" w14:textId="77777777" w:rsidR="005466ED" w:rsidRPr="00630F50" w:rsidRDefault="005466ED" w:rsidP="005466ED">
                                  <w:pPr>
                                    <w:spacing w:before="0" w:line="240" w:lineRule="auto"/>
                                    <w:rPr>
                                      <w:rFonts w:asciiTheme="minorHAnsi" w:hAnsiTheme="minorHAnsi" w:cstheme="minorHAnsi"/>
                                      <w:bCs/>
                                      <w:color w:val="000000"/>
                                      <w:sz w:val="18"/>
                                    </w:rPr>
                                  </w:pPr>
                                  <w:r w:rsidRPr="00674608">
                                    <w:rPr>
                                      <w:rFonts w:asciiTheme="minorHAnsi" w:hAnsiTheme="minorHAnsi" w:cstheme="minorHAnsi"/>
                                      <w:b/>
                                      <w:bCs/>
                                      <w:color w:val="000000"/>
                                      <w:sz w:val="18"/>
                                    </w:rPr>
                                    <w:t xml:space="preserve">#2Other </w:t>
                                  </w:r>
                                  <w:r w:rsidRPr="00674608">
                                    <w:rPr>
                                      <w:rFonts w:asciiTheme="minorHAnsi" w:hAnsiTheme="minorHAnsi" w:cstheme="minorHAnsi"/>
                                      <w:bCs/>
                                      <w:color w:val="000000"/>
                                      <w:sz w:val="18"/>
                                    </w:rPr>
                                    <w:t>includes the remaining investments of the financial product which are neither aligned with the environmental or social characteristics, nor are qualified as sustainable investments.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9D63E5" id="Rectangle 198" o:spid="_x0000_s1028" style="position:absolute;left:0;text-align:left;margin-left:17.1pt;margin-top:16.8pt;width:448.5pt;height:168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" fillcolor="#fbe9d8" stroked="f" strokeweight="1pt">
                      <v:textbox>
                        <w:txbxContent>
                          <w:p w14:paraId="58AA3EC3" w14:textId="77777777" w:rsidR="005466ED" w:rsidRDefault="005466ED" w:rsidP="005466ED">
                            <w:pPr>
                              <w:spacing w:before="0"/>
                              <w:rPr>
                                <w:rFonts w:asciiTheme="minorHAnsi" w:hAnsiTheme="minorHAnsi" w:cstheme="minorHAnsi"/>
                                <w:b/>
                                <w:bCs/>
                                <w:color w:val="000000"/>
                                <w:sz w:val="20"/>
                              </w:rPr>
                            </w:pPr>
                          </w:p>
                          <w:p w14:paraId="163698FB" w14:textId="77777777" w:rsidR="005466ED" w:rsidRDefault="005466ED" w:rsidP="005466ED">
                            <w:pPr>
                              <w:spacing w:before="0"/>
                              <w:rPr>
                                <w:rFonts w:asciiTheme="minorHAnsi" w:hAnsiTheme="minorHAnsi" w:cstheme="minorHAnsi"/>
                                <w:b/>
                                <w:bCs/>
                                <w:color w:val="000000"/>
                                <w:sz w:val="20"/>
                              </w:rPr>
                            </w:pPr>
                            <w:r w:rsidRPr="00630F50">
                              <w:rPr>
                                <w:rFonts w:ascii="Calibri" w:eastAsia="SimSun" w:hAnsi="Calibri" w:cs="Arial"/>
                                <w:noProof/>
                                <w:sz w:val="20"/>
                                <w:szCs w:val="24"/>
                                <w:lang w:eastAsia="en-IE"/>
                              </w:rPr>
                              <w:drawing>
                                <wp:inline distT="0" distB="0" distL="0" distR="0" wp14:anchorId="792167CE" wp14:editId="3DA5BC56">
                                  <wp:extent cx="4514850" cy="1174750"/>
                                  <wp:effectExtent l="0" t="0" r="0" b="6350"/>
                                  <wp:docPr id="870343782" name="Diagram 87034378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47979C5E" w14:textId="77777777" w:rsidR="005466ED" w:rsidRDefault="005466ED" w:rsidP="005466ED">
                            <w:pPr>
                              <w:spacing w:before="0" w:line="240" w:lineRule="auto"/>
                              <w:rPr>
                                <w:rFonts w:asciiTheme="minorHAnsi" w:hAnsiTheme="minorHAnsi" w:cstheme="minorHAnsi"/>
                                <w:color w:val="000000"/>
                                <w:sz w:val="18"/>
                              </w:rPr>
                            </w:pPr>
                            <w:r w:rsidRPr="00674608">
                              <w:rPr>
                                <w:rFonts w:asciiTheme="minorHAnsi" w:hAnsiTheme="minorHAnsi" w:cstheme="minorHAnsi"/>
                                <w:b/>
                                <w:bCs/>
                                <w:color w:val="000000"/>
                                <w:sz w:val="20"/>
                              </w:rPr>
                              <w:t>#</w:t>
                            </w:r>
                            <w:r w:rsidRPr="00674608">
                              <w:rPr>
                                <w:rFonts w:asciiTheme="minorHAnsi" w:hAnsiTheme="minorHAnsi" w:cstheme="minorHAnsi"/>
                                <w:b/>
                                <w:bCs/>
                                <w:color w:val="000000"/>
                                <w:sz w:val="18"/>
                              </w:rPr>
                              <w:t>1 Aligned with E/S</w:t>
                            </w:r>
                            <w:r w:rsidRPr="00674608">
                              <w:rPr>
                                <w:rFonts w:asciiTheme="minorHAnsi" w:hAnsiTheme="minorHAnsi" w:cstheme="minorHAnsi"/>
                                <w:color w:val="000000"/>
                                <w:sz w:val="18"/>
                              </w:rPr>
                              <w:t xml:space="preserve"> </w:t>
                            </w:r>
                            <w:r w:rsidRPr="00674608">
                              <w:rPr>
                                <w:rFonts w:asciiTheme="minorHAnsi" w:hAnsiTheme="minorHAnsi" w:cstheme="minorHAnsi"/>
                                <w:b/>
                                <w:bCs/>
                                <w:color w:val="000000"/>
                                <w:sz w:val="18"/>
                              </w:rPr>
                              <w:t>characteristics</w:t>
                            </w:r>
                            <w:r w:rsidRPr="00674608">
                              <w:rPr>
                                <w:rFonts w:asciiTheme="minorHAnsi" w:hAnsiTheme="minorHAnsi" w:cstheme="minorHAnsi"/>
                                <w:color w:val="000000"/>
                                <w:sz w:val="18"/>
                              </w:rPr>
                              <w:t xml:space="preserve"> includes the investments of the financial product used to attain the environmental or social characteristics promoted by the financial product.</w:t>
                            </w:r>
                          </w:p>
                          <w:p w14:paraId="1E568B0E" w14:textId="77777777" w:rsidR="005466ED" w:rsidRPr="00630F50" w:rsidRDefault="005466ED" w:rsidP="005466ED">
                            <w:pPr>
                              <w:spacing w:before="0" w:line="240" w:lineRule="auto"/>
                              <w:rPr>
                                <w:rFonts w:asciiTheme="minorHAnsi" w:hAnsiTheme="minorHAnsi" w:cstheme="minorHAnsi"/>
                                <w:bCs/>
                                <w:color w:val="000000"/>
                                <w:sz w:val="18"/>
                              </w:rPr>
                            </w:pPr>
                            <w:r w:rsidRPr="00674608">
                              <w:rPr>
                                <w:rFonts w:asciiTheme="minorHAnsi" w:hAnsiTheme="minorHAnsi" w:cstheme="minorHAnsi"/>
                                <w:b/>
                                <w:bCs/>
                                <w:color w:val="000000"/>
                                <w:sz w:val="18"/>
                              </w:rPr>
                              <w:t xml:space="preserve">#2Other </w:t>
                            </w:r>
                            <w:r w:rsidRPr="00674608">
                              <w:rPr>
                                <w:rFonts w:asciiTheme="minorHAnsi" w:hAnsiTheme="minorHAnsi" w:cstheme="minorHAnsi"/>
                                <w:bCs/>
                                <w:color w:val="000000"/>
                                <w:sz w:val="18"/>
                              </w:rPr>
                              <w:t>includes the remaining investments of the financial product which are neither aligned with the environmental or social characteristics, nor are qualified as sustainable investments.</w:t>
                            </w:r>
                          </w:p>
                        </w:txbxContent>
                      </v:textbox>
                      <w10:wrap anchorx="margin"/>
                    </v:rect>
                  </w:pict>
                </mc:Fallback>
              </mc:AlternateContent>
            </w:r>
          </w:p>
        </w:tc>
      </w:tr>
      <w:tr w:rsidR="005466ED" w:rsidRPr="00776340" w14:paraId="2073035C" w14:textId="77777777" w:rsidTr="00721AB4">
        <w:trPr>
          <w:trHeight w:val="1038"/>
        </w:trPr>
        <w:tc>
          <w:tcPr>
            <w:tcW w:w="1711" w:type="dxa"/>
            <w:shd w:val="clear" w:color="auto" w:fill="F2F2F2" w:themeFill="background1" w:themeFillShade="F2"/>
          </w:tcPr>
          <w:p w14:paraId="0E0E534F" w14:textId="77777777" w:rsidR="005466ED" w:rsidRPr="003A1C01" w:rsidRDefault="005466ED" w:rsidP="00721AB4">
            <w:pPr>
              <w:ind w:right="-2"/>
              <w:jc w:val="left"/>
              <w:rPr>
                <w:rFonts w:ascii="Calibri" w:hAnsi="Calibri"/>
                <w:noProof/>
                <w:szCs w:val="24"/>
                <w:lang w:eastAsia="en-IE"/>
              </w:rPr>
            </w:pPr>
            <w:r w:rsidRPr="006857A9">
              <w:rPr>
                <w:rFonts w:asciiTheme="minorHAnsi" w:hAnsiTheme="minorHAnsi" w:cstheme="minorHAnsi"/>
                <w:b/>
                <w:bCs/>
                <w:color w:val="000000"/>
              </w:rPr>
              <w:t xml:space="preserve">Asset allocation </w:t>
            </w:r>
            <w:r w:rsidRPr="006857A9">
              <w:rPr>
                <w:rFonts w:asciiTheme="minorHAnsi" w:hAnsiTheme="minorHAnsi" w:cstheme="minorHAnsi"/>
                <w:bCs/>
                <w:color w:val="000000"/>
              </w:rPr>
              <w:t>describes the share of investments in specific assets.</w:t>
            </w:r>
          </w:p>
        </w:tc>
        <w:tc>
          <w:tcPr>
            <w:tcW w:w="9488" w:type="dxa"/>
            <w:gridSpan w:val="7"/>
            <w:vMerge/>
          </w:tcPr>
          <w:p w14:paraId="569EAD81" w14:textId="77777777" w:rsidR="005466ED" w:rsidRPr="00776340" w:rsidRDefault="005466ED" w:rsidP="00721AB4">
            <w:pPr>
              <w:ind w:left="284"/>
              <w:rPr>
                <w:rFonts w:ascii="Calibri" w:eastAsia="Calibri" w:hAnsi="Calibri"/>
                <w:b/>
                <w:bCs/>
                <w:noProof/>
                <w:sz w:val="24"/>
              </w:rPr>
            </w:pPr>
          </w:p>
        </w:tc>
      </w:tr>
      <w:tr w:rsidR="005466ED" w:rsidRPr="009D11C8" w14:paraId="6082D66E" w14:textId="77777777" w:rsidTr="00721AB4">
        <w:trPr>
          <w:trHeight w:val="180"/>
        </w:trPr>
        <w:tc>
          <w:tcPr>
            <w:tcW w:w="1711" w:type="dxa"/>
            <w:shd w:val="clear" w:color="auto" w:fill="FFFFFF" w:themeFill="background1"/>
          </w:tcPr>
          <w:p w14:paraId="77549D8F" w14:textId="77777777" w:rsidR="005466ED" w:rsidRPr="00602521" w:rsidRDefault="005466ED" w:rsidP="00721AB4">
            <w:pPr>
              <w:rPr>
                <w:rFonts w:ascii="Calibri" w:hAnsi="Calibri"/>
                <w:b/>
                <w:noProof/>
                <w:szCs w:val="24"/>
                <w:lang w:eastAsia="en-IE"/>
              </w:rPr>
            </w:pPr>
          </w:p>
        </w:tc>
        <w:tc>
          <w:tcPr>
            <w:tcW w:w="9488" w:type="dxa"/>
            <w:gridSpan w:val="7"/>
            <w:vMerge/>
          </w:tcPr>
          <w:p w14:paraId="042D7F8C" w14:textId="77777777" w:rsidR="005466ED" w:rsidRPr="009D11C8" w:rsidRDefault="005466ED" w:rsidP="00721AB4">
            <w:pPr>
              <w:ind w:left="284"/>
              <w:rPr>
                <w:rFonts w:ascii="Calibri" w:eastAsia="Calibri" w:hAnsi="Calibri"/>
                <w:bCs/>
                <w:noProof/>
                <w:sz w:val="22"/>
                <w:szCs w:val="24"/>
              </w:rPr>
            </w:pPr>
          </w:p>
        </w:tc>
      </w:tr>
      <w:tr w:rsidR="005466ED" w:rsidRPr="00E65E8D" w14:paraId="0F6C2F0B" w14:textId="77777777" w:rsidTr="00721AB4">
        <w:trPr>
          <w:trHeight w:val="80"/>
        </w:trPr>
        <w:tc>
          <w:tcPr>
            <w:tcW w:w="1794" w:type="dxa"/>
            <w:gridSpan w:val="2"/>
            <w:shd w:val="clear" w:color="auto" w:fill="F2F2F2" w:themeFill="background1" w:themeFillShade="F2"/>
          </w:tcPr>
          <w:p w14:paraId="1669191F" w14:textId="77777777" w:rsidR="005466ED" w:rsidRPr="005A4750" w:rsidRDefault="005466ED" w:rsidP="00721AB4">
            <w:pPr>
              <w:jc w:val="left"/>
              <w:rPr>
                <w:rFonts w:asciiTheme="minorHAnsi" w:hAnsiTheme="minorHAnsi" w:cstheme="minorHAnsi"/>
                <w:bCs/>
                <w:color w:val="000000"/>
              </w:rPr>
            </w:pPr>
            <w:r w:rsidRPr="005A4750">
              <w:rPr>
                <w:rFonts w:asciiTheme="minorHAnsi" w:hAnsiTheme="minorHAnsi" w:cstheme="minorHAnsi"/>
                <w:bCs/>
                <w:color w:val="000000"/>
              </w:rPr>
              <w:t>Taxonomy-aligned activities are expressed as a share of:</w:t>
            </w:r>
          </w:p>
          <w:p w14:paraId="58F587F6" w14:textId="77777777" w:rsidR="005466ED" w:rsidRPr="005A4750" w:rsidRDefault="005466ED" w:rsidP="00721AB4">
            <w:pPr>
              <w:pStyle w:val="Paragraphedeliste"/>
              <w:numPr>
                <w:ilvl w:val="0"/>
                <w:numId w:val="12"/>
              </w:numPr>
              <w:ind w:left="0" w:hanging="142"/>
              <w:jc w:val="left"/>
              <w:rPr>
                <w:rFonts w:asciiTheme="minorHAnsi" w:hAnsiTheme="minorHAnsi" w:cstheme="minorHAnsi"/>
                <w:bCs/>
                <w:color w:val="000000"/>
              </w:rPr>
            </w:pPr>
            <w:r w:rsidRPr="005A4750">
              <w:rPr>
                <w:rFonts w:asciiTheme="minorHAnsi" w:hAnsiTheme="minorHAnsi" w:cstheme="minorHAnsi"/>
                <w:bCs/>
                <w:color w:val="000000"/>
              </w:rPr>
              <w:t xml:space="preserve"> </w:t>
            </w:r>
            <w:r w:rsidRPr="005A4750">
              <w:rPr>
                <w:rFonts w:asciiTheme="minorHAnsi" w:hAnsiTheme="minorHAnsi" w:cstheme="minorHAnsi"/>
                <w:b/>
                <w:bCs/>
                <w:color w:val="000000"/>
              </w:rPr>
              <w:t>turnover</w:t>
            </w:r>
            <w:r w:rsidRPr="005A4750">
              <w:rPr>
                <w:rFonts w:asciiTheme="minorHAnsi" w:hAnsiTheme="minorHAnsi" w:cstheme="minorHAnsi"/>
                <w:bCs/>
                <w:color w:val="000000"/>
              </w:rPr>
              <w:t xml:space="preserve"> reflect</w:t>
            </w:r>
            <w:r>
              <w:rPr>
                <w:rFonts w:asciiTheme="minorHAnsi" w:hAnsiTheme="minorHAnsi" w:cstheme="minorHAnsi"/>
                <w:bCs/>
                <w:color w:val="000000"/>
              </w:rPr>
              <w:t>ing</w:t>
            </w:r>
            <w:r w:rsidRPr="005A4750">
              <w:rPr>
                <w:rFonts w:asciiTheme="minorHAnsi" w:hAnsiTheme="minorHAnsi" w:cstheme="minorHAnsi"/>
                <w:bCs/>
                <w:color w:val="000000"/>
              </w:rPr>
              <w:t xml:space="preserve"> the</w:t>
            </w:r>
            <w:r>
              <w:rPr>
                <w:rFonts w:asciiTheme="minorHAnsi" w:hAnsiTheme="minorHAnsi" w:cstheme="minorHAnsi"/>
                <w:bCs/>
                <w:color w:val="000000"/>
              </w:rPr>
              <w:t xml:space="preserve"> share of revenue from </w:t>
            </w:r>
            <w:r w:rsidRPr="005A4750">
              <w:rPr>
                <w:rFonts w:asciiTheme="minorHAnsi" w:hAnsiTheme="minorHAnsi" w:cstheme="minorHAnsi"/>
                <w:bCs/>
                <w:color w:val="000000"/>
              </w:rPr>
              <w:t xml:space="preserve">green </w:t>
            </w:r>
            <w:r>
              <w:rPr>
                <w:rFonts w:asciiTheme="minorHAnsi" w:hAnsiTheme="minorHAnsi" w:cstheme="minorHAnsi"/>
                <w:bCs/>
                <w:color w:val="000000"/>
              </w:rPr>
              <w:t xml:space="preserve">activities </w:t>
            </w:r>
            <w:r w:rsidRPr="005A4750">
              <w:rPr>
                <w:rFonts w:asciiTheme="minorHAnsi" w:hAnsiTheme="minorHAnsi" w:cstheme="minorHAnsi"/>
                <w:bCs/>
                <w:color w:val="000000"/>
              </w:rPr>
              <w:t>of investee companies</w:t>
            </w:r>
          </w:p>
          <w:p w14:paraId="5E6DD011" w14:textId="77777777" w:rsidR="005466ED" w:rsidRPr="005A4750" w:rsidRDefault="005466ED" w:rsidP="00721AB4">
            <w:pPr>
              <w:pStyle w:val="Paragraphedeliste"/>
              <w:numPr>
                <w:ilvl w:val="0"/>
                <w:numId w:val="12"/>
              </w:numPr>
              <w:ind w:left="0" w:hanging="142"/>
              <w:jc w:val="left"/>
              <w:rPr>
                <w:rFonts w:asciiTheme="minorHAnsi" w:hAnsiTheme="minorHAnsi" w:cstheme="minorHAnsi"/>
                <w:bCs/>
                <w:color w:val="000000"/>
              </w:rPr>
            </w:pPr>
            <w:r w:rsidRPr="005A4750">
              <w:rPr>
                <w:rFonts w:asciiTheme="minorHAnsi" w:hAnsiTheme="minorHAnsi" w:cstheme="minorHAnsi"/>
                <w:b/>
                <w:bCs/>
                <w:color w:val="000000"/>
              </w:rPr>
              <w:t>capital expenditure</w:t>
            </w:r>
            <w:r w:rsidRPr="005A4750">
              <w:rPr>
                <w:rFonts w:asciiTheme="minorHAnsi" w:hAnsiTheme="minorHAnsi" w:cstheme="minorHAnsi"/>
                <w:bCs/>
                <w:color w:val="000000"/>
              </w:rPr>
              <w:t xml:space="preserve"> </w:t>
            </w:r>
            <w:r>
              <w:rPr>
                <w:rFonts w:asciiTheme="minorHAnsi" w:hAnsiTheme="minorHAnsi" w:cstheme="minorHAnsi"/>
                <w:bCs/>
                <w:color w:val="000000"/>
              </w:rPr>
              <w:t>(</w:t>
            </w:r>
            <w:proofErr w:type="spellStart"/>
            <w:r>
              <w:rPr>
                <w:rFonts w:asciiTheme="minorHAnsi" w:hAnsiTheme="minorHAnsi" w:cstheme="minorHAnsi"/>
                <w:bCs/>
                <w:color w:val="000000"/>
              </w:rPr>
              <w:t>CapEx</w:t>
            </w:r>
            <w:proofErr w:type="spellEnd"/>
            <w:r>
              <w:rPr>
                <w:rFonts w:asciiTheme="minorHAnsi" w:hAnsiTheme="minorHAnsi" w:cstheme="minorHAnsi"/>
                <w:bCs/>
                <w:color w:val="000000"/>
              </w:rPr>
              <w:t xml:space="preserve">) </w:t>
            </w:r>
            <w:r w:rsidRPr="005A4750">
              <w:rPr>
                <w:rFonts w:asciiTheme="minorHAnsi" w:hAnsiTheme="minorHAnsi" w:cstheme="minorHAnsi"/>
                <w:bCs/>
                <w:color w:val="000000"/>
              </w:rPr>
              <w:t>show</w:t>
            </w:r>
            <w:r>
              <w:rPr>
                <w:rFonts w:asciiTheme="minorHAnsi" w:hAnsiTheme="minorHAnsi" w:cstheme="minorHAnsi"/>
                <w:bCs/>
                <w:color w:val="000000"/>
              </w:rPr>
              <w:t>ing</w:t>
            </w:r>
            <w:r w:rsidRPr="005A4750">
              <w:rPr>
                <w:rFonts w:asciiTheme="minorHAnsi" w:hAnsiTheme="minorHAnsi" w:cstheme="minorHAnsi"/>
                <w:bCs/>
                <w:color w:val="000000"/>
              </w:rPr>
              <w:t xml:space="preserve"> the green investments made by investee companies, </w:t>
            </w:r>
            <w:r>
              <w:rPr>
                <w:rFonts w:asciiTheme="minorHAnsi" w:hAnsiTheme="minorHAnsi" w:cstheme="minorHAnsi"/>
                <w:bCs/>
                <w:color w:val="000000"/>
              </w:rPr>
              <w:t>e.g.</w:t>
            </w:r>
            <w:r w:rsidRPr="005A4750">
              <w:rPr>
                <w:rFonts w:asciiTheme="minorHAnsi" w:hAnsiTheme="minorHAnsi" w:cstheme="minorHAnsi"/>
                <w:bCs/>
                <w:color w:val="000000"/>
              </w:rPr>
              <w:t xml:space="preserve"> for a transition to a green economy. </w:t>
            </w:r>
          </w:p>
          <w:p w14:paraId="35D40500" w14:textId="77777777" w:rsidR="005466ED" w:rsidRPr="00602521" w:rsidRDefault="005466ED" w:rsidP="00721AB4">
            <w:pPr>
              <w:pStyle w:val="Paragraphedeliste"/>
              <w:numPr>
                <w:ilvl w:val="0"/>
                <w:numId w:val="12"/>
              </w:numPr>
              <w:ind w:left="0" w:hanging="142"/>
              <w:jc w:val="left"/>
              <w:rPr>
                <w:rFonts w:ascii="Calibri" w:hAnsi="Calibri"/>
                <w:b/>
                <w:noProof/>
                <w:szCs w:val="24"/>
                <w:lang w:eastAsia="en-IE"/>
              </w:rPr>
            </w:pPr>
            <w:r w:rsidRPr="0020068D">
              <w:rPr>
                <w:rFonts w:asciiTheme="minorHAnsi" w:hAnsiTheme="minorHAnsi" w:cstheme="minorHAnsi"/>
                <w:b/>
                <w:bCs/>
                <w:color w:val="000000"/>
              </w:rPr>
              <w:t>operational expenditure</w:t>
            </w:r>
            <w:r w:rsidRPr="00B84967">
              <w:rPr>
                <w:rFonts w:asciiTheme="minorHAnsi" w:hAnsiTheme="minorHAnsi" w:cstheme="minorHAnsi"/>
                <w:bCs/>
                <w:color w:val="000000"/>
              </w:rPr>
              <w:t xml:space="preserve"> </w:t>
            </w:r>
            <w:r>
              <w:rPr>
                <w:rFonts w:asciiTheme="minorHAnsi" w:hAnsiTheme="minorHAnsi" w:cstheme="minorHAnsi"/>
                <w:bCs/>
                <w:color w:val="000000"/>
              </w:rPr>
              <w:t>(</w:t>
            </w:r>
            <w:proofErr w:type="spellStart"/>
            <w:r>
              <w:rPr>
                <w:rFonts w:asciiTheme="minorHAnsi" w:hAnsiTheme="minorHAnsi" w:cstheme="minorHAnsi"/>
                <w:bCs/>
                <w:color w:val="000000"/>
              </w:rPr>
              <w:t>OpEx</w:t>
            </w:r>
            <w:proofErr w:type="spellEnd"/>
            <w:r>
              <w:rPr>
                <w:rFonts w:asciiTheme="minorHAnsi" w:hAnsiTheme="minorHAnsi" w:cstheme="minorHAnsi"/>
                <w:bCs/>
                <w:color w:val="000000"/>
              </w:rPr>
              <w:t xml:space="preserve">) </w:t>
            </w:r>
            <w:r w:rsidRPr="00B84967">
              <w:rPr>
                <w:rFonts w:asciiTheme="minorHAnsi" w:hAnsiTheme="minorHAnsi" w:cstheme="minorHAnsi"/>
                <w:bCs/>
                <w:color w:val="000000"/>
              </w:rPr>
              <w:t>reflect</w:t>
            </w:r>
            <w:r w:rsidRPr="00CA1086">
              <w:rPr>
                <w:rFonts w:asciiTheme="minorHAnsi" w:hAnsiTheme="minorHAnsi" w:cstheme="minorHAnsi"/>
                <w:bCs/>
                <w:color w:val="000000"/>
              </w:rPr>
              <w:t>ing</w:t>
            </w:r>
            <w:r w:rsidRPr="0020068D">
              <w:rPr>
                <w:rFonts w:asciiTheme="minorHAnsi" w:hAnsiTheme="minorHAnsi" w:cstheme="minorHAnsi"/>
                <w:color w:val="000000"/>
              </w:rPr>
              <w:t xml:space="preserve"> green operational activities o</w:t>
            </w:r>
            <w:r w:rsidRPr="0020068D">
              <w:rPr>
                <w:rFonts w:asciiTheme="minorHAnsi" w:hAnsiTheme="minorHAnsi" w:cstheme="minorHAnsi"/>
                <w:bCs/>
                <w:color w:val="000000"/>
              </w:rPr>
              <w:t xml:space="preserve">f investee </w:t>
            </w:r>
            <w:r w:rsidRPr="005A4750">
              <w:rPr>
                <w:rFonts w:asciiTheme="minorHAnsi" w:hAnsiTheme="minorHAnsi" w:cstheme="minorHAnsi"/>
                <w:bCs/>
                <w:color w:val="000000"/>
              </w:rPr>
              <w:t>companies.</w:t>
            </w:r>
          </w:p>
        </w:tc>
        <w:tc>
          <w:tcPr>
            <w:tcW w:w="9405" w:type="dxa"/>
            <w:gridSpan w:val="6"/>
          </w:tcPr>
          <w:p w14:paraId="21D0AF43" w14:textId="77777777" w:rsidR="005466ED" w:rsidRDefault="005466ED" w:rsidP="00721AB4">
            <w:pPr>
              <w:rPr>
                <w:rFonts w:ascii="Calibri" w:eastAsia="Calibri" w:hAnsi="Calibri"/>
                <w:b/>
                <w:bCs/>
                <w:noProof/>
                <w:sz w:val="24"/>
                <w:szCs w:val="24"/>
              </w:rPr>
            </w:pPr>
          </w:p>
          <w:p w14:paraId="5DE06425" w14:textId="77777777" w:rsidR="005466ED" w:rsidRDefault="005466ED" w:rsidP="00721AB4">
            <w:pPr>
              <w:rPr>
                <w:rFonts w:ascii="Calibri" w:eastAsia="Calibri" w:hAnsi="Calibri"/>
                <w:b/>
                <w:bCs/>
                <w:noProof/>
                <w:sz w:val="24"/>
                <w:szCs w:val="24"/>
              </w:rPr>
            </w:pPr>
          </w:p>
          <w:p w14:paraId="046ED23C" w14:textId="77777777" w:rsidR="005466ED" w:rsidRDefault="005466ED" w:rsidP="00721AB4">
            <w:pPr>
              <w:rPr>
                <w:rFonts w:ascii="Calibri" w:eastAsia="Calibri" w:hAnsi="Calibri"/>
                <w:b/>
                <w:bCs/>
                <w:noProof/>
                <w:sz w:val="24"/>
                <w:szCs w:val="24"/>
              </w:rPr>
            </w:pPr>
          </w:p>
          <w:p w14:paraId="2A8405C4" w14:textId="77777777" w:rsidR="005466ED" w:rsidRDefault="005466ED" w:rsidP="00721AB4">
            <w:pPr>
              <w:rPr>
                <w:rFonts w:ascii="Calibri" w:eastAsia="Calibri" w:hAnsi="Calibri"/>
                <w:b/>
                <w:bCs/>
                <w:noProof/>
                <w:sz w:val="24"/>
                <w:szCs w:val="24"/>
              </w:rPr>
            </w:pPr>
          </w:p>
          <w:p w14:paraId="25DDEBFF" w14:textId="77777777" w:rsidR="005466ED" w:rsidRDefault="005466ED" w:rsidP="00721AB4">
            <w:pPr>
              <w:rPr>
                <w:rFonts w:ascii="Calibri" w:eastAsia="Calibri" w:hAnsi="Calibri"/>
                <w:b/>
                <w:bCs/>
                <w:noProof/>
                <w:sz w:val="24"/>
                <w:szCs w:val="24"/>
              </w:rPr>
            </w:pPr>
          </w:p>
          <w:p w14:paraId="4DB36D87" w14:textId="77777777" w:rsidR="005466ED" w:rsidRDefault="005466ED" w:rsidP="00721AB4">
            <w:pPr>
              <w:rPr>
                <w:rFonts w:ascii="Calibri" w:eastAsia="Calibri" w:hAnsi="Calibri"/>
                <w:b/>
                <w:bCs/>
                <w:noProof/>
                <w:sz w:val="24"/>
                <w:szCs w:val="24"/>
              </w:rPr>
            </w:pPr>
          </w:p>
          <w:p w14:paraId="777DB05A" w14:textId="77777777" w:rsidR="005466ED" w:rsidRDefault="005466ED" w:rsidP="00721AB4">
            <w:pPr>
              <w:rPr>
                <w:rFonts w:ascii="Calibri" w:eastAsia="Calibri" w:hAnsi="Calibri"/>
                <w:b/>
                <w:bCs/>
                <w:noProof/>
                <w:sz w:val="24"/>
                <w:szCs w:val="24"/>
              </w:rPr>
            </w:pPr>
          </w:p>
          <w:p w14:paraId="2BE36482" w14:textId="77777777" w:rsidR="005466ED" w:rsidRDefault="005466ED" w:rsidP="00721AB4">
            <w:pPr>
              <w:rPr>
                <w:rFonts w:ascii="Calibri" w:eastAsia="Calibri" w:hAnsi="Calibri"/>
                <w:b/>
                <w:bCs/>
                <w:noProof/>
                <w:sz w:val="24"/>
                <w:szCs w:val="24"/>
              </w:rPr>
            </w:pPr>
          </w:p>
          <w:p w14:paraId="4D9393C9" w14:textId="77777777" w:rsidR="005466ED" w:rsidRDefault="005466ED" w:rsidP="00721AB4">
            <w:pPr>
              <w:rPr>
                <w:rFonts w:ascii="Calibri" w:eastAsia="Calibri" w:hAnsi="Calibri"/>
                <w:b/>
                <w:bCs/>
                <w:noProof/>
                <w:sz w:val="24"/>
                <w:szCs w:val="24"/>
              </w:rPr>
            </w:pPr>
          </w:p>
          <w:p w14:paraId="31996794" w14:textId="77777777" w:rsidR="005466ED" w:rsidRPr="00C065A3" w:rsidRDefault="005466ED" w:rsidP="00721AB4">
            <w:pPr>
              <w:rPr>
                <w:rFonts w:ascii="Calibri" w:eastAsia="Calibri" w:hAnsi="Calibri"/>
                <w:bCs/>
                <w:noProof/>
                <w:sz w:val="22"/>
                <w:szCs w:val="24"/>
              </w:rPr>
            </w:pPr>
          </w:p>
          <w:p w14:paraId="65275F45" w14:textId="77777777" w:rsidR="005466ED" w:rsidRPr="00C47D1A" w:rsidRDefault="005466ED" w:rsidP="00721AB4">
            <w:pPr>
              <w:pStyle w:val="Paragraphedeliste"/>
              <w:numPr>
                <w:ilvl w:val="0"/>
                <w:numId w:val="14"/>
              </w:numPr>
              <w:contextualSpacing w:val="0"/>
              <w:rPr>
                <w:rFonts w:ascii="Calibri" w:eastAsia="Calibri" w:hAnsi="Calibri"/>
                <w:bCs/>
                <w:noProof/>
                <w:sz w:val="22"/>
                <w:szCs w:val="24"/>
              </w:rPr>
            </w:pPr>
            <w:r w:rsidRPr="00F41E3D">
              <w:rPr>
                <w:rFonts w:ascii="Calibri" w:eastAsia="Calibri" w:hAnsi="Calibri" w:cs="Calibri"/>
                <w:b/>
                <w:i/>
                <w:iCs/>
                <w:noProof/>
                <w:sz w:val="22"/>
                <w:szCs w:val="22"/>
              </w:rPr>
              <w:t>How does the use of derivatives attain the environmental or social characteristics promoted by the financial product</w:t>
            </w:r>
            <w:r w:rsidRPr="00630F50">
              <w:rPr>
                <w:rFonts w:ascii="Calibri" w:eastAsia="Calibri" w:hAnsi="Calibri" w:cs="Calibri"/>
                <w:b/>
                <w:i/>
                <w:iCs/>
                <w:noProof/>
                <w:sz w:val="22"/>
                <w:szCs w:val="22"/>
              </w:rPr>
              <w:t>?</w:t>
            </w:r>
            <w:r w:rsidRPr="00F41E3D">
              <w:rPr>
                <w:rFonts w:ascii="Calibri" w:eastAsia="Calibri" w:hAnsi="Calibri"/>
                <w:b/>
                <w:bCs/>
                <w:noProof/>
                <w:sz w:val="28"/>
                <w:szCs w:val="24"/>
                <w:lang w:val="en-US"/>
              </w:rPr>
              <w:t xml:space="preserve"> </w:t>
            </w:r>
          </w:p>
          <w:p w14:paraId="327ED759" w14:textId="77777777" w:rsidR="005466ED" w:rsidRPr="00C47D1A" w:rsidRDefault="005466ED" w:rsidP="00721AB4">
            <w:pPr>
              <w:pStyle w:val="Paragraphedeliste"/>
              <w:contextualSpacing w:val="0"/>
              <w:rPr>
                <w:rFonts w:ascii="Calibri" w:eastAsia="Calibri" w:hAnsi="Calibri"/>
                <w:bCs/>
                <w:noProof/>
                <w:sz w:val="22"/>
                <w:szCs w:val="24"/>
              </w:rPr>
            </w:pPr>
          </w:p>
          <w:p w14:paraId="47183FC8" w14:textId="77777777" w:rsidR="005466ED" w:rsidRPr="00913DC0" w:rsidRDefault="005466ED" w:rsidP="00721AB4">
            <w:pPr>
              <w:pStyle w:val="Paragraphedeliste"/>
              <w:ind w:left="624"/>
              <w:contextualSpacing w:val="0"/>
              <w:rPr>
                <w:rFonts w:eastAsia="Calibri" w:cs="Arial"/>
                <w:bCs/>
                <w:noProof/>
              </w:rPr>
            </w:pPr>
            <w:r w:rsidRPr="00913DC0">
              <w:rPr>
                <w:rFonts w:eastAsia="Calibri" w:cs="Arial"/>
                <w:bCs/>
                <w:noProof/>
                <w:lang w:val="en-US"/>
              </w:rPr>
              <w:t>The Sub-Fund may use FDIs for efficient portfolio management and hedging purposes. These FDIs are not used to attain the environmental and social characteristics promoted by the Sub-Fund.</w:t>
            </w:r>
          </w:p>
          <w:p w14:paraId="0853BC51" w14:textId="77777777" w:rsidR="005466ED" w:rsidRPr="00E65E8D" w:rsidRDefault="005466ED" w:rsidP="00721AB4">
            <w:pPr>
              <w:pStyle w:val="Paragraphedeliste"/>
              <w:contextualSpacing w:val="0"/>
              <w:rPr>
                <w:rFonts w:ascii="Calibri" w:eastAsia="Calibri" w:hAnsi="Calibri"/>
                <w:bCs/>
                <w:noProof/>
                <w:sz w:val="22"/>
                <w:szCs w:val="24"/>
              </w:rPr>
            </w:pPr>
          </w:p>
        </w:tc>
      </w:tr>
      <w:tr w:rsidR="005466ED" w14:paraId="4D3E22F6" w14:textId="77777777" w:rsidTr="00721AB4">
        <w:trPr>
          <w:trHeight w:val="20"/>
        </w:trPr>
        <w:tc>
          <w:tcPr>
            <w:tcW w:w="1711" w:type="dxa"/>
            <w:shd w:val="clear" w:color="auto" w:fill="FFFFFF" w:themeFill="background1"/>
          </w:tcPr>
          <w:p w14:paraId="445574A4" w14:textId="77777777" w:rsidR="005466ED" w:rsidRPr="00C61350" w:rsidRDefault="005466ED" w:rsidP="00721AB4">
            <w:pPr>
              <w:rPr>
                <w:rFonts w:asciiTheme="minorHAnsi" w:hAnsiTheme="minorHAnsi" w:cstheme="minorHAnsi"/>
                <w:bCs/>
                <w:i/>
                <w:color w:val="C00000"/>
              </w:rPr>
            </w:pPr>
          </w:p>
        </w:tc>
        <w:tc>
          <w:tcPr>
            <w:tcW w:w="9488" w:type="dxa"/>
            <w:gridSpan w:val="7"/>
          </w:tcPr>
          <w:p w14:paraId="1D688189" w14:textId="77777777" w:rsidR="005466ED" w:rsidRDefault="005466ED" w:rsidP="00721AB4">
            <w:pPr>
              <w:ind w:left="1080"/>
              <w:rPr>
                <w:rFonts w:ascii="Calibri" w:eastAsia="Calibri" w:hAnsi="Calibri"/>
                <w:b/>
                <w:bCs/>
                <w:noProof/>
                <w:sz w:val="24"/>
                <w:szCs w:val="24"/>
              </w:rPr>
            </w:pPr>
          </w:p>
        </w:tc>
      </w:tr>
      <w:tr w:rsidR="005466ED" w:rsidRPr="00C91F88" w14:paraId="0852B2CC" w14:textId="77777777" w:rsidTr="00721AB4">
        <w:trPr>
          <w:gridAfter w:val="1"/>
          <w:wAfter w:w="135" w:type="dxa"/>
          <w:trHeight w:val="4176"/>
        </w:trPr>
        <w:tc>
          <w:tcPr>
            <w:tcW w:w="1711" w:type="dxa"/>
            <w:shd w:val="clear" w:color="auto" w:fill="F2F2F2" w:themeFill="background1" w:themeFillShade="F2"/>
          </w:tcPr>
          <w:p w14:paraId="63D00810" w14:textId="77777777" w:rsidR="005466ED" w:rsidRDefault="005466ED" w:rsidP="00721AB4">
            <w:pPr>
              <w:jc w:val="left"/>
              <w:rPr>
                <w:rFonts w:ascii="Calibri" w:hAnsi="Calibri"/>
                <w:b/>
                <w:noProof/>
                <w:szCs w:val="24"/>
                <w:lang w:eastAsia="en-IE"/>
              </w:rPr>
            </w:pPr>
            <w:r w:rsidRPr="0041212C">
              <w:rPr>
                <w:rFonts w:ascii="Calibri" w:hAnsi="Calibri"/>
                <w:noProof/>
                <w:szCs w:val="24"/>
                <w:lang w:eastAsia="en-IE"/>
              </w:rPr>
              <w:t xml:space="preserve">To comply with the EU Taxonomy, the criteria for </w:t>
            </w:r>
            <w:r w:rsidRPr="0041212C">
              <w:rPr>
                <w:rFonts w:ascii="Calibri" w:hAnsi="Calibri"/>
                <w:b/>
                <w:noProof/>
                <w:szCs w:val="24"/>
                <w:lang w:eastAsia="en-IE"/>
              </w:rPr>
              <w:t>fossil gas</w:t>
            </w:r>
            <w:r>
              <w:rPr>
                <w:rFonts w:ascii="Calibri" w:hAnsi="Calibri"/>
                <w:b/>
                <w:noProof/>
                <w:szCs w:val="24"/>
                <w:lang w:eastAsia="en-IE"/>
              </w:rPr>
              <w:t xml:space="preserve"> </w:t>
            </w:r>
            <w:r w:rsidRPr="0041212C">
              <w:rPr>
                <w:rFonts w:ascii="Calibri" w:hAnsi="Calibri"/>
                <w:noProof/>
                <w:szCs w:val="24"/>
                <w:lang w:eastAsia="en-IE"/>
              </w:rPr>
              <w:t xml:space="preserve">include limitations on emissions and switching to renewable power or low-carbon fuels by the end of 2035. For </w:t>
            </w:r>
            <w:r>
              <w:rPr>
                <w:rFonts w:ascii="Calibri" w:hAnsi="Calibri"/>
                <w:b/>
                <w:noProof/>
                <w:szCs w:val="24"/>
                <w:lang w:eastAsia="en-IE"/>
              </w:rPr>
              <w:t>nuclear energy</w:t>
            </w:r>
            <w:r w:rsidRPr="0041212C">
              <w:rPr>
                <w:rFonts w:ascii="Calibri" w:hAnsi="Calibri"/>
                <w:noProof/>
                <w:szCs w:val="24"/>
                <w:lang w:eastAsia="en-IE"/>
              </w:rPr>
              <w:t>, the criteria include comprehensive safety and waster management rules</w:t>
            </w:r>
            <w:r>
              <w:rPr>
                <w:rFonts w:ascii="Calibri" w:hAnsi="Calibri"/>
                <w:b/>
                <w:noProof/>
                <w:szCs w:val="24"/>
                <w:lang w:eastAsia="en-IE"/>
              </w:rPr>
              <w:t>.</w:t>
            </w:r>
          </w:p>
          <w:p w14:paraId="3ED23FB4" w14:textId="77777777" w:rsidR="005466ED" w:rsidRDefault="005466ED" w:rsidP="00721AB4">
            <w:pPr>
              <w:rPr>
                <w:rFonts w:ascii="Calibri" w:hAnsi="Calibri"/>
                <w:b/>
                <w:noProof/>
                <w:szCs w:val="24"/>
                <w:lang w:eastAsia="en-IE"/>
              </w:rPr>
            </w:pPr>
          </w:p>
          <w:p w14:paraId="22E2B9D4" w14:textId="77777777" w:rsidR="005466ED" w:rsidRPr="0041212C" w:rsidRDefault="005466ED" w:rsidP="00721AB4">
            <w:pPr>
              <w:jc w:val="left"/>
              <w:rPr>
                <w:rFonts w:ascii="Calibri" w:hAnsi="Calibri"/>
                <w:noProof/>
                <w:szCs w:val="24"/>
                <w:lang w:eastAsia="en-IE"/>
              </w:rPr>
            </w:pPr>
            <w:r>
              <w:rPr>
                <w:rFonts w:ascii="Calibri" w:hAnsi="Calibri"/>
                <w:b/>
                <w:noProof/>
                <w:szCs w:val="24"/>
                <w:lang w:eastAsia="en-IE"/>
              </w:rPr>
              <w:t xml:space="preserve">Enabling activities </w:t>
            </w:r>
            <w:r w:rsidRPr="0041212C">
              <w:rPr>
                <w:rFonts w:ascii="Calibri" w:hAnsi="Calibri"/>
                <w:noProof/>
                <w:szCs w:val="24"/>
                <w:lang w:eastAsia="en-IE"/>
              </w:rPr>
              <w:t>directly enable other activities to make a substantial contribution to an invironmental objective.</w:t>
            </w:r>
          </w:p>
          <w:p w14:paraId="6EFFC0E5" w14:textId="77777777" w:rsidR="005466ED" w:rsidRDefault="005466ED" w:rsidP="00721AB4">
            <w:pPr>
              <w:rPr>
                <w:rFonts w:ascii="Calibri" w:hAnsi="Calibri"/>
                <w:b/>
                <w:noProof/>
                <w:szCs w:val="24"/>
                <w:lang w:eastAsia="en-IE"/>
              </w:rPr>
            </w:pPr>
          </w:p>
          <w:p w14:paraId="64980AF3" w14:textId="77777777" w:rsidR="005466ED" w:rsidRPr="0041212C" w:rsidRDefault="005466ED" w:rsidP="00721AB4">
            <w:pPr>
              <w:jc w:val="left"/>
              <w:rPr>
                <w:rFonts w:ascii="Calibri" w:hAnsi="Calibri"/>
                <w:noProof/>
                <w:szCs w:val="24"/>
                <w:lang w:eastAsia="en-IE"/>
              </w:rPr>
            </w:pPr>
            <w:r>
              <w:rPr>
                <w:rFonts w:ascii="Calibri" w:hAnsi="Calibri"/>
                <w:b/>
                <w:noProof/>
                <w:szCs w:val="24"/>
                <w:lang w:eastAsia="en-IE"/>
              </w:rPr>
              <w:t xml:space="preserve">Transitional activities </w:t>
            </w:r>
            <w:r w:rsidRPr="0041212C">
              <w:rPr>
                <w:rFonts w:ascii="Calibri" w:hAnsi="Calibri"/>
                <w:noProof/>
                <w:szCs w:val="24"/>
                <w:lang w:eastAsia="en-IE"/>
              </w:rPr>
              <w:t>are activities for which low-carbon alternatives are not yet available and among others have greenhouse gas emission levels corresponding to the best performance.</w:t>
            </w:r>
          </w:p>
        </w:tc>
        <w:tc>
          <w:tcPr>
            <w:tcW w:w="9353" w:type="dxa"/>
            <w:gridSpan w:val="6"/>
          </w:tcPr>
          <w:p w14:paraId="37E8EC90" w14:textId="166B4005" w:rsidR="005466ED" w:rsidRDefault="005466ED" w:rsidP="00721AB4">
            <w:pPr>
              <w:spacing w:after="160" w:line="259" w:lineRule="auto"/>
              <w:ind w:left="720"/>
              <w:rPr>
                <w:rFonts w:ascii="Calibri" w:eastAsia="Calibri" w:hAnsi="Calibri"/>
                <w:b/>
                <w:bCs/>
                <w:noProof/>
                <w:sz w:val="24"/>
                <w:szCs w:val="24"/>
              </w:rPr>
            </w:pPr>
            <w:r w:rsidRPr="003A1C01">
              <w:rPr>
                <w:noProof/>
                <w:lang w:eastAsia="en-IE"/>
              </w:rPr>
              <w:drawing>
                <wp:anchor distT="0" distB="0" distL="114300" distR="114300" simplePos="0" relativeHeight="251689984" behindDoc="0" locked="0" layoutInCell="1" allowOverlap="1" wp14:anchorId="46CA3D4D" wp14:editId="579E902F">
                  <wp:simplePos x="0" y="0"/>
                  <wp:positionH relativeFrom="leftMargin">
                    <wp:posOffset>106968</wp:posOffset>
                  </wp:positionH>
                  <wp:positionV relativeFrom="paragraph">
                    <wp:posOffset>18531</wp:posOffset>
                  </wp:positionV>
                  <wp:extent cx="359410" cy="359410"/>
                  <wp:effectExtent l="0" t="0" r="2540" b="2540"/>
                  <wp:wrapNone/>
                  <wp:docPr id="953" name="Graphic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359410" cy="359410"/>
                          </a:xfrm>
                          <a:prstGeom prst="rect">
                            <a:avLst/>
                          </a:prstGeom>
                        </pic:spPr>
                      </pic:pic>
                    </a:graphicData>
                  </a:graphic>
                  <wp14:sizeRelH relativeFrom="margin">
                    <wp14:pctWidth>0</wp14:pctWidth>
                  </wp14:sizeRelH>
                  <wp14:sizeRelV relativeFrom="margin">
                    <wp14:pctHeight>0</wp14:pctHeight>
                  </wp14:sizeRelV>
                </wp:anchor>
              </w:drawing>
            </w:r>
            <w:r w:rsidRPr="003A1C01">
              <w:rPr>
                <w:rFonts w:ascii="Calibri" w:eastAsia="Calibri" w:hAnsi="Calibri"/>
                <w:b/>
                <w:bCs/>
                <w:noProof/>
                <w:sz w:val="24"/>
                <w:szCs w:val="24"/>
              </w:rPr>
              <w:t xml:space="preserve">To what minimum extent are sustainable investments </w:t>
            </w:r>
            <w:r>
              <w:rPr>
                <w:rFonts w:ascii="Calibri" w:eastAsia="Calibri" w:hAnsi="Calibri"/>
                <w:b/>
                <w:bCs/>
                <w:noProof/>
                <w:sz w:val="24"/>
                <w:szCs w:val="24"/>
              </w:rPr>
              <w:t xml:space="preserve">with an environmental objective </w:t>
            </w:r>
            <w:r w:rsidRPr="003A1C01">
              <w:rPr>
                <w:rFonts w:ascii="Calibri" w:eastAsia="Calibri" w:hAnsi="Calibri"/>
                <w:b/>
                <w:bCs/>
                <w:noProof/>
                <w:sz w:val="24"/>
                <w:szCs w:val="24"/>
              </w:rPr>
              <w:t>aligned with the EU Taxonomy</w:t>
            </w:r>
            <w:r w:rsidRPr="001F2B77">
              <w:rPr>
                <w:rFonts w:ascii="Calibri" w:eastAsia="Calibri" w:hAnsi="Calibri"/>
                <w:b/>
                <w:bCs/>
                <w:noProof/>
                <w:sz w:val="24"/>
                <w:szCs w:val="24"/>
              </w:rPr>
              <w:t>?</w:t>
            </w:r>
            <w:r>
              <w:rPr>
                <w:rFonts w:ascii="Calibri" w:eastAsia="Calibri" w:hAnsi="Calibri"/>
                <w:b/>
                <w:bCs/>
                <w:noProof/>
                <w:sz w:val="24"/>
                <w:szCs w:val="24"/>
              </w:rPr>
              <w:t xml:space="preserve"> </w:t>
            </w:r>
          </w:p>
          <w:p w14:paraId="7DC81372" w14:textId="77777777" w:rsidR="005466ED" w:rsidRPr="00913DC0" w:rsidRDefault="005466ED" w:rsidP="00721AB4">
            <w:pPr>
              <w:ind w:left="720"/>
              <w:rPr>
                <w:rFonts w:eastAsia="Arial" w:cs="Arial"/>
                <w:bCs/>
              </w:rPr>
            </w:pPr>
            <w:r>
              <w:rPr>
                <w:rFonts w:eastAsia="Arial" w:cs="Arial"/>
                <w:lang w:val="en-US"/>
              </w:rPr>
              <w:t xml:space="preserve">The alignment may not exceed </w:t>
            </w:r>
            <w:r w:rsidRPr="00913DC0">
              <w:rPr>
                <w:rFonts w:eastAsia="Arial" w:cs="Arial"/>
                <w:lang w:val="en-US"/>
              </w:rPr>
              <w:t>0%. The Sub-Fund does not commit to a minimum extent of EU Taxonomy alignment for its investments.</w:t>
            </w:r>
            <w:r>
              <w:rPr>
                <w:rFonts w:eastAsia="Arial" w:cs="Arial"/>
                <w:lang w:val="en-US"/>
              </w:rPr>
              <w:t xml:space="preserve"> </w:t>
            </w:r>
          </w:p>
          <w:p w14:paraId="7F9EF306" w14:textId="77777777" w:rsidR="005466ED" w:rsidRDefault="005466ED" w:rsidP="00721AB4">
            <w:pPr>
              <w:ind w:left="720"/>
              <w:rPr>
                <w:rFonts w:ascii="Calibri" w:eastAsia="Calibri" w:hAnsi="Calibri"/>
                <w:bCs/>
                <w:noProof/>
                <w:sz w:val="22"/>
                <w:szCs w:val="24"/>
              </w:rPr>
            </w:pPr>
          </w:p>
          <w:p w14:paraId="0FDE1BB4" w14:textId="77777777" w:rsidR="005466ED" w:rsidRDefault="005466ED" w:rsidP="00721AB4">
            <w:pPr>
              <w:ind w:left="720"/>
              <w:rPr>
                <w:rFonts w:ascii="Calibri" w:eastAsia="Calibri" w:hAnsi="Calibri"/>
                <w:bCs/>
                <w:noProof/>
                <w:sz w:val="22"/>
                <w:szCs w:val="24"/>
              </w:rPr>
            </w:pPr>
          </w:p>
          <w:p w14:paraId="56D978DE" w14:textId="77777777" w:rsidR="005466ED" w:rsidRDefault="005466ED" w:rsidP="00721AB4">
            <w:pPr>
              <w:pStyle w:val="Paragraphedeliste"/>
              <w:numPr>
                <w:ilvl w:val="0"/>
                <w:numId w:val="14"/>
              </w:numPr>
              <w:ind w:left="1080"/>
              <w:contextualSpacing w:val="0"/>
              <w:rPr>
                <w:rFonts w:asciiTheme="minorHAnsi" w:hAnsiTheme="minorHAnsi" w:cstheme="minorHAnsi"/>
                <w:b/>
                <w:noProof/>
                <w:sz w:val="22"/>
                <w:szCs w:val="22"/>
                <w:lang w:eastAsia="en-IE"/>
              </w:rPr>
            </w:pPr>
            <w:r w:rsidRPr="000F3FBE">
              <w:rPr>
                <w:rFonts w:asciiTheme="minorHAnsi" w:hAnsiTheme="minorHAnsi" w:cstheme="minorHAnsi"/>
                <w:b/>
                <w:noProof/>
                <w:sz w:val="22"/>
                <w:szCs w:val="22"/>
                <w:lang w:eastAsia="en-IE"/>
              </w:rPr>
              <w:t>Does the financi</w:t>
            </w:r>
            <w:r>
              <w:rPr>
                <w:rFonts w:asciiTheme="minorHAnsi" w:hAnsiTheme="minorHAnsi" w:cstheme="minorHAnsi"/>
                <w:b/>
                <w:noProof/>
                <w:sz w:val="22"/>
                <w:szCs w:val="22"/>
                <w:lang w:eastAsia="en-IE"/>
              </w:rPr>
              <w:t>a</w:t>
            </w:r>
            <w:r w:rsidRPr="000F3FBE">
              <w:rPr>
                <w:rFonts w:asciiTheme="minorHAnsi" w:hAnsiTheme="minorHAnsi" w:cstheme="minorHAnsi"/>
                <w:b/>
                <w:noProof/>
                <w:sz w:val="22"/>
                <w:szCs w:val="22"/>
                <w:lang w:eastAsia="en-IE"/>
              </w:rPr>
              <w:t>l product invest in fossil gas and/or nuclear energy related activities that comply with the EU Taxonomy</w:t>
            </w:r>
            <w:r w:rsidRPr="000F3FBE">
              <w:rPr>
                <w:rStyle w:val="Appelnotedebasdep"/>
                <w:rFonts w:eastAsiaTheme="majorEastAsia" w:cstheme="minorHAnsi"/>
                <w:noProof/>
                <w:szCs w:val="22"/>
                <w:lang w:eastAsia="en-IE"/>
              </w:rPr>
              <w:footnoteReference w:id="2"/>
            </w:r>
            <w:r w:rsidRPr="000F3FBE">
              <w:rPr>
                <w:rFonts w:asciiTheme="minorHAnsi" w:hAnsiTheme="minorHAnsi" w:cstheme="minorHAnsi"/>
                <w:b/>
                <w:noProof/>
                <w:sz w:val="22"/>
                <w:szCs w:val="22"/>
                <w:lang w:eastAsia="en-IE"/>
              </w:rPr>
              <w:t>?</w:t>
            </w:r>
          </w:p>
          <w:p w14:paraId="6FFECA7E" w14:textId="77777777" w:rsidR="005466ED" w:rsidRDefault="005466ED" w:rsidP="00721AB4">
            <w:pPr>
              <w:pStyle w:val="Paragraphedeliste"/>
              <w:ind w:left="1080"/>
              <w:contextualSpacing w:val="0"/>
              <w:rPr>
                <w:rFonts w:asciiTheme="minorHAnsi" w:hAnsiTheme="minorHAnsi" w:cstheme="minorHAnsi"/>
                <w:b/>
                <w:noProof/>
                <w:sz w:val="22"/>
                <w:szCs w:val="22"/>
                <w:lang w:eastAsia="en-IE"/>
              </w:rPr>
            </w:pPr>
            <w:r w:rsidRPr="00A71F62">
              <w:rPr>
                <w:rFonts w:ascii="Calibri" w:eastAsia="Calibri" w:hAnsi="Calibri"/>
                <w:noProof/>
                <w:color w:val="000000"/>
                <w:szCs w:val="22"/>
                <w:lang w:eastAsia="en-IE"/>
              </w:rPr>
              <mc:AlternateContent>
                <mc:Choice Requires="wps">
                  <w:drawing>
                    <wp:anchor distT="0" distB="0" distL="114300" distR="114300" simplePos="0" relativeHeight="251691008" behindDoc="0" locked="0" layoutInCell="1" allowOverlap="1" wp14:anchorId="790E3369" wp14:editId="30D74944">
                      <wp:simplePos x="0" y="0"/>
                      <wp:positionH relativeFrom="column">
                        <wp:posOffset>1019810</wp:posOffset>
                      </wp:positionH>
                      <wp:positionV relativeFrom="paragraph">
                        <wp:posOffset>157480</wp:posOffset>
                      </wp:positionV>
                      <wp:extent cx="179705" cy="193675"/>
                      <wp:effectExtent l="0" t="0" r="0" b="0"/>
                      <wp:wrapNone/>
                      <wp:docPr id="54" name="Rectangle 54"/>
                      <wp:cNvGraphicFramePr/>
                      <a:graphic xmlns:a="http://schemas.openxmlformats.org/drawingml/2006/main">
                        <a:graphicData uri="http://schemas.microsoft.com/office/word/2010/wordprocessingShape">
                          <wps:wsp>
                            <wps:cNvSpPr/>
                            <wps:spPr>
                              <a:xfrm>
                                <a:off x="0" y="0"/>
                                <a:ext cx="179705" cy="193675"/>
                              </a:xfrm>
                              <a:prstGeom prst="rect">
                                <a:avLst/>
                              </a:prstGeom>
                              <a:solidFill>
                                <a:sysClr val="window" lastClr="FFFFFF">
                                  <a:lumMod val="9500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D1D8C" id="Rectangle 54" o:spid="_x0000_s1026" style="position:absolute;margin-left:80.3pt;margin-top:12.4pt;width:14.15pt;height:15.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" fillcolor="#f2f2f2" stroked="f" strokeweight="1pt"/>
                  </w:pict>
                </mc:Fallback>
              </mc:AlternateContent>
            </w:r>
          </w:p>
          <w:p w14:paraId="1CAB288E" w14:textId="77777777" w:rsidR="005466ED" w:rsidRDefault="005466ED" w:rsidP="00721AB4">
            <w:pPr>
              <w:pStyle w:val="Paragraphedeliste"/>
              <w:rPr>
                <w:rFonts w:ascii="Calibri" w:eastAsia="Calibri" w:hAnsi="Calibri"/>
                <w:i/>
                <w:noProof/>
                <w:color w:val="C00000"/>
                <w:szCs w:val="22"/>
                <w:lang w:eastAsia="en-IE"/>
              </w:rPr>
            </w:pPr>
            <w:r>
              <w:rPr>
                <w:rFonts w:ascii="Calibri" w:eastAsia="Calibri" w:hAnsi="Calibri"/>
                <w:noProof/>
                <w:color w:val="000000"/>
                <w:szCs w:val="22"/>
                <w:lang w:eastAsia="en-IE"/>
              </w:rPr>
              <w:tab/>
            </w:r>
            <w:r>
              <w:rPr>
                <w:rFonts w:ascii="Calibri" w:eastAsia="Calibri" w:hAnsi="Calibri"/>
                <w:noProof/>
                <w:color w:val="000000"/>
                <w:szCs w:val="22"/>
                <w:lang w:eastAsia="en-IE"/>
              </w:rPr>
              <w:tab/>
              <w:t xml:space="preserve">Yes:  </w:t>
            </w:r>
          </w:p>
          <w:p w14:paraId="6D3F8EE6" w14:textId="77777777" w:rsidR="005466ED" w:rsidRDefault="005466ED" w:rsidP="00721AB4">
            <w:pPr>
              <w:pStyle w:val="Paragraphedeliste"/>
              <w:rPr>
                <w:rFonts w:ascii="Calibri" w:eastAsia="Calibri" w:hAnsi="Calibri"/>
                <w:i/>
                <w:noProof/>
                <w:color w:val="C00000"/>
                <w:szCs w:val="22"/>
                <w:lang w:eastAsia="en-IE"/>
              </w:rPr>
            </w:pPr>
            <w:r w:rsidRPr="00A71F62">
              <w:rPr>
                <w:rFonts w:ascii="Calibri" w:eastAsia="Calibri" w:hAnsi="Calibri"/>
                <w:noProof/>
                <w:color w:val="000000"/>
                <w:szCs w:val="22"/>
                <w:lang w:eastAsia="en-IE"/>
              </w:rPr>
              <mc:AlternateContent>
                <mc:Choice Requires="wps">
                  <w:drawing>
                    <wp:anchor distT="0" distB="0" distL="114300" distR="114300" simplePos="0" relativeHeight="251693056" behindDoc="0" locked="0" layoutInCell="1" allowOverlap="1" wp14:anchorId="4E2294F0" wp14:editId="1FB88FDC">
                      <wp:simplePos x="0" y="0"/>
                      <wp:positionH relativeFrom="column">
                        <wp:posOffset>2875915</wp:posOffset>
                      </wp:positionH>
                      <wp:positionV relativeFrom="paragraph">
                        <wp:posOffset>103505</wp:posOffset>
                      </wp:positionV>
                      <wp:extent cx="179705" cy="193675"/>
                      <wp:effectExtent l="0" t="0" r="0" b="0"/>
                      <wp:wrapNone/>
                      <wp:docPr id="56" name="Rectangle 56"/>
                      <wp:cNvGraphicFramePr/>
                      <a:graphic xmlns:a="http://schemas.openxmlformats.org/drawingml/2006/main">
                        <a:graphicData uri="http://schemas.microsoft.com/office/word/2010/wordprocessingShape">
                          <wps:wsp>
                            <wps:cNvSpPr/>
                            <wps:spPr>
                              <a:xfrm>
                                <a:off x="0" y="0"/>
                                <a:ext cx="179705" cy="193675"/>
                              </a:xfrm>
                              <a:prstGeom prst="rect">
                                <a:avLst/>
                              </a:prstGeom>
                              <a:solidFill>
                                <a:sysClr val="window" lastClr="FFFFFF">
                                  <a:lumMod val="9500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3D398C" id="Rectangle 56" o:spid="_x0000_s1026" style="position:absolute;margin-left:226.45pt;margin-top:8.15pt;width:14.15pt;height:15.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" fillcolor="#f2f2f2" stroked="f" strokeweight="1pt"/>
                  </w:pict>
                </mc:Fallback>
              </mc:AlternateContent>
            </w:r>
            <w:r w:rsidRPr="00A71F62">
              <w:rPr>
                <w:rFonts w:ascii="Calibri" w:eastAsia="Calibri" w:hAnsi="Calibri"/>
                <w:noProof/>
                <w:color w:val="000000"/>
                <w:szCs w:val="22"/>
                <w:lang w:eastAsia="en-IE"/>
              </w:rPr>
              <mc:AlternateContent>
                <mc:Choice Requires="wps">
                  <w:drawing>
                    <wp:anchor distT="0" distB="0" distL="114300" distR="114300" simplePos="0" relativeHeight="251692032" behindDoc="0" locked="0" layoutInCell="1" allowOverlap="1" wp14:anchorId="0673A824" wp14:editId="1E062FEB">
                      <wp:simplePos x="0" y="0"/>
                      <wp:positionH relativeFrom="column">
                        <wp:posOffset>1515740</wp:posOffset>
                      </wp:positionH>
                      <wp:positionV relativeFrom="paragraph">
                        <wp:posOffset>112395</wp:posOffset>
                      </wp:positionV>
                      <wp:extent cx="179705" cy="193675"/>
                      <wp:effectExtent l="0" t="0" r="0" b="0"/>
                      <wp:wrapNone/>
                      <wp:docPr id="55" name="Rectangle 55"/>
                      <wp:cNvGraphicFramePr/>
                      <a:graphic xmlns:a="http://schemas.openxmlformats.org/drawingml/2006/main">
                        <a:graphicData uri="http://schemas.microsoft.com/office/word/2010/wordprocessingShape">
                          <wps:wsp>
                            <wps:cNvSpPr/>
                            <wps:spPr>
                              <a:xfrm>
                                <a:off x="0" y="0"/>
                                <a:ext cx="179705" cy="193675"/>
                              </a:xfrm>
                              <a:prstGeom prst="rect">
                                <a:avLst/>
                              </a:prstGeom>
                              <a:solidFill>
                                <a:sysClr val="window" lastClr="FFFFFF">
                                  <a:lumMod val="9500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AC773E" id="Rectangle 55" o:spid="_x0000_s1026" style="position:absolute;margin-left:119.35pt;margin-top:8.85pt;width:14.15pt;height:15.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" fillcolor="#f2f2f2" stroked="f" strokeweight="1pt"/>
                  </w:pict>
                </mc:Fallback>
              </mc:AlternateContent>
            </w:r>
          </w:p>
          <w:p w14:paraId="3A59FA0D" w14:textId="77777777" w:rsidR="005466ED" w:rsidRDefault="005466ED" w:rsidP="00721AB4">
            <w:pPr>
              <w:pStyle w:val="Paragraphedeliste"/>
              <w:rPr>
                <w:rFonts w:asciiTheme="minorHAnsi" w:hAnsiTheme="minorHAnsi" w:cstheme="minorHAnsi"/>
                <w:noProof/>
                <w:sz w:val="22"/>
                <w:szCs w:val="22"/>
                <w:lang w:eastAsia="en-IE"/>
              </w:rPr>
            </w:pPr>
            <w:r>
              <w:rPr>
                <w:rFonts w:asciiTheme="minorHAnsi" w:hAnsiTheme="minorHAnsi" w:cstheme="minorHAnsi"/>
                <w:b/>
                <w:noProof/>
                <w:sz w:val="22"/>
                <w:szCs w:val="22"/>
                <w:lang w:eastAsia="en-IE"/>
              </w:rPr>
              <w:tab/>
            </w:r>
            <w:r>
              <w:rPr>
                <w:rFonts w:asciiTheme="minorHAnsi" w:hAnsiTheme="minorHAnsi" w:cstheme="minorHAnsi"/>
                <w:b/>
                <w:noProof/>
                <w:sz w:val="22"/>
                <w:szCs w:val="22"/>
                <w:lang w:eastAsia="en-IE"/>
              </w:rPr>
              <w:tab/>
            </w:r>
            <w:r>
              <w:rPr>
                <w:rFonts w:asciiTheme="minorHAnsi" w:hAnsiTheme="minorHAnsi" w:cstheme="minorHAnsi"/>
                <w:b/>
                <w:noProof/>
                <w:sz w:val="22"/>
                <w:szCs w:val="22"/>
                <w:lang w:eastAsia="en-IE"/>
              </w:rPr>
              <w:tab/>
            </w:r>
            <w:r w:rsidRPr="000F3FBE">
              <w:rPr>
                <w:rFonts w:asciiTheme="minorHAnsi" w:hAnsiTheme="minorHAnsi" w:cstheme="minorHAnsi"/>
                <w:noProof/>
                <w:sz w:val="22"/>
                <w:szCs w:val="22"/>
                <w:lang w:eastAsia="en-IE"/>
              </w:rPr>
              <w:t>In fossil gas</w:t>
            </w:r>
            <w:r>
              <w:rPr>
                <w:rFonts w:asciiTheme="minorHAnsi" w:hAnsiTheme="minorHAnsi" w:cstheme="minorHAnsi"/>
                <w:noProof/>
                <w:sz w:val="22"/>
                <w:szCs w:val="22"/>
                <w:lang w:eastAsia="en-IE"/>
              </w:rPr>
              <w:tab/>
            </w:r>
            <w:r>
              <w:rPr>
                <w:rFonts w:asciiTheme="minorHAnsi" w:hAnsiTheme="minorHAnsi" w:cstheme="minorHAnsi"/>
                <w:noProof/>
                <w:sz w:val="22"/>
                <w:szCs w:val="22"/>
                <w:lang w:eastAsia="en-IE"/>
              </w:rPr>
              <w:tab/>
              <w:t>In nuclear energy</w:t>
            </w:r>
          </w:p>
          <w:p w14:paraId="28DA9F2A" w14:textId="77777777" w:rsidR="005466ED" w:rsidRDefault="005466ED" w:rsidP="00721AB4">
            <w:pPr>
              <w:pStyle w:val="Paragraphedeliste"/>
              <w:rPr>
                <w:rFonts w:asciiTheme="minorHAnsi" w:hAnsiTheme="minorHAnsi" w:cstheme="minorHAnsi"/>
                <w:noProof/>
                <w:sz w:val="22"/>
                <w:szCs w:val="22"/>
                <w:lang w:eastAsia="en-IE"/>
              </w:rPr>
            </w:pPr>
          </w:p>
          <w:p w14:paraId="6618CAF3" w14:textId="3D9286C2" w:rsidR="005466ED" w:rsidRDefault="005466ED" w:rsidP="00721AB4">
            <w:pPr>
              <w:spacing w:after="160" w:line="259" w:lineRule="auto"/>
              <w:ind w:left="720"/>
              <w:rPr>
                <w:rFonts w:cs="Arial"/>
                <w:noProof/>
                <w:lang w:eastAsia="en-IE"/>
              </w:rPr>
            </w:pPr>
            <w:r w:rsidRPr="00C36630">
              <w:rPr>
                <w:rFonts w:cs="Arial"/>
                <w:noProof/>
                <w:lang w:eastAsia="en-IE"/>
              </w:rPr>
              <w:drawing>
                <wp:anchor distT="0" distB="0" distL="114300" distR="114300" simplePos="0" relativeHeight="251695104" behindDoc="0" locked="0" layoutInCell="1" allowOverlap="1" wp14:anchorId="6E68FEBE" wp14:editId="4D01BDF4">
                  <wp:simplePos x="0" y="0"/>
                  <wp:positionH relativeFrom="column">
                    <wp:posOffset>1042035</wp:posOffset>
                  </wp:positionH>
                  <wp:positionV relativeFrom="paragraph">
                    <wp:posOffset>5715</wp:posOffset>
                  </wp:positionV>
                  <wp:extent cx="152400" cy="152400"/>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flipV="1">
                            <a:off x="0" y="0"/>
                            <a:ext cx="152400" cy="152400"/>
                          </a:xfrm>
                          <a:prstGeom prst="rect">
                            <a:avLst/>
                          </a:prstGeom>
                          <a:noFill/>
                        </pic:spPr>
                      </pic:pic>
                    </a:graphicData>
                  </a:graphic>
                  <wp14:sizeRelH relativeFrom="page">
                    <wp14:pctWidth>0</wp14:pctWidth>
                  </wp14:sizeRelH>
                  <wp14:sizeRelV relativeFrom="page">
                    <wp14:pctHeight>0</wp14:pctHeight>
                  </wp14:sizeRelV>
                </wp:anchor>
              </w:drawing>
            </w:r>
            <w:r>
              <w:rPr>
                <w:rFonts w:asciiTheme="minorHAnsi" w:hAnsiTheme="minorHAnsi" w:cstheme="minorHAnsi"/>
                <w:noProof/>
                <w:sz w:val="22"/>
                <w:szCs w:val="22"/>
                <w:lang w:eastAsia="en-IE"/>
              </w:rPr>
              <w:tab/>
            </w:r>
            <w:r w:rsidRPr="00C36630">
              <w:rPr>
                <w:rFonts w:cs="Arial"/>
                <w:noProof/>
                <w:lang w:eastAsia="en-IE"/>
              </w:rPr>
              <w:tab/>
              <w:t>No</w:t>
            </w:r>
          </w:p>
          <w:p w14:paraId="602EAB0F" w14:textId="77777777" w:rsidR="005466ED" w:rsidRDefault="005466ED" w:rsidP="00721AB4">
            <w:pPr>
              <w:ind w:left="720"/>
              <w:rPr>
                <w:rFonts w:asciiTheme="minorHAnsi" w:hAnsiTheme="minorHAnsi" w:cstheme="minorHAnsi"/>
                <w:noProof/>
                <w:sz w:val="22"/>
                <w:szCs w:val="22"/>
                <w:lang w:eastAsia="en-IE"/>
              </w:rPr>
            </w:pPr>
          </w:p>
          <w:tbl>
            <w:tblPr>
              <w:tblStyle w:val="Grilledutableau"/>
              <w:tblW w:w="908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BE9D8"/>
              <w:tblLook w:val="04A0" w:firstRow="1" w:lastRow="0" w:firstColumn="1" w:lastColumn="0" w:noHBand="0" w:noVBand="1"/>
            </w:tblPr>
            <w:tblGrid>
              <w:gridCol w:w="9083"/>
            </w:tblGrid>
            <w:tr w:rsidR="005466ED" w14:paraId="7FD6F05B" w14:textId="77777777" w:rsidTr="00721AB4">
              <w:tc>
                <w:tcPr>
                  <w:tcW w:w="9083" w:type="dxa"/>
                  <w:shd w:val="clear" w:color="auto" w:fill="FBE9D8"/>
                </w:tcPr>
                <w:p w14:paraId="79655608" w14:textId="77777777" w:rsidR="005466ED" w:rsidRDefault="005466ED" w:rsidP="00721AB4">
                  <w:pPr>
                    <w:rPr>
                      <w:rFonts w:ascii="Calibri" w:hAnsi="Calibri" w:cs="Calibri"/>
                      <w:i/>
                      <w:iCs/>
                      <w:noProof/>
                      <w:sz w:val="18"/>
                    </w:rPr>
                  </w:pPr>
                </w:p>
                <w:p w14:paraId="3FA26D36" w14:textId="77777777" w:rsidR="005466ED" w:rsidRDefault="005466ED" w:rsidP="00721AB4">
                  <w:pPr>
                    <w:rPr>
                      <w:rFonts w:ascii="Calibri" w:hAnsi="Calibri" w:cs="Calibri"/>
                      <w:i/>
                      <w:iCs/>
                      <w:noProof/>
                      <w:sz w:val="18"/>
                    </w:rPr>
                  </w:pPr>
                  <w:r>
                    <w:rPr>
                      <w:rFonts w:ascii="Calibri" w:hAnsi="Calibri" w:cs="Calibri"/>
                      <w:i/>
                      <w:iCs/>
                      <w:noProof/>
                      <w:sz w:val="18"/>
                    </w:rPr>
                    <w:t>The two graphs below show in green the minimum percentage of investments that are aligned with the EU Taxonomy. As there is no appropriate methodology to determine the Taxonomy-alignment of sovereign bonds*, t</w:t>
                  </w:r>
                  <w:r w:rsidRPr="007B7FC6">
                    <w:rPr>
                      <w:rFonts w:ascii="Calibri" w:hAnsi="Calibri" w:cs="Calibri"/>
                      <w:i/>
                      <w:iCs/>
                      <w:noProof/>
                      <w:sz w:val="18"/>
                    </w:rPr>
                    <w:t>he first graph shows the Taxonomy alignment in relation to all the investments of the financial product including sovereign bonds, while the second graph shows the Taxonomy alignment only in relation to the investments of the financial product other than sovereign bonds.</w:t>
                  </w:r>
                </w:p>
                <w:p w14:paraId="554497A5" w14:textId="77777777" w:rsidR="005466ED" w:rsidRDefault="005466ED" w:rsidP="00721AB4">
                  <w:pPr>
                    <w:rPr>
                      <w:rFonts w:ascii="Calibri" w:hAnsi="Calibri" w:cs="Calibri"/>
                      <w:i/>
                      <w:iCs/>
                      <w:noProof/>
                      <w:sz w:val="18"/>
                    </w:rPr>
                  </w:pPr>
                </w:p>
                <w:p w14:paraId="437A656A" w14:textId="595AD38F" w:rsidR="005466ED" w:rsidRDefault="005466ED" w:rsidP="00721AB4">
                  <w:pPr>
                    <w:rPr>
                      <w:rFonts w:ascii="Calibri" w:hAnsi="Calibri" w:cs="Calibri"/>
                      <w:b/>
                      <w:i/>
                      <w:iCs/>
                      <w:noProof/>
                      <w:color w:val="C00000"/>
                      <w:sz w:val="18"/>
                    </w:rPr>
                  </w:pPr>
                  <w:r>
                    <w:rPr>
                      <w:noProof/>
                      <w:lang w:eastAsia="en-IE"/>
                    </w:rPr>
                    <mc:AlternateContent>
                      <mc:Choice Requires="wps">
                        <w:drawing>
                          <wp:anchor distT="0" distB="0" distL="114300" distR="114300" simplePos="0" relativeHeight="251694080" behindDoc="0" locked="0" layoutInCell="1" allowOverlap="1" wp14:anchorId="56E10817" wp14:editId="12003B04">
                            <wp:simplePos x="0" y="0"/>
                            <wp:positionH relativeFrom="column">
                              <wp:posOffset>2550596</wp:posOffset>
                            </wp:positionH>
                            <wp:positionV relativeFrom="paragraph">
                              <wp:posOffset>1573474</wp:posOffset>
                            </wp:positionV>
                            <wp:extent cx="2587142" cy="199466"/>
                            <wp:effectExtent l="0" t="0" r="3810" b="0"/>
                            <wp:wrapNone/>
                            <wp:docPr id="31" name="Text Box 31"/>
                            <wp:cNvGraphicFramePr/>
                            <a:graphic xmlns:a="http://schemas.openxmlformats.org/drawingml/2006/main">
                              <a:graphicData uri="http://schemas.microsoft.com/office/word/2010/wordprocessingShape">
                                <wps:wsp>
                                  <wps:cNvSpPr txBox="1"/>
                                  <wps:spPr>
                                    <a:xfrm>
                                      <a:off x="0" y="0"/>
                                      <a:ext cx="2587142" cy="199466"/>
                                    </a:xfrm>
                                    <a:prstGeom prst="rect">
                                      <a:avLst/>
                                    </a:prstGeom>
                                    <a:solidFill>
                                      <a:prstClr val="white"/>
                                    </a:solidFill>
                                    <a:ln>
                                      <a:noFill/>
                                    </a:ln>
                                  </wps:spPr>
                                  <wps:txbx>
                                    <w:txbxContent>
                                      <w:p w14:paraId="1BE421CB" w14:textId="77777777" w:rsidR="005466ED" w:rsidRPr="00AD4B7E" w:rsidRDefault="005466ED" w:rsidP="005466ED">
                                        <w:pPr>
                                          <w:pStyle w:val="Lgende"/>
                                          <w:rPr>
                                            <w:rFonts w:cstheme="minorHAnsi"/>
                                            <w:b w:val="0"/>
                                            <w:noProof/>
                                            <w:color w:val="808080" w:themeColor="background1" w:themeShade="80"/>
                                            <w:sz w:val="16"/>
                                            <w:szCs w:val="16"/>
                                            <w:lang w:val="en-US"/>
                                          </w:rPr>
                                        </w:pPr>
                                        <w:r w:rsidRPr="00AD4B7E">
                                          <w:rPr>
                                            <w:rFonts w:cstheme="minorHAnsi"/>
                                            <w:b w:val="0"/>
                                            <w:noProof/>
                                            <w:color w:val="808080" w:themeColor="background1" w:themeShade="80"/>
                                            <w:sz w:val="16"/>
                                            <w:szCs w:val="16"/>
                                            <w:lang w:val="en-US"/>
                                          </w:rPr>
                                          <w:t xml:space="preserve">This graph represents </w:t>
                                        </w:r>
                                        <w:r>
                                          <w:rPr>
                                            <w:rFonts w:cstheme="minorHAnsi"/>
                                            <w:b w:val="0"/>
                                            <w:noProof/>
                                            <w:color w:val="808080" w:themeColor="background1" w:themeShade="80"/>
                                            <w:sz w:val="16"/>
                                            <w:szCs w:val="16"/>
                                            <w:lang w:val="en-US"/>
                                          </w:rPr>
                                          <w:t>100</w:t>
                                        </w:r>
                                        <w:r w:rsidRPr="00AD4B7E">
                                          <w:rPr>
                                            <w:rFonts w:cstheme="minorHAnsi"/>
                                            <w:b w:val="0"/>
                                            <w:noProof/>
                                            <w:color w:val="808080" w:themeColor="background1" w:themeShade="80"/>
                                            <w:sz w:val="16"/>
                                            <w:szCs w:val="16"/>
                                            <w:lang w:val="en-US"/>
                                          </w:rPr>
                                          <w:t>% of the total investments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E10817" id="_x0000_t202" coordsize="21600,21600" o:spt="202" path="m,l,21600r21600,l21600,xe">
                            <v:stroke joinstyle="miter"/>
                            <v:path gradientshapeok="t" o:connecttype="rect"/>
                          </v:shapetype>
                          <v:shape id="Text Box 31" o:spid="_x0000_s1029" type="#_x0000_t202" style="position:absolute;left:0;text-align:left;margin-left:200.85pt;margin-top:123.9pt;width:203.7pt;height:15.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" stroked="f">
                            <v:textbox inset="0,0,0,0">
                              <w:txbxContent>
                                <w:p w14:paraId="1BE421CB" w14:textId="77777777" w:rsidR="005466ED" w:rsidRPr="00AD4B7E" w:rsidRDefault="005466ED" w:rsidP="005466ED">
                                  <w:pPr>
                                    <w:pStyle w:val="Lgende"/>
                                    <w:rPr>
                                      <w:rFonts w:cstheme="minorHAnsi"/>
                                      <w:b w:val="0"/>
                                      <w:noProof/>
                                      <w:color w:val="808080" w:themeColor="background1" w:themeShade="80"/>
                                      <w:sz w:val="16"/>
                                      <w:szCs w:val="16"/>
                                      <w:lang w:val="en-US"/>
                                    </w:rPr>
                                  </w:pPr>
                                  <w:r w:rsidRPr="00AD4B7E">
                                    <w:rPr>
                                      <w:rFonts w:cstheme="minorHAnsi"/>
                                      <w:b w:val="0"/>
                                      <w:noProof/>
                                      <w:color w:val="808080" w:themeColor="background1" w:themeShade="80"/>
                                      <w:sz w:val="16"/>
                                      <w:szCs w:val="16"/>
                                      <w:lang w:val="en-US"/>
                                    </w:rPr>
                                    <w:t xml:space="preserve">This graph represents </w:t>
                                  </w:r>
                                  <w:r>
                                    <w:rPr>
                                      <w:rFonts w:cstheme="minorHAnsi"/>
                                      <w:b w:val="0"/>
                                      <w:noProof/>
                                      <w:color w:val="808080" w:themeColor="background1" w:themeShade="80"/>
                                      <w:sz w:val="16"/>
                                      <w:szCs w:val="16"/>
                                      <w:lang w:val="en-US"/>
                                    </w:rPr>
                                    <w:t>100</w:t>
                                  </w:r>
                                  <w:r w:rsidRPr="00AD4B7E">
                                    <w:rPr>
                                      <w:rFonts w:cstheme="minorHAnsi"/>
                                      <w:b w:val="0"/>
                                      <w:noProof/>
                                      <w:color w:val="808080" w:themeColor="background1" w:themeShade="80"/>
                                      <w:sz w:val="16"/>
                                      <w:szCs w:val="16"/>
                                      <w:lang w:val="en-US"/>
                                    </w:rPr>
                                    <w:t>% of the total investments</w:t>
                                  </w:r>
                                </w:p>
                              </w:txbxContent>
                            </v:textbox>
                          </v:shape>
                        </w:pict>
                      </mc:Fallback>
                    </mc:AlternateContent>
                  </w:r>
                  <w:r>
                    <w:rPr>
                      <w:rFonts w:ascii="Calibri" w:hAnsi="Calibri" w:cs="Calibri"/>
                      <w:b/>
                      <w:i/>
                      <w:iCs/>
                      <w:noProof/>
                      <w:color w:val="C00000"/>
                      <w:sz w:val="18"/>
                    </w:rPr>
                    <w:drawing>
                      <wp:inline distT="0" distB="0" distL="0" distR="0" wp14:anchorId="2DE4C812" wp14:editId="3CDC162F">
                        <wp:extent cx="2566670" cy="1572895"/>
                        <wp:effectExtent l="0" t="0" r="5080" b="8255"/>
                        <wp:docPr id="14126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66670" cy="1572895"/>
                                </a:xfrm>
                                <a:prstGeom prst="rect">
                                  <a:avLst/>
                                </a:prstGeom>
                                <a:noFill/>
                              </pic:spPr>
                            </pic:pic>
                          </a:graphicData>
                        </a:graphic>
                      </wp:inline>
                    </w:drawing>
                  </w:r>
                  <w:r>
                    <w:rPr>
                      <w:rFonts w:ascii="Calibri" w:hAnsi="Calibri" w:cs="Calibri"/>
                      <w:b/>
                      <w:i/>
                      <w:iCs/>
                      <w:noProof/>
                      <w:color w:val="C00000"/>
                      <w:sz w:val="18"/>
                    </w:rPr>
                    <w:drawing>
                      <wp:inline distT="0" distB="0" distL="0" distR="0" wp14:anchorId="624BD307" wp14:editId="11EB981A">
                        <wp:extent cx="2566670" cy="1572895"/>
                        <wp:effectExtent l="0" t="0" r="5080" b="8255"/>
                        <wp:docPr id="1151041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66670" cy="1572895"/>
                                </a:xfrm>
                                <a:prstGeom prst="rect">
                                  <a:avLst/>
                                </a:prstGeom>
                                <a:noFill/>
                              </pic:spPr>
                            </pic:pic>
                          </a:graphicData>
                        </a:graphic>
                      </wp:inline>
                    </w:drawing>
                  </w:r>
                </w:p>
                <w:p w14:paraId="4991707E" w14:textId="77777777" w:rsidR="005466ED" w:rsidRDefault="005466ED" w:rsidP="00721AB4">
                  <w:pPr>
                    <w:rPr>
                      <w:rFonts w:ascii="Calibri" w:hAnsi="Calibri" w:cs="Calibri"/>
                      <w:b/>
                      <w:i/>
                      <w:iCs/>
                      <w:noProof/>
                      <w:color w:val="C00000"/>
                      <w:sz w:val="18"/>
                    </w:rPr>
                  </w:pPr>
                </w:p>
                <w:p w14:paraId="6B957B92" w14:textId="77777777" w:rsidR="005466ED" w:rsidRDefault="005466ED" w:rsidP="00721AB4">
                  <w:pPr>
                    <w:rPr>
                      <w:rFonts w:ascii="Calibri" w:hAnsi="Calibri" w:cs="Calibri"/>
                      <w:b/>
                      <w:i/>
                      <w:iCs/>
                      <w:noProof/>
                      <w:color w:val="C00000"/>
                      <w:sz w:val="18"/>
                    </w:rPr>
                  </w:pPr>
                </w:p>
                <w:p w14:paraId="60B27C29" w14:textId="77777777" w:rsidR="005466ED" w:rsidRDefault="005466ED" w:rsidP="00721AB4">
                  <w:pPr>
                    <w:rPr>
                      <w:rFonts w:ascii="Calibri" w:hAnsi="Calibri" w:cs="Calibri"/>
                      <w:b/>
                      <w:i/>
                      <w:iCs/>
                      <w:noProof/>
                      <w:color w:val="C00000"/>
                      <w:sz w:val="18"/>
                    </w:rPr>
                  </w:pPr>
                </w:p>
                <w:p w14:paraId="3A520EEE" w14:textId="77777777" w:rsidR="005466ED" w:rsidRDefault="005466ED" w:rsidP="00721AB4">
                  <w:pPr>
                    <w:rPr>
                      <w:rFonts w:ascii="Calibri" w:hAnsi="Calibri" w:cs="Calibri"/>
                      <w:b/>
                      <w:i/>
                      <w:iCs/>
                      <w:noProof/>
                      <w:color w:val="C00000"/>
                      <w:sz w:val="18"/>
                    </w:rPr>
                  </w:pPr>
                  <w:r w:rsidRPr="00965A52">
                    <w:rPr>
                      <w:rFonts w:ascii="Calibri" w:hAnsi="Calibri"/>
                      <w:noProof/>
                      <w:sz w:val="18"/>
                      <w:szCs w:val="24"/>
                    </w:rPr>
                    <w:t xml:space="preserve">* </w:t>
                  </w:r>
                  <w:r>
                    <w:rPr>
                      <w:rFonts w:ascii="Calibri" w:hAnsi="Calibri"/>
                      <w:noProof/>
                      <w:sz w:val="18"/>
                      <w:szCs w:val="24"/>
                    </w:rPr>
                    <w:t xml:space="preserve"> </w:t>
                  </w:r>
                  <w:r w:rsidRPr="008001BE">
                    <w:rPr>
                      <w:rFonts w:ascii="Calibri" w:hAnsi="Calibri" w:cs="Calibri"/>
                      <w:i/>
                      <w:iCs/>
                      <w:noProof/>
                      <w:sz w:val="18"/>
                    </w:rPr>
                    <w:t xml:space="preserve"> For the purpose of these graphs,</w:t>
                  </w:r>
                  <w:r w:rsidRPr="00D22D85">
                    <w:rPr>
                      <w:rFonts w:ascii="Calibri" w:hAnsi="Calibri" w:cs="Calibri"/>
                      <w:i/>
                      <w:iCs/>
                      <w:noProof/>
                      <w:sz w:val="18"/>
                    </w:rPr>
                    <w:t xml:space="preserve"> ‘</w:t>
                  </w:r>
                  <w:r>
                    <w:rPr>
                      <w:rFonts w:ascii="Calibri" w:hAnsi="Calibri" w:cs="Calibri"/>
                      <w:i/>
                      <w:iCs/>
                      <w:noProof/>
                      <w:sz w:val="18"/>
                    </w:rPr>
                    <w:t xml:space="preserve">sovereign bonds’ consist of </w:t>
                  </w:r>
                  <w:r w:rsidRPr="00965A52">
                    <w:rPr>
                      <w:rFonts w:ascii="Calibri" w:hAnsi="Calibri" w:cs="Calibri"/>
                      <w:i/>
                      <w:iCs/>
                      <w:noProof/>
                      <w:sz w:val="18"/>
                    </w:rPr>
                    <w:t xml:space="preserve"> </w:t>
                  </w:r>
                  <w:r>
                    <w:rPr>
                      <w:rFonts w:ascii="Calibri" w:hAnsi="Calibri" w:cs="Calibri"/>
                      <w:i/>
                      <w:iCs/>
                      <w:noProof/>
                      <w:sz w:val="18"/>
                    </w:rPr>
                    <w:t xml:space="preserve">all </w:t>
                  </w:r>
                  <w:r w:rsidRPr="00965A52">
                    <w:rPr>
                      <w:rFonts w:ascii="Calibri" w:hAnsi="Calibri" w:cs="Calibri"/>
                      <w:i/>
                      <w:iCs/>
                      <w:noProof/>
                      <w:sz w:val="18"/>
                    </w:rPr>
                    <w:t>sovereign exposures</w:t>
                  </w:r>
                  <w:r>
                    <w:rPr>
                      <w:rFonts w:ascii="Calibri" w:hAnsi="Calibri" w:cs="Calibri"/>
                      <w:i/>
                      <w:iCs/>
                      <w:noProof/>
                      <w:sz w:val="18"/>
                    </w:rPr>
                    <w:t>.</w:t>
                  </w:r>
                </w:p>
                <w:p w14:paraId="791398B9" w14:textId="77777777" w:rsidR="005466ED" w:rsidRDefault="005466ED" w:rsidP="00721AB4">
                  <w:pPr>
                    <w:rPr>
                      <w:rFonts w:ascii="Calibri" w:eastAsia="Calibri" w:hAnsi="Calibri"/>
                      <w:bCs/>
                      <w:noProof/>
                      <w:sz w:val="24"/>
                      <w:szCs w:val="24"/>
                    </w:rPr>
                  </w:pPr>
                </w:p>
              </w:tc>
            </w:tr>
          </w:tbl>
          <w:p w14:paraId="73CFDCB3" w14:textId="77777777" w:rsidR="005466ED" w:rsidRPr="00C91F88" w:rsidRDefault="005466ED" w:rsidP="00721AB4">
            <w:pPr>
              <w:rPr>
                <w:rFonts w:ascii="Calibri" w:eastAsia="Calibri" w:hAnsi="Calibri"/>
                <w:bCs/>
                <w:noProof/>
                <w:sz w:val="24"/>
                <w:szCs w:val="24"/>
              </w:rPr>
            </w:pPr>
          </w:p>
        </w:tc>
      </w:tr>
      <w:tr w:rsidR="005466ED" w:rsidRPr="003A1C01" w14:paraId="712A9108" w14:textId="77777777" w:rsidTr="00721AB4">
        <w:trPr>
          <w:gridAfter w:val="1"/>
          <w:wAfter w:w="135" w:type="dxa"/>
          <w:trHeight w:val="288"/>
        </w:trPr>
        <w:tc>
          <w:tcPr>
            <w:tcW w:w="1711" w:type="dxa"/>
            <w:shd w:val="clear" w:color="auto" w:fill="FFFFFF" w:themeFill="background1"/>
          </w:tcPr>
          <w:p w14:paraId="67A1E1A5" w14:textId="77777777" w:rsidR="005466ED" w:rsidRPr="0041212C" w:rsidRDefault="005466ED" w:rsidP="00721AB4">
            <w:pPr>
              <w:rPr>
                <w:rFonts w:ascii="Calibri" w:hAnsi="Calibri"/>
                <w:i/>
                <w:noProof/>
                <w:color w:val="C00000"/>
                <w:szCs w:val="24"/>
                <w:lang w:eastAsia="en-IE"/>
              </w:rPr>
            </w:pPr>
          </w:p>
        </w:tc>
        <w:tc>
          <w:tcPr>
            <w:tcW w:w="9353" w:type="dxa"/>
            <w:gridSpan w:val="6"/>
          </w:tcPr>
          <w:p w14:paraId="485A7738" w14:textId="77777777" w:rsidR="005466ED" w:rsidRPr="00C47D1A" w:rsidRDefault="005466ED" w:rsidP="00721AB4">
            <w:pPr>
              <w:pStyle w:val="Paragraphedeliste"/>
              <w:numPr>
                <w:ilvl w:val="0"/>
                <w:numId w:val="14"/>
              </w:numPr>
              <w:ind w:left="1080"/>
              <w:contextualSpacing w:val="0"/>
              <w:rPr>
                <w:noProof/>
                <w:sz w:val="22"/>
                <w:lang w:eastAsia="en-IE"/>
              </w:rPr>
            </w:pPr>
            <w:r w:rsidRPr="00A71F62">
              <w:rPr>
                <w:rFonts w:ascii="Calibri" w:hAnsi="Calibri"/>
                <w:b/>
                <w:bCs/>
                <w:i/>
                <w:iCs/>
                <w:noProof/>
                <w:sz w:val="22"/>
                <w:lang w:val="en-US"/>
              </w:rPr>
              <w:t>What is the minimum share of investments in trans</w:t>
            </w:r>
            <w:r>
              <w:rPr>
                <w:rFonts w:ascii="Calibri" w:hAnsi="Calibri"/>
                <w:b/>
                <w:bCs/>
                <w:i/>
                <w:iCs/>
                <w:noProof/>
                <w:sz w:val="22"/>
                <w:lang w:val="en-US"/>
              </w:rPr>
              <w:t xml:space="preserve">itional and enabling activities? </w:t>
            </w:r>
          </w:p>
          <w:p w14:paraId="519C77FC" w14:textId="77777777" w:rsidR="005466ED" w:rsidRDefault="005466ED" w:rsidP="00721AB4">
            <w:pPr>
              <w:pStyle w:val="Paragraphedeliste"/>
              <w:ind w:left="1080"/>
              <w:contextualSpacing w:val="0"/>
              <w:rPr>
                <w:rFonts w:eastAsia="Arial" w:cs="Arial"/>
                <w:lang w:val="en-US"/>
              </w:rPr>
            </w:pPr>
          </w:p>
          <w:p w14:paraId="7AB3D3D0" w14:textId="77777777" w:rsidR="005466ED" w:rsidRPr="00913DC0" w:rsidRDefault="005466ED" w:rsidP="00721AB4">
            <w:pPr>
              <w:ind w:left="624"/>
              <w:rPr>
                <w:rFonts w:asciiTheme="minorHAnsi" w:hAnsiTheme="minorHAnsi" w:cstheme="minorHAnsi"/>
                <w:noProof/>
                <w:sz w:val="22"/>
                <w:szCs w:val="22"/>
                <w:lang w:eastAsia="en-IE"/>
              </w:rPr>
            </w:pPr>
            <w:r w:rsidRPr="00913DC0">
              <w:rPr>
                <w:rFonts w:eastAsia="Arial" w:cs="Arial"/>
                <w:lang w:val="en-US"/>
              </w:rPr>
              <w:t>N/A – the Sub-Fund has no minimum proportion of investment in transitional or enabling activities.</w:t>
            </w:r>
          </w:p>
          <w:p w14:paraId="5FD1C786" w14:textId="77777777" w:rsidR="005466ED" w:rsidRPr="00913DC0" w:rsidRDefault="005466ED" w:rsidP="00721AB4">
            <w:pPr>
              <w:pStyle w:val="Paragraphedeliste"/>
              <w:ind w:left="1080"/>
              <w:contextualSpacing w:val="0"/>
              <w:rPr>
                <w:rFonts w:ascii="Calibri" w:hAnsi="Calibri"/>
                <w:bCs/>
                <w:i/>
                <w:iCs/>
                <w:noProof/>
                <w:color w:val="C00000"/>
              </w:rPr>
            </w:pPr>
          </w:p>
          <w:p w14:paraId="0DE04E5A" w14:textId="77777777" w:rsidR="005466ED" w:rsidRPr="003A1C01" w:rsidRDefault="005466ED" w:rsidP="00721AB4">
            <w:pPr>
              <w:ind w:left="720"/>
              <w:rPr>
                <w:noProof/>
                <w:lang w:eastAsia="en-IE"/>
              </w:rPr>
            </w:pPr>
          </w:p>
        </w:tc>
      </w:tr>
      <w:tr w:rsidR="005466ED" w:rsidRPr="0030670F" w14:paraId="6E8CF434" w14:textId="77777777" w:rsidTr="00721AB4">
        <w:trPr>
          <w:trHeight w:val="5400"/>
        </w:trPr>
        <w:tc>
          <w:tcPr>
            <w:tcW w:w="1974" w:type="dxa"/>
            <w:gridSpan w:val="4"/>
            <w:shd w:val="clear" w:color="auto" w:fill="F2F2F2" w:themeFill="background1" w:themeFillShade="F2"/>
          </w:tcPr>
          <w:p w14:paraId="090AE4E8" w14:textId="77777777" w:rsidR="005466ED" w:rsidRPr="00602521" w:rsidRDefault="005466ED" w:rsidP="00721AB4">
            <w:pPr>
              <w:ind w:left="29" w:right="-35"/>
              <w:jc w:val="left"/>
              <w:rPr>
                <w:rFonts w:ascii="Calibri" w:hAnsi="Calibri"/>
                <w:b/>
                <w:noProof/>
                <w:szCs w:val="24"/>
                <w:lang w:eastAsia="en-IE"/>
              </w:rPr>
            </w:pPr>
            <w:r>
              <w:rPr>
                <w:noProof/>
              </w:rPr>
              <w:t xml:space="preserve">   </w:t>
            </w:r>
            <w:r>
              <w:rPr>
                <w:noProof/>
                <w:lang w:eastAsia="en-IE"/>
              </w:rPr>
              <w:drawing>
                <wp:inline distT="0" distB="0" distL="0" distR="0" wp14:anchorId="1636C7C8" wp14:editId="4E9B0F2F">
                  <wp:extent cx="277978" cy="264312"/>
                  <wp:effectExtent l="0" t="0" r="8255" b="2540"/>
                  <wp:docPr id="2" name="Graphic 2"/>
                  <wp:cNvGraphicFramePr/>
                  <a:graphic xmlns:a="http://schemas.openxmlformats.org/drawingml/2006/main">
                    <a:graphicData uri="http://schemas.openxmlformats.org/drawingml/2006/picture">
                      <pic:pic xmlns:pic="http://schemas.openxmlformats.org/drawingml/2006/picture">
                        <pic:nvPicPr>
                          <pic:cNvPr id="962" name="Graphic 21"/>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282736" cy="268836"/>
                          </a:xfrm>
                          <a:prstGeom prst="rect">
                            <a:avLst/>
                          </a:prstGeom>
                        </pic:spPr>
                      </pic:pic>
                    </a:graphicData>
                  </a:graphic>
                </wp:inline>
              </w:drawing>
            </w:r>
            <w:r w:rsidRPr="00E47F7D">
              <w:rPr>
                <w:noProof/>
              </w:rPr>
              <w:t xml:space="preserve"> </w:t>
            </w:r>
            <w:r w:rsidRPr="00E82CB3">
              <w:rPr>
                <w:rFonts w:asciiTheme="minorHAnsi" w:hAnsiTheme="minorHAnsi" w:cstheme="minorHAnsi"/>
                <w:noProof/>
              </w:rPr>
              <w:t xml:space="preserve">are sustainable investments </w:t>
            </w:r>
            <w:r>
              <w:rPr>
                <w:rFonts w:asciiTheme="minorHAnsi" w:hAnsiTheme="minorHAnsi" w:cstheme="minorHAnsi"/>
                <w:noProof/>
              </w:rPr>
              <w:t xml:space="preserve">with an environmental objective </w:t>
            </w:r>
            <w:r w:rsidRPr="00E82CB3">
              <w:rPr>
                <w:rFonts w:asciiTheme="minorHAnsi" w:hAnsiTheme="minorHAnsi" w:cstheme="minorHAnsi"/>
                <w:noProof/>
              </w:rPr>
              <w:t xml:space="preserve">that </w:t>
            </w:r>
            <w:r w:rsidRPr="00E82CB3">
              <w:rPr>
                <w:rFonts w:asciiTheme="minorHAnsi" w:hAnsiTheme="minorHAnsi" w:cstheme="minorHAnsi"/>
                <w:b/>
                <w:noProof/>
              </w:rPr>
              <w:t>do not take into account the criteria</w:t>
            </w:r>
            <w:r w:rsidRPr="00E82CB3">
              <w:rPr>
                <w:rFonts w:asciiTheme="minorHAnsi" w:hAnsiTheme="minorHAnsi" w:cstheme="minorHAnsi"/>
                <w:noProof/>
              </w:rPr>
              <w:t xml:space="preserve"> for environmentally sustainable economic activities under the EU Taxonomy. </w:t>
            </w:r>
          </w:p>
        </w:tc>
        <w:tc>
          <w:tcPr>
            <w:tcW w:w="9225" w:type="dxa"/>
            <w:gridSpan w:val="4"/>
          </w:tcPr>
          <w:p w14:paraId="01FC5BA5" w14:textId="774F6BCE" w:rsidR="005466ED" w:rsidRDefault="005466ED" w:rsidP="00721AB4">
            <w:pPr>
              <w:ind w:left="720"/>
              <w:rPr>
                <w:rFonts w:ascii="Calibri" w:eastAsia="Calibri" w:hAnsi="Calibri"/>
                <w:b/>
                <w:bCs/>
                <w:noProof/>
                <w:sz w:val="24"/>
                <w:szCs w:val="24"/>
              </w:rPr>
            </w:pPr>
            <w:r w:rsidRPr="003A1C01">
              <w:rPr>
                <w:rFonts w:ascii="Calibri" w:hAnsi="Calibri"/>
                <w:noProof/>
                <w:szCs w:val="24"/>
                <w:highlight w:val="yellow"/>
                <w:lang w:eastAsia="en-IE"/>
              </w:rPr>
              <w:drawing>
                <wp:anchor distT="0" distB="0" distL="114300" distR="114300" simplePos="0" relativeHeight="251696128" behindDoc="0" locked="0" layoutInCell="1" allowOverlap="1" wp14:anchorId="2DA25B83" wp14:editId="489D7779">
                  <wp:simplePos x="0" y="0"/>
                  <wp:positionH relativeFrom="leftMargin">
                    <wp:posOffset>57785</wp:posOffset>
                  </wp:positionH>
                  <wp:positionV relativeFrom="paragraph">
                    <wp:posOffset>15760</wp:posOffset>
                  </wp:positionV>
                  <wp:extent cx="359410" cy="359410"/>
                  <wp:effectExtent l="0" t="0" r="2540" b="2540"/>
                  <wp:wrapNone/>
                  <wp:docPr id="197" name="Graphic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359410" cy="359410"/>
                          </a:xfrm>
                          <a:prstGeom prst="rect">
                            <a:avLst/>
                          </a:prstGeom>
                        </pic:spPr>
                      </pic:pic>
                    </a:graphicData>
                  </a:graphic>
                  <wp14:sizeRelH relativeFrom="margin">
                    <wp14:pctWidth>0</wp14:pctWidth>
                  </wp14:sizeRelH>
                  <wp14:sizeRelV relativeFrom="margin">
                    <wp14:pctHeight>0</wp14:pctHeight>
                  </wp14:sizeRelV>
                </wp:anchor>
              </w:drawing>
            </w:r>
            <w:r w:rsidRPr="003A1C01">
              <w:rPr>
                <w:rFonts w:ascii="Calibri" w:eastAsia="Calibri" w:hAnsi="Calibri"/>
                <w:b/>
                <w:bCs/>
                <w:noProof/>
                <w:sz w:val="24"/>
                <w:szCs w:val="24"/>
              </w:rPr>
              <w:t>What is the minimum share of sustainable investments</w:t>
            </w:r>
            <w:r>
              <w:rPr>
                <w:rFonts w:ascii="Calibri" w:eastAsia="Calibri" w:hAnsi="Calibri"/>
                <w:b/>
                <w:bCs/>
                <w:noProof/>
                <w:sz w:val="24"/>
                <w:szCs w:val="24"/>
              </w:rPr>
              <w:t xml:space="preserve"> with an environmental objective</w:t>
            </w:r>
            <w:r w:rsidRPr="003A1C01">
              <w:rPr>
                <w:rFonts w:ascii="Calibri" w:eastAsia="Calibri" w:hAnsi="Calibri"/>
                <w:b/>
                <w:bCs/>
                <w:noProof/>
                <w:sz w:val="24"/>
                <w:szCs w:val="24"/>
              </w:rPr>
              <w:t xml:space="preserve"> that are not aligned with the EU Taxonomy?</w:t>
            </w:r>
            <w:r>
              <w:rPr>
                <w:rFonts w:ascii="Calibri" w:eastAsia="Calibri" w:hAnsi="Calibri"/>
                <w:b/>
                <w:bCs/>
                <w:noProof/>
                <w:sz w:val="24"/>
                <w:szCs w:val="24"/>
              </w:rPr>
              <w:t xml:space="preserve"> </w:t>
            </w:r>
          </w:p>
          <w:p w14:paraId="495487BB" w14:textId="77777777" w:rsidR="005466ED" w:rsidRDefault="005466ED" w:rsidP="00721AB4">
            <w:pPr>
              <w:spacing w:after="160" w:line="259" w:lineRule="auto"/>
              <w:ind w:left="720"/>
              <w:rPr>
                <w:rFonts w:eastAsia="Arial" w:cs="Arial"/>
                <w:lang w:val="en-US"/>
              </w:rPr>
            </w:pPr>
          </w:p>
          <w:p w14:paraId="4AE7F304" w14:textId="77777777" w:rsidR="005466ED" w:rsidRPr="00913DC0" w:rsidRDefault="005466ED" w:rsidP="00721AB4">
            <w:pPr>
              <w:spacing w:after="160" w:line="259" w:lineRule="auto"/>
              <w:ind w:left="720"/>
              <w:rPr>
                <w:rFonts w:eastAsia="Calibri" w:cs="Arial"/>
                <w:bCs/>
                <w:spacing w:val="1"/>
              </w:rPr>
            </w:pPr>
            <w:r w:rsidRPr="00913DC0">
              <w:rPr>
                <w:rFonts w:eastAsia="Calibri" w:cs="Arial"/>
                <w:spacing w:val="1"/>
                <w:lang w:val="en-US"/>
              </w:rPr>
              <w:t xml:space="preserve">N/A – </w:t>
            </w:r>
            <w:r w:rsidRPr="00913DC0">
              <w:rPr>
                <w:rFonts w:eastAsia="Calibri" w:cs="Arial"/>
                <w:spacing w:val="1"/>
              </w:rPr>
              <w:t xml:space="preserve">the Sub-Fund has no minimum share of investments with an environmental objective that </w:t>
            </w:r>
            <w:r>
              <w:rPr>
                <w:rFonts w:eastAsia="Calibri" w:cs="Arial"/>
                <w:spacing w:val="1"/>
              </w:rPr>
              <w:t>is</w:t>
            </w:r>
            <w:r w:rsidRPr="00913DC0">
              <w:rPr>
                <w:rFonts w:eastAsia="Calibri" w:cs="Arial"/>
                <w:spacing w:val="1"/>
              </w:rPr>
              <w:t xml:space="preserve"> not aligned with the EU Taxonomy Regulation</w:t>
            </w:r>
            <w:r>
              <w:rPr>
                <w:rFonts w:eastAsia="Calibri" w:cs="Arial"/>
                <w:spacing w:val="1"/>
              </w:rPr>
              <w:t>.</w:t>
            </w:r>
          </w:p>
          <w:p w14:paraId="3F62C861" w14:textId="77777777" w:rsidR="005466ED" w:rsidRPr="00F41E3D" w:rsidRDefault="005466ED" w:rsidP="00721AB4">
            <w:pPr>
              <w:ind w:left="720"/>
              <w:rPr>
                <w:rFonts w:ascii="Calibri" w:eastAsia="Calibri" w:hAnsi="Calibri"/>
                <w:bCs/>
                <w:i/>
                <w:noProof/>
                <w:color w:val="C00000"/>
                <w:szCs w:val="24"/>
              </w:rPr>
            </w:pPr>
          </w:p>
          <w:p w14:paraId="4BAE089B" w14:textId="77777777" w:rsidR="005466ED" w:rsidRPr="0030670F" w:rsidRDefault="005466ED" w:rsidP="00721AB4">
            <w:pPr>
              <w:rPr>
                <w:noProof/>
                <w:sz w:val="22"/>
                <w:lang w:eastAsia="en-IE"/>
              </w:rPr>
            </w:pPr>
          </w:p>
        </w:tc>
      </w:tr>
      <w:tr w:rsidR="005466ED" w:rsidRPr="002F7924" w14:paraId="399CE522" w14:textId="77777777" w:rsidTr="00721AB4">
        <w:trPr>
          <w:trHeight w:val="2520"/>
        </w:trPr>
        <w:tc>
          <w:tcPr>
            <w:tcW w:w="1711" w:type="dxa"/>
            <w:shd w:val="clear" w:color="auto" w:fill="FFFFFF" w:themeFill="background1"/>
          </w:tcPr>
          <w:p w14:paraId="30815D30" w14:textId="77777777" w:rsidR="005466ED" w:rsidRDefault="005466ED" w:rsidP="00721AB4">
            <w:pPr>
              <w:ind w:right="-2"/>
              <w:rPr>
                <w:rFonts w:ascii="Calibri" w:hAnsi="Calibri"/>
                <w:b/>
                <w:noProof/>
                <w:szCs w:val="24"/>
                <w:lang w:eastAsia="en-IE"/>
              </w:rPr>
            </w:pPr>
          </w:p>
        </w:tc>
        <w:tc>
          <w:tcPr>
            <w:tcW w:w="9488" w:type="dxa"/>
            <w:gridSpan w:val="7"/>
          </w:tcPr>
          <w:p w14:paraId="6DE0BC4C" w14:textId="77777777" w:rsidR="005466ED" w:rsidRPr="009D11C8" w:rsidRDefault="005466ED" w:rsidP="00721AB4">
            <w:pPr>
              <w:rPr>
                <w:rFonts w:ascii="Calibri" w:eastAsia="Calibri" w:hAnsi="Calibri"/>
                <w:bCs/>
                <w:noProof/>
                <w:sz w:val="22"/>
                <w:szCs w:val="24"/>
              </w:rPr>
            </w:pPr>
          </w:p>
          <w:p w14:paraId="61A4A2D9" w14:textId="4A723F65" w:rsidR="005466ED" w:rsidRPr="003814AE" w:rsidRDefault="005466ED" w:rsidP="00721AB4">
            <w:pPr>
              <w:ind w:left="960"/>
              <w:rPr>
                <w:rFonts w:ascii="Calibri" w:eastAsia="Calibri" w:hAnsi="Calibri"/>
                <w:bCs/>
                <w:i/>
                <w:noProof/>
                <w:color w:val="C00000"/>
                <w:szCs w:val="24"/>
              </w:rPr>
            </w:pPr>
            <w:r>
              <w:rPr>
                <w:noProof/>
                <w:lang w:eastAsia="en-IE"/>
              </w:rPr>
              <w:drawing>
                <wp:anchor distT="0" distB="0" distL="114300" distR="114300" simplePos="0" relativeHeight="251697152" behindDoc="0" locked="0" layoutInCell="1" allowOverlap="1" wp14:anchorId="5BFD305A" wp14:editId="1B34CCE8">
                  <wp:simplePos x="0" y="0"/>
                  <wp:positionH relativeFrom="column">
                    <wp:posOffset>-635</wp:posOffset>
                  </wp:positionH>
                  <wp:positionV relativeFrom="paragraph">
                    <wp:posOffset>7620</wp:posOffset>
                  </wp:positionV>
                  <wp:extent cx="360000" cy="360000"/>
                  <wp:effectExtent l="0" t="0" r="2540" b="2540"/>
                  <wp:wrapNone/>
                  <wp:docPr id="41" name="Graphic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360000" cy="360000"/>
                          </a:xfrm>
                          <a:prstGeom prst="rect">
                            <a:avLst/>
                          </a:prstGeom>
                        </pic:spPr>
                      </pic:pic>
                    </a:graphicData>
                  </a:graphic>
                  <wp14:sizeRelH relativeFrom="margin">
                    <wp14:pctWidth>0</wp14:pctWidth>
                  </wp14:sizeRelH>
                  <wp14:sizeRelV relativeFrom="margin">
                    <wp14:pctHeight>0</wp14:pctHeight>
                  </wp14:sizeRelV>
                </wp:anchor>
              </w:drawing>
            </w:r>
            <w:r w:rsidRPr="003A1C01">
              <w:rPr>
                <w:rFonts w:ascii="Calibri" w:eastAsia="Calibri" w:hAnsi="Calibri"/>
                <w:b/>
                <w:bCs/>
                <w:noProof/>
                <w:sz w:val="24"/>
                <w:szCs w:val="24"/>
              </w:rPr>
              <w:t>What is the minimum share of socially sustainable investments?</w:t>
            </w:r>
            <w:r>
              <w:rPr>
                <w:rFonts w:ascii="Calibri" w:eastAsia="Calibri" w:hAnsi="Calibri"/>
                <w:b/>
                <w:bCs/>
                <w:noProof/>
                <w:sz w:val="24"/>
                <w:szCs w:val="24"/>
              </w:rPr>
              <w:t xml:space="preserve"> </w:t>
            </w:r>
          </w:p>
          <w:p w14:paraId="040846C3" w14:textId="77777777" w:rsidR="005466ED" w:rsidRDefault="005466ED" w:rsidP="00721AB4">
            <w:pPr>
              <w:ind w:left="960"/>
              <w:rPr>
                <w:rFonts w:eastAsia="Arial" w:cs="Arial"/>
                <w:lang w:val="en-US"/>
              </w:rPr>
            </w:pPr>
          </w:p>
          <w:p w14:paraId="4C8F57D8" w14:textId="77777777" w:rsidR="005466ED" w:rsidRPr="00913DC0" w:rsidRDefault="005466ED" w:rsidP="00721AB4">
            <w:pPr>
              <w:ind w:left="960"/>
              <w:rPr>
                <w:rFonts w:eastAsia="Arial" w:cs="Arial"/>
                <w:bCs/>
                <w:lang w:val="en-GB"/>
              </w:rPr>
            </w:pPr>
            <w:r w:rsidRPr="00913DC0">
              <w:rPr>
                <w:rFonts w:eastAsia="Arial" w:cs="Arial"/>
                <w:lang w:val="en-US"/>
              </w:rPr>
              <w:t xml:space="preserve">N/A – </w:t>
            </w:r>
            <w:r w:rsidRPr="00913DC0">
              <w:rPr>
                <w:rFonts w:eastAsia="Arial" w:cs="Arial"/>
                <w:lang w:val="en-GB"/>
              </w:rPr>
              <w:t>the Sub-Fund has no minimum share of</w:t>
            </w:r>
            <w:r>
              <w:rPr>
                <w:rFonts w:eastAsia="Arial" w:cs="Arial"/>
                <w:lang w:val="en-GB"/>
              </w:rPr>
              <w:t xml:space="preserve"> socially sustainable</w:t>
            </w:r>
            <w:r w:rsidRPr="00913DC0">
              <w:rPr>
                <w:rFonts w:eastAsia="Arial" w:cs="Arial"/>
                <w:lang w:val="en-GB"/>
              </w:rPr>
              <w:t xml:space="preserve"> investments</w:t>
            </w:r>
            <w:r>
              <w:rPr>
                <w:rFonts w:eastAsia="Arial" w:cs="Arial"/>
                <w:lang w:val="en-GB"/>
              </w:rPr>
              <w:t>.</w:t>
            </w:r>
          </w:p>
          <w:p w14:paraId="3229CB5E" w14:textId="77777777" w:rsidR="005466ED" w:rsidRPr="00913DC0" w:rsidRDefault="005466ED" w:rsidP="00721AB4">
            <w:pPr>
              <w:ind w:left="960"/>
              <w:rPr>
                <w:rFonts w:ascii="Calibri" w:eastAsia="Calibri" w:hAnsi="Calibri"/>
                <w:bCs/>
                <w:noProof/>
                <w:sz w:val="22"/>
                <w:szCs w:val="24"/>
                <w:lang w:val="en-GB"/>
              </w:rPr>
            </w:pPr>
          </w:p>
          <w:p w14:paraId="086B9D15" w14:textId="213EE62B" w:rsidR="005466ED" w:rsidRDefault="005466ED" w:rsidP="00721AB4">
            <w:pPr>
              <w:ind w:left="960"/>
              <w:rPr>
                <w:rFonts w:ascii="Calibri" w:eastAsia="Calibri" w:hAnsi="Calibri"/>
                <w:b/>
                <w:bCs/>
                <w:noProof/>
                <w:sz w:val="24"/>
                <w:szCs w:val="24"/>
              </w:rPr>
            </w:pPr>
            <w:r w:rsidRPr="00A87EAE">
              <w:rPr>
                <w:rFonts w:ascii="Calibri" w:eastAsia="Calibri" w:hAnsi="Calibri"/>
                <w:b/>
                <w:bCs/>
                <w:noProof/>
                <w:sz w:val="24"/>
                <w:szCs w:val="24"/>
                <w:lang w:eastAsia="en-IE"/>
              </w:rPr>
              <w:drawing>
                <wp:anchor distT="0" distB="0" distL="114300" distR="114300" simplePos="0" relativeHeight="251698176" behindDoc="0" locked="0" layoutInCell="1" allowOverlap="1" wp14:anchorId="53A59C73" wp14:editId="136FBC26">
                  <wp:simplePos x="0" y="0"/>
                  <wp:positionH relativeFrom="column">
                    <wp:posOffset>-635</wp:posOffset>
                  </wp:positionH>
                  <wp:positionV relativeFrom="paragraph">
                    <wp:posOffset>3894</wp:posOffset>
                  </wp:positionV>
                  <wp:extent cx="359410" cy="359410"/>
                  <wp:effectExtent l="0" t="0" r="2540" b="2540"/>
                  <wp:wrapNone/>
                  <wp:docPr id="42" name="Graphic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a:xfrm>
                            <a:off x="0" y="0"/>
                            <a:ext cx="359410" cy="359410"/>
                          </a:xfrm>
                          <a:prstGeom prst="rect">
                            <a:avLst/>
                          </a:prstGeom>
                        </pic:spPr>
                      </pic:pic>
                    </a:graphicData>
                  </a:graphic>
                  <wp14:sizeRelH relativeFrom="margin">
                    <wp14:pctWidth>0</wp14:pctWidth>
                  </wp14:sizeRelH>
                  <wp14:sizeRelV relativeFrom="margin">
                    <wp14:pctHeight>0</wp14:pctHeight>
                  </wp14:sizeRelV>
                </wp:anchor>
              </w:drawing>
            </w:r>
            <w:r w:rsidRPr="00A87EAE">
              <w:rPr>
                <w:rFonts w:ascii="Calibri" w:eastAsia="Calibri" w:hAnsi="Calibri"/>
                <w:b/>
                <w:bCs/>
                <w:noProof/>
                <w:sz w:val="24"/>
                <w:szCs w:val="24"/>
              </w:rPr>
              <w:t>What investments are included under “#2 Other”, what is their purpose and are there any minimum environmental or social safeguards?</w:t>
            </w:r>
          </w:p>
          <w:p w14:paraId="2375F07E" w14:textId="77777777" w:rsidR="005466ED" w:rsidRPr="00913DC0" w:rsidRDefault="005466ED" w:rsidP="00721AB4">
            <w:pPr>
              <w:ind w:left="960"/>
              <w:rPr>
                <w:rFonts w:ascii="Calibri" w:eastAsia="Calibri" w:hAnsi="Calibri"/>
                <w:b/>
                <w:bCs/>
                <w:noProof/>
                <w:sz w:val="24"/>
                <w:szCs w:val="24"/>
              </w:rPr>
            </w:pPr>
          </w:p>
          <w:p w14:paraId="7E97DEA5" w14:textId="77777777" w:rsidR="005466ED" w:rsidRPr="00913DC0" w:rsidRDefault="005466ED" w:rsidP="00721AB4">
            <w:pPr>
              <w:spacing w:after="160" w:line="259" w:lineRule="auto"/>
              <w:ind w:left="1013"/>
              <w:rPr>
                <w:rFonts w:eastAsia="Calibri" w:cs="Arial"/>
                <w:spacing w:val="1"/>
              </w:rPr>
            </w:pPr>
            <w:r w:rsidRPr="00913DC0">
              <w:rPr>
                <w:rFonts w:eastAsia="Calibri" w:cs="Arial"/>
                <w:spacing w:val="1"/>
              </w:rPr>
              <w:t xml:space="preserve">The Sub-Fund predominantly makes investments that are aligned with environmental and social characteristics (#1 Aligned with E/S characteristics). </w:t>
            </w:r>
          </w:p>
          <w:p w14:paraId="23456E15" w14:textId="3BA329B2" w:rsidR="005466ED" w:rsidRPr="002F7924" w:rsidRDefault="005466ED" w:rsidP="00721AB4">
            <w:pPr>
              <w:spacing w:after="160" w:line="259" w:lineRule="auto"/>
              <w:ind w:left="1013"/>
              <w:rPr>
                <w:rFonts w:eastAsia="Calibri" w:cs="Arial"/>
                <w:spacing w:val="1"/>
              </w:rPr>
            </w:pPr>
            <w:r w:rsidRPr="00913DC0">
              <w:rPr>
                <w:rFonts w:eastAsia="Calibri" w:cs="Arial"/>
                <w:spacing w:val="1"/>
              </w:rPr>
              <w:t>Those investments included under “#2 Other” may include ancillary liquid assets, money market instruments, investments in ETFs authorised as UCITS, futures, currency swaps and currency forwards. It may also include securities which no longer meet the environmental and/or social criteria described above. There are no minimum environmental or social safeguards.</w:t>
            </w:r>
          </w:p>
        </w:tc>
      </w:tr>
      <w:tr w:rsidR="005466ED" w:rsidRPr="007169FF" w14:paraId="2B44DF4B" w14:textId="77777777" w:rsidTr="00721AB4">
        <w:trPr>
          <w:trHeight w:val="1247"/>
        </w:trPr>
        <w:tc>
          <w:tcPr>
            <w:tcW w:w="1711" w:type="dxa"/>
          </w:tcPr>
          <w:p w14:paraId="530F2A75" w14:textId="445088BA" w:rsidR="005466ED" w:rsidRPr="00602521" w:rsidRDefault="005466ED" w:rsidP="00721AB4">
            <w:pPr>
              <w:ind w:right="-2"/>
              <w:rPr>
                <w:rFonts w:ascii="Calibri" w:hAnsi="Calibri"/>
                <w:b/>
                <w:noProof/>
                <w:szCs w:val="24"/>
                <w:lang w:eastAsia="en-IE"/>
              </w:rPr>
            </w:pPr>
            <w:r>
              <w:rPr>
                <w:rFonts w:ascii="Calibri" w:hAnsi="Calibri"/>
                <w:b/>
                <w:noProof/>
                <w:szCs w:val="24"/>
                <w:lang w:eastAsia="en-IE"/>
              </w:rPr>
              <w:drawing>
                <wp:anchor distT="0" distB="0" distL="114300" distR="114300" simplePos="0" relativeHeight="251699200" behindDoc="0" locked="0" layoutInCell="1" allowOverlap="1" wp14:anchorId="4091C583" wp14:editId="335305E9">
                  <wp:simplePos x="0" y="0"/>
                  <wp:positionH relativeFrom="page">
                    <wp:posOffset>-652780</wp:posOffset>
                  </wp:positionH>
                  <wp:positionV relativeFrom="paragraph">
                    <wp:posOffset>-80010</wp:posOffset>
                  </wp:positionV>
                  <wp:extent cx="1706245" cy="597535"/>
                  <wp:effectExtent l="0" t="0" r="825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706245" cy="597535"/>
                          </a:xfrm>
                          <a:prstGeom prst="rect">
                            <a:avLst/>
                          </a:prstGeom>
                          <a:noFill/>
                        </pic:spPr>
                      </pic:pic>
                    </a:graphicData>
                  </a:graphic>
                  <wp14:sizeRelH relativeFrom="page">
                    <wp14:pctWidth>0</wp14:pctWidth>
                  </wp14:sizeRelH>
                  <wp14:sizeRelV relativeFrom="page">
                    <wp14:pctHeight>0</wp14:pctHeight>
                  </wp14:sizeRelV>
                </wp:anchor>
              </w:drawing>
            </w:r>
          </w:p>
        </w:tc>
        <w:tc>
          <w:tcPr>
            <w:tcW w:w="9488" w:type="dxa"/>
            <w:gridSpan w:val="7"/>
            <w:vMerge w:val="restart"/>
          </w:tcPr>
          <w:p w14:paraId="07DCB3EF" w14:textId="77777777" w:rsidR="005466ED" w:rsidRPr="003814AE" w:rsidRDefault="005466ED" w:rsidP="00721AB4">
            <w:pPr>
              <w:ind w:left="242"/>
              <w:rPr>
                <w:rFonts w:ascii="Calibri" w:eastAsia="Calibri" w:hAnsi="Calibri"/>
                <w:bCs/>
                <w:i/>
                <w:noProof/>
                <w:color w:val="C00000"/>
                <w:szCs w:val="24"/>
              </w:rPr>
            </w:pPr>
            <w:r w:rsidRPr="003A1C01">
              <w:rPr>
                <w:rFonts w:ascii="Calibri" w:eastAsia="Calibri" w:hAnsi="Calibri"/>
                <w:b/>
                <w:bCs/>
                <w:noProof/>
                <w:sz w:val="24"/>
                <w:szCs w:val="24"/>
                <w:lang w:val="en-US"/>
              </w:rPr>
              <w:t xml:space="preserve">Is a specific index designated as a reference benchmark to </w:t>
            </w:r>
            <w:r w:rsidRPr="008D0DD0">
              <w:rPr>
                <w:rFonts w:ascii="Calibri" w:eastAsia="Calibri" w:hAnsi="Calibri"/>
                <w:b/>
                <w:bCs/>
                <w:noProof/>
                <w:sz w:val="24"/>
                <w:szCs w:val="24"/>
                <w:lang w:val="en-US"/>
              </w:rPr>
              <w:t>determine whether this financial product is aligned with the environmental and/or social characteristics that it promotes</w:t>
            </w:r>
            <w:r w:rsidRPr="003A1C01">
              <w:rPr>
                <w:rFonts w:ascii="Calibri" w:eastAsia="Calibri" w:hAnsi="Calibri"/>
                <w:b/>
                <w:bCs/>
                <w:noProof/>
                <w:sz w:val="24"/>
                <w:szCs w:val="24"/>
              </w:rPr>
              <w:t>?</w:t>
            </w:r>
            <w:r>
              <w:rPr>
                <w:rFonts w:ascii="Calibri" w:eastAsia="Calibri" w:hAnsi="Calibri"/>
                <w:b/>
                <w:bCs/>
                <w:noProof/>
                <w:sz w:val="24"/>
                <w:szCs w:val="24"/>
              </w:rPr>
              <w:t xml:space="preserve"> </w:t>
            </w:r>
          </w:p>
          <w:p w14:paraId="38EF7ABE" w14:textId="77777777" w:rsidR="005466ED" w:rsidRDefault="005466ED" w:rsidP="00721AB4">
            <w:pPr>
              <w:ind w:left="242"/>
              <w:rPr>
                <w:rFonts w:ascii="Calibri" w:eastAsia="Calibri" w:hAnsi="Calibri"/>
                <w:bCs/>
                <w:noProof/>
                <w:sz w:val="22"/>
                <w:szCs w:val="24"/>
              </w:rPr>
            </w:pPr>
          </w:p>
          <w:p w14:paraId="56449739" w14:textId="77777777" w:rsidR="005466ED" w:rsidRPr="007169FF" w:rsidRDefault="005466ED" w:rsidP="00721AB4">
            <w:pPr>
              <w:ind w:left="303" w:firstLine="1"/>
              <w:rPr>
                <w:rFonts w:eastAsia="Arial" w:cs="Arial"/>
                <w:lang w:val="en-US"/>
              </w:rPr>
            </w:pPr>
            <w:r w:rsidRPr="008A4AF3">
              <w:rPr>
                <w:rFonts w:eastAsia="Arial" w:cs="Arial"/>
                <w:lang w:val="en-US"/>
              </w:rPr>
              <w:t xml:space="preserve">The </w:t>
            </w:r>
            <w:r>
              <w:rPr>
                <w:rFonts w:eastAsia="Arial" w:cs="Arial"/>
                <w:lang w:val="en-US"/>
              </w:rPr>
              <w:t>Sub-F</w:t>
            </w:r>
            <w:r w:rsidRPr="008A4AF3">
              <w:rPr>
                <w:rFonts w:eastAsia="Arial" w:cs="Arial"/>
                <w:lang w:val="en-US"/>
              </w:rPr>
              <w:t xml:space="preserve">und has not designated a specific index to use as a reference benchmark to determine whether the </w:t>
            </w:r>
            <w:r>
              <w:rPr>
                <w:rFonts w:eastAsia="Arial" w:cs="Arial"/>
                <w:lang w:val="en-US"/>
              </w:rPr>
              <w:t>Sub-F</w:t>
            </w:r>
            <w:r w:rsidRPr="008A4AF3">
              <w:rPr>
                <w:rFonts w:eastAsia="Arial" w:cs="Arial"/>
                <w:lang w:val="en-US"/>
              </w:rPr>
              <w:t>und is aligned with the environmental and/or social characteristics it promotes.</w:t>
            </w:r>
          </w:p>
          <w:p w14:paraId="206A5B7F" w14:textId="77777777" w:rsidR="005466ED" w:rsidRPr="007169FF" w:rsidRDefault="005466ED" w:rsidP="00721AB4">
            <w:pPr>
              <w:rPr>
                <w:rFonts w:ascii="Calibri" w:eastAsia="Calibri" w:hAnsi="Calibri"/>
                <w:bCs/>
                <w:noProof/>
                <w:sz w:val="22"/>
                <w:szCs w:val="24"/>
                <w:lang w:val="en-GB"/>
              </w:rPr>
            </w:pPr>
          </w:p>
        </w:tc>
      </w:tr>
      <w:tr w:rsidR="005466ED" w:rsidRPr="003A1C01" w14:paraId="567D50A1" w14:textId="77777777" w:rsidTr="00721AB4">
        <w:trPr>
          <w:trHeight w:val="423"/>
        </w:trPr>
        <w:tc>
          <w:tcPr>
            <w:tcW w:w="1711" w:type="dxa"/>
          </w:tcPr>
          <w:p w14:paraId="0C371704" w14:textId="77777777" w:rsidR="005466ED" w:rsidRDefault="005466ED" w:rsidP="00721AB4">
            <w:pPr>
              <w:ind w:right="-2"/>
              <w:rPr>
                <w:rFonts w:ascii="Calibri" w:hAnsi="Calibri"/>
                <w:b/>
                <w:noProof/>
                <w:szCs w:val="24"/>
                <w:lang w:eastAsia="en-IE"/>
              </w:rPr>
            </w:pPr>
          </w:p>
        </w:tc>
        <w:tc>
          <w:tcPr>
            <w:tcW w:w="9488" w:type="dxa"/>
            <w:gridSpan w:val="7"/>
            <w:vMerge/>
          </w:tcPr>
          <w:p w14:paraId="387AB4F8" w14:textId="77777777" w:rsidR="005466ED" w:rsidRPr="003A1C01" w:rsidRDefault="005466ED" w:rsidP="00721AB4">
            <w:pPr>
              <w:ind w:left="242"/>
              <w:rPr>
                <w:rFonts w:ascii="Calibri" w:eastAsia="Calibri" w:hAnsi="Calibri"/>
                <w:b/>
                <w:bCs/>
                <w:noProof/>
                <w:sz w:val="24"/>
                <w:szCs w:val="24"/>
                <w:lang w:val="en-US"/>
              </w:rPr>
            </w:pPr>
          </w:p>
        </w:tc>
      </w:tr>
      <w:tr w:rsidR="005466ED" w:rsidRPr="00C47D1A" w14:paraId="7ADBCAF1" w14:textId="77777777" w:rsidTr="00721AB4">
        <w:trPr>
          <w:trHeight w:val="630"/>
        </w:trPr>
        <w:tc>
          <w:tcPr>
            <w:tcW w:w="1974" w:type="dxa"/>
            <w:gridSpan w:val="4"/>
            <w:shd w:val="clear" w:color="auto" w:fill="F2F2F2" w:themeFill="background1" w:themeFillShade="F2"/>
          </w:tcPr>
          <w:p w14:paraId="208B15B8" w14:textId="77777777" w:rsidR="005466ED" w:rsidRPr="00602521" w:rsidRDefault="005466ED" w:rsidP="00721AB4">
            <w:pPr>
              <w:ind w:right="-2"/>
              <w:jc w:val="left"/>
              <w:rPr>
                <w:rFonts w:ascii="Calibri" w:hAnsi="Calibri"/>
                <w:b/>
                <w:noProof/>
                <w:szCs w:val="24"/>
                <w:lang w:eastAsia="en-IE"/>
              </w:rPr>
            </w:pPr>
            <w:r w:rsidRPr="00291ECD">
              <w:rPr>
                <w:rFonts w:asciiTheme="minorHAnsi" w:eastAsia="Arial" w:hAnsiTheme="minorHAnsi"/>
                <w:b/>
                <w:bCs/>
                <w:lang w:val="en-US"/>
              </w:rPr>
              <w:t>Reference benchmarks</w:t>
            </w:r>
            <w:r w:rsidRPr="00291ECD">
              <w:rPr>
                <w:rFonts w:asciiTheme="minorHAnsi" w:eastAsia="Arial" w:hAnsiTheme="minorHAnsi"/>
                <w:bCs/>
                <w:lang w:val="en-US"/>
              </w:rPr>
              <w:t xml:space="preserve"> are indexes to measure whether the financial product attains the environmental or social characteristics that they</w:t>
            </w:r>
            <w:r w:rsidRPr="00291ECD">
              <w:rPr>
                <w:rFonts w:asciiTheme="minorHAnsi" w:eastAsia="Arial" w:hAnsiTheme="minorHAnsi"/>
                <w:b/>
                <w:bCs/>
                <w:lang w:val="en-US"/>
              </w:rPr>
              <w:t xml:space="preserve"> </w:t>
            </w:r>
            <w:r w:rsidRPr="00291ECD">
              <w:rPr>
                <w:rFonts w:asciiTheme="minorHAnsi" w:eastAsia="Arial" w:hAnsiTheme="minorHAnsi"/>
                <w:bCs/>
                <w:lang w:val="en-US"/>
              </w:rPr>
              <w:t>promote</w:t>
            </w:r>
            <w:r w:rsidRPr="00291ECD">
              <w:rPr>
                <w:rFonts w:eastAsia="Arial"/>
                <w:bCs/>
                <w:lang w:val="en-US"/>
              </w:rPr>
              <w:t>.</w:t>
            </w:r>
          </w:p>
        </w:tc>
        <w:tc>
          <w:tcPr>
            <w:tcW w:w="9225" w:type="dxa"/>
            <w:gridSpan w:val="4"/>
          </w:tcPr>
          <w:p w14:paraId="12CCF688" w14:textId="77777777" w:rsidR="005466ED" w:rsidRPr="00A71F62" w:rsidRDefault="005466ED" w:rsidP="00721AB4">
            <w:pPr>
              <w:pStyle w:val="Paragraphedeliste"/>
              <w:numPr>
                <w:ilvl w:val="0"/>
                <w:numId w:val="14"/>
              </w:numPr>
              <w:ind w:left="1080"/>
              <w:contextualSpacing w:val="0"/>
              <w:rPr>
                <w:rFonts w:ascii="Calibri" w:eastAsia="Calibri" w:hAnsi="Calibri"/>
                <w:b/>
                <w:bCs/>
                <w:noProof/>
                <w:sz w:val="22"/>
                <w:szCs w:val="24"/>
              </w:rPr>
            </w:pPr>
            <w:r w:rsidRPr="00A71F62">
              <w:rPr>
                <w:rFonts w:ascii="Calibri" w:eastAsia="Calibri" w:hAnsi="Calibri"/>
                <w:b/>
                <w:bCs/>
                <w:i/>
                <w:noProof/>
                <w:sz w:val="22"/>
                <w:szCs w:val="22"/>
              </w:rPr>
              <w:t>How is the reference benchmark continuously aligned with each of the environmental or social characteristics promoted by the financial product?</w:t>
            </w:r>
          </w:p>
          <w:p w14:paraId="5C1A8C35" w14:textId="77777777" w:rsidR="005466ED" w:rsidRPr="00A71F62" w:rsidRDefault="005466ED" w:rsidP="00721AB4">
            <w:pPr>
              <w:pStyle w:val="Paragraphedeliste"/>
              <w:ind w:left="1080"/>
              <w:rPr>
                <w:rFonts w:ascii="Calibri" w:eastAsia="Calibri" w:hAnsi="Calibri"/>
                <w:b/>
                <w:bCs/>
                <w:i/>
                <w:noProof/>
                <w:sz w:val="22"/>
                <w:szCs w:val="22"/>
              </w:rPr>
            </w:pPr>
          </w:p>
          <w:p w14:paraId="0181AE11" w14:textId="77777777" w:rsidR="005466ED" w:rsidRPr="0004421A" w:rsidRDefault="005466ED" w:rsidP="00721AB4">
            <w:pPr>
              <w:pStyle w:val="Paragraphedeliste"/>
              <w:ind w:left="1080"/>
              <w:rPr>
                <w:rFonts w:ascii="Calibri" w:eastAsia="Calibri" w:hAnsi="Calibri"/>
                <w:b/>
                <w:bCs/>
                <w:noProof/>
              </w:rPr>
            </w:pPr>
            <w:r>
              <w:rPr>
                <w:rFonts w:eastAsia="Calibri"/>
              </w:rPr>
              <w:t>N/A – t</w:t>
            </w:r>
            <w:r w:rsidRPr="008A4AF3">
              <w:rPr>
                <w:rFonts w:eastAsia="Arial" w:cs="Arial"/>
                <w:lang w:val="en-US"/>
              </w:rPr>
              <w:t xml:space="preserve">he </w:t>
            </w:r>
            <w:r>
              <w:rPr>
                <w:rFonts w:eastAsia="Arial" w:cs="Arial"/>
                <w:lang w:val="en-US"/>
              </w:rPr>
              <w:t>Sub-F</w:t>
            </w:r>
            <w:r w:rsidRPr="008A4AF3">
              <w:rPr>
                <w:rFonts w:eastAsia="Arial" w:cs="Arial"/>
                <w:lang w:val="en-US"/>
              </w:rPr>
              <w:t>und has not designated a specific index to use as a reference benchmark</w:t>
            </w:r>
            <w:r>
              <w:rPr>
                <w:rFonts w:eastAsia="Arial" w:cs="Arial"/>
                <w:lang w:val="en-US"/>
              </w:rPr>
              <w:t>.</w:t>
            </w:r>
          </w:p>
          <w:p w14:paraId="66FF695C" w14:textId="77777777" w:rsidR="005466ED" w:rsidRDefault="005466ED" w:rsidP="00721AB4">
            <w:pPr>
              <w:pStyle w:val="Paragraphedeliste"/>
              <w:numPr>
                <w:ilvl w:val="0"/>
                <w:numId w:val="14"/>
              </w:numPr>
              <w:ind w:left="1080"/>
              <w:contextualSpacing w:val="0"/>
              <w:rPr>
                <w:rFonts w:ascii="Calibri" w:eastAsia="Calibri" w:hAnsi="Calibri"/>
                <w:b/>
                <w:bCs/>
                <w:i/>
                <w:noProof/>
                <w:sz w:val="22"/>
                <w:szCs w:val="22"/>
              </w:rPr>
            </w:pPr>
            <w:r w:rsidRPr="00A71F62" w:rsidDel="00330891">
              <w:rPr>
                <w:rFonts w:ascii="Calibri" w:eastAsia="Calibri" w:hAnsi="Calibri"/>
                <w:b/>
                <w:bCs/>
                <w:i/>
                <w:noProof/>
                <w:sz w:val="22"/>
                <w:szCs w:val="22"/>
              </w:rPr>
              <w:t>How is the alignment of the investment strategy with the methodology of the index ensured on a continuous basis?</w:t>
            </w:r>
          </w:p>
          <w:p w14:paraId="6F79EE8C" w14:textId="77777777" w:rsidR="005466ED" w:rsidRPr="009B5963" w:rsidRDefault="005466ED" w:rsidP="00721AB4">
            <w:pPr>
              <w:ind w:left="720"/>
              <w:rPr>
                <w:rFonts w:ascii="Calibri" w:eastAsia="Calibri" w:hAnsi="Calibri"/>
                <w:b/>
                <w:bCs/>
                <w:i/>
                <w:noProof/>
                <w:sz w:val="22"/>
                <w:szCs w:val="22"/>
              </w:rPr>
            </w:pPr>
          </w:p>
          <w:p w14:paraId="33C16D64" w14:textId="77777777" w:rsidR="005466ED" w:rsidRPr="009B5963" w:rsidRDefault="005466ED" w:rsidP="00721AB4">
            <w:pPr>
              <w:pStyle w:val="Paragraphedeliste"/>
              <w:ind w:left="1080"/>
              <w:contextualSpacing w:val="0"/>
              <w:rPr>
                <w:rFonts w:eastAsia="Calibri"/>
              </w:rPr>
            </w:pPr>
            <w:r w:rsidRPr="009B5963">
              <w:rPr>
                <w:rFonts w:eastAsia="Calibri"/>
              </w:rPr>
              <w:t>N/A – the Sub-Fund has not designated a specific index to use as a reference benchmark</w:t>
            </w:r>
          </w:p>
          <w:p w14:paraId="1E8E6AF9" w14:textId="77777777" w:rsidR="005466ED" w:rsidRPr="009B5963" w:rsidRDefault="005466ED" w:rsidP="00721AB4">
            <w:pPr>
              <w:rPr>
                <w:rFonts w:eastAsia="Arial" w:cs="Arial"/>
                <w:lang w:val="en-US"/>
              </w:rPr>
            </w:pPr>
          </w:p>
          <w:p w14:paraId="58AA9D89" w14:textId="77777777" w:rsidR="005466ED" w:rsidRPr="005D4733" w:rsidRDefault="005466ED" w:rsidP="00721AB4">
            <w:pPr>
              <w:pStyle w:val="Paragraphedeliste"/>
              <w:numPr>
                <w:ilvl w:val="0"/>
                <w:numId w:val="14"/>
              </w:numPr>
              <w:ind w:left="1080"/>
              <w:contextualSpacing w:val="0"/>
              <w:rPr>
                <w:rFonts w:ascii="Calibri" w:eastAsia="Calibri" w:hAnsi="Calibri"/>
                <w:b/>
                <w:bCs/>
                <w:noProof/>
                <w:sz w:val="22"/>
                <w:szCs w:val="24"/>
              </w:rPr>
            </w:pPr>
            <w:r w:rsidRPr="00A71F62">
              <w:rPr>
                <w:rFonts w:ascii="Calibri" w:eastAsia="Calibri" w:hAnsi="Calibri"/>
                <w:b/>
                <w:bCs/>
                <w:i/>
                <w:noProof/>
                <w:sz w:val="22"/>
                <w:szCs w:val="22"/>
              </w:rPr>
              <w:t>How does the designated index differ from a relevant broad market index?</w:t>
            </w:r>
          </w:p>
          <w:p w14:paraId="246A6AC3" w14:textId="77777777" w:rsidR="005466ED" w:rsidRDefault="005466ED" w:rsidP="00721AB4">
            <w:pPr>
              <w:pStyle w:val="Paragraphedeliste"/>
              <w:ind w:left="1080"/>
              <w:contextualSpacing w:val="0"/>
              <w:rPr>
                <w:rFonts w:eastAsia="Calibri"/>
              </w:rPr>
            </w:pPr>
          </w:p>
          <w:p w14:paraId="218E7416" w14:textId="77777777" w:rsidR="005466ED" w:rsidRDefault="005466ED" w:rsidP="00721AB4">
            <w:pPr>
              <w:pStyle w:val="Paragraphedeliste"/>
              <w:ind w:left="1080"/>
              <w:contextualSpacing w:val="0"/>
              <w:rPr>
                <w:rFonts w:ascii="Calibri" w:eastAsia="Calibri" w:hAnsi="Calibri"/>
                <w:b/>
                <w:bCs/>
                <w:noProof/>
                <w:sz w:val="22"/>
                <w:szCs w:val="24"/>
              </w:rPr>
            </w:pPr>
            <w:r>
              <w:rPr>
                <w:rFonts w:eastAsia="Calibri"/>
              </w:rPr>
              <w:t>N/A – t</w:t>
            </w:r>
            <w:r w:rsidRPr="008A4AF3">
              <w:rPr>
                <w:rFonts w:eastAsia="Arial" w:cs="Arial"/>
                <w:lang w:val="en-US"/>
              </w:rPr>
              <w:t xml:space="preserve">he </w:t>
            </w:r>
            <w:r>
              <w:rPr>
                <w:rFonts w:eastAsia="Arial" w:cs="Arial"/>
                <w:lang w:val="en-US"/>
              </w:rPr>
              <w:t>Sub-F</w:t>
            </w:r>
            <w:r w:rsidRPr="008A4AF3">
              <w:rPr>
                <w:rFonts w:eastAsia="Arial" w:cs="Arial"/>
                <w:lang w:val="en-US"/>
              </w:rPr>
              <w:t>und has not designated a specific index to use as a reference benchmark</w:t>
            </w:r>
          </w:p>
          <w:p w14:paraId="71084123" w14:textId="77777777" w:rsidR="005466ED" w:rsidRPr="00A71F62" w:rsidRDefault="005466ED" w:rsidP="00721AB4">
            <w:pPr>
              <w:pStyle w:val="Paragraphedeliste"/>
              <w:numPr>
                <w:ilvl w:val="0"/>
                <w:numId w:val="14"/>
              </w:numPr>
              <w:ind w:left="1080"/>
              <w:contextualSpacing w:val="0"/>
              <w:rPr>
                <w:rFonts w:ascii="Calibri" w:eastAsia="Calibri" w:hAnsi="Calibri"/>
                <w:b/>
                <w:bCs/>
                <w:noProof/>
                <w:sz w:val="28"/>
                <w:szCs w:val="24"/>
              </w:rPr>
            </w:pPr>
            <w:r w:rsidRPr="00A71F62">
              <w:rPr>
                <w:rFonts w:ascii="Calibri" w:eastAsia="Calibri" w:hAnsi="Calibri"/>
                <w:b/>
                <w:bCs/>
                <w:i/>
                <w:noProof/>
                <w:sz w:val="22"/>
                <w:szCs w:val="22"/>
              </w:rPr>
              <w:t>Where can the methodology used for the calculation of the designated index be found?</w:t>
            </w:r>
          </w:p>
          <w:p w14:paraId="64B7D10D" w14:textId="77777777" w:rsidR="005466ED" w:rsidRPr="00C47D1A" w:rsidRDefault="005466ED" w:rsidP="00721AB4">
            <w:pPr>
              <w:rPr>
                <w:rFonts w:ascii="Calibri" w:eastAsia="Calibri" w:hAnsi="Calibri"/>
                <w:bCs/>
                <w:noProof/>
                <w:sz w:val="22"/>
                <w:szCs w:val="22"/>
              </w:rPr>
            </w:pPr>
          </w:p>
        </w:tc>
      </w:tr>
      <w:tr w:rsidR="005466ED" w:rsidRPr="005D4733" w14:paraId="144ECA33" w14:textId="77777777" w:rsidTr="00721AB4">
        <w:trPr>
          <w:trHeight w:val="80"/>
        </w:trPr>
        <w:tc>
          <w:tcPr>
            <w:tcW w:w="1711" w:type="dxa"/>
          </w:tcPr>
          <w:p w14:paraId="5D057CFB" w14:textId="77777777" w:rsidR="005466ED" w:rsidRPr="003814AE" w:rsidRDefault="005466ED" w:rsidP="00721AB4">
            <w:pPr>
              <w:ind w:right="-2"/>
              <w:rPr>
                <w:rFonts w:asciiTheme="minorHAnsi" w:eastAsia="Arial" w:hAnsiTheme="minorHAnsi"/>
                <w:bCs/>
                <w:i/>
                <w:color w:val="C00000"/>
                <w:lang w:val="en-US"/>
              </w:rPr>
            </w:pPr>
          </w:p>
        </w:tc>
        <w:tc>
          <w:tcPr>
            <w:tcW w:w="9488" w:type="dxa"/>
            <w:gridSpan w:val="7"/>
          </w:tcPr>
          <w:p w14:paraId="369885B9" w14:textId="77777777" w:rsidR="005466ED" w:rsidRPr="005D4733" w:rsidRDefault="005466ED" w:rsidP="00721AB4">
            <w:pPr>
              <w:pStyle w:val="Paragraphedeliste"/>
              <w:ind w:left="1296" w:hanging="142"/>
              <w:contextualSpacing w:val="0"/>
              <w:rPr>
                <w:rFonts w:ascii="Calibri" w:eastAsia="Calibri" w:hAnsi="Calibri"/>
                <w:iCs/>
                <w:noProof/>
                <w:szCs w:val="22"/>
              </w:rPr>
            </w:pPr>
            <w:r>
              <w:rPr>
                <w:bCs/>
              </w:rPr>
              <w:t xml:space="preserve">   </w:t>
            </w:r>
            <w:r>
              <w:rPr>
                <w:rFonts w:eastAsia="Calibri"/>
              </w:rPr>
              <w:t>N/A – t</w:t>
            </w:r>
            <w:r w:rsidRPr="008A4AF3">
              <w:rPr>
                <w:rFonts w:eastAsia="Arial" w:cs="Arial"/>
                <w:lang w:val="en-US"/>
              </w:rPr>
              <w:t xml:space="preserve">he </w:t>
            </w:r>
            <w:r>
              <w:rPr>
                <w:rFonts w:eastAsia="Arial" w:cs="Arial"/>
                <w:lang w:val="en-US"/>
              </w:rPr>
              <w:t>Sub-F</w:t>
            </w:r>
            <w:r w:rsidRPr="008A4AF3">
              <w:rPr>
                <w:rFonts w:eastAsia="Arial" w:cs="Arial"/>
                <w:lang w:val="en-US"/>
              </w:rPr>
              <w:t>und has not designated a specific index to use as a reference benchmark</w:t>
            </w:r>
          </w:p>
        </w:tc>
      </w:tr>
      <w:tr w:rsidR="005466ED" w:rsidRPr="009D11C8" w14:paraId="71ECF9E1" w14:textId="77777777" w:rsidTr="00721AB4">
        <w:tc>
          <w:tcPr>
            <w:tcW w:w="1711" w:type="dxa"/>
          </w:tcPr>
          <w:p w14:paraId="2DAFBEA6" w14:textId="77777777" w:rsidR="005466ED" w:rsidRPr="00602521" w:rsidRDefault="005466ED" w:rsidP="00721AB4">
            <w:pPr>
              <w:ind w:right="-2"/>
              <w:rPr>
                <w:rFonts w:ascii="Calibri" w:hAnsi="Calibri"/>
                <w:b/>
                <w:noProof/>
                <w:szCs w:val="24"/>
                <w:lang w:eastAsia="en-IE"/>
              </w:rPr>
            </w:pPr>
          </w:p>
        </w:tc>
        <w:tc>
          <w:tcPr>
            <w:tcW w:w="9488" w:type="dxa"/>
            <w:gridSpan w:val="7"/>
          </w:tcPr>
          <w:p w14:paraId="4A31C204" w14:textId="77777777" w:rsidR="005466ED" w:rsidRPr="009D11C8" w:rsidRDefault="005466ED" w:rsidP="00721AB4">
            <w:pPr>
              <w:pStyle w:val="Paragraphedeliste"/>
              <w:ind w:left="1080"/>
              <w:rPr>
                <w:rFonts w:ascii="Calibri" w:eastAsia="Calibri" w:hAnsi="Calibri"/>
                <w:bCs/>
                <w:noProof/>
                <w:sz w:val="22"/>
                <w:szCs w:val="22"/>
              </w:rPr>
            </w:pPr>
          </w:p>
        </w:tc>
      </w:tr>
      <w:tr w:rsidR="005466ED" w:rsidRPr="00EC731A" w14:paraId="03355FB4" w14:textId="77777777" w:rsidTr="00721AB4">
        <w:tc>
          <w:tcPr>
            <w:tcW w:w="1711" w:type="dxa"/>
          </w:tcPr>
          <w:p w14:paraId="2B3B1231" w14:textId="30636CD1" w:rsidR="005466ED" w:rsidRPr="00602521" w:rsidRDefault="005466ED" w:rsidP="00721AB4">
            <w:pPr>
              <w:ind w:right="-2"/>
              <w:rPr>
                <w:rFonts w:ascii="Calibri" w:hAnsi="Calibri"/>
                <w:b/>
                <w:noProof/>
                <w:szCs w:val="24"/>
                <w:lang w:eastAsia="en-IE"/>
              </w:rPr>
            </w:pPr>
            <w:r w:rsidRPr="003A1C01">
              <w:rPr>
                <w:rFonts w:ascii="Calibri" w:hAnsi="Calibri"/>
                <w:noProof/>
                <w:szCs w:val="24"/>
                <w:lang w:eastAsia="en-IE"/>
              </w:rPr>
              <w:drawing>
                <wp:anchor distT="0" distB="0" distL="114300" distR="114300" simplePos="0" relativeHeight="251700224" behindDoc="0" locked="0" layoutInCell="1" allowOverlap="1" wp14:anchorId="131694E3" wp14:editId="645A88C0">
                  <wp:simplePos x="0" y="0"/>
                  <wp:positionH relativeFrom="page">
                    <wp:posOffset>-698500</wp:posOffset>
                  </wp:positionH>
                  <wp:positionV relativeFrom="paragraph">
                    <wp:posOffset>-100330</wp:posOffset>
                  </wp:positionV>
                  <wp:extent cx="1706245" cy="600710"/>
                  <wp:effectExtent l="0" t="0" r="8255" b="8890"/>
                  <wp:wrapNone/>
                  <wp:docPr id="229" name="Graphic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96DAC541-7B7A-43D3-8B79-37D633B846F1}">
                                <asvg:svgBlip xmlns:asvg="http://schemas.microsoft.com/office/drawing/2016/SVG/main" r:embed="rId48"/>
                              </a:ext>
                            </a:extLst>
                          </a:blip>
                          <a:stretch>
                            <a:fillRect/>
                          </a:stretch>
                        </pic:blipFill>
                        <pic:spPr>
                          <a:xfrm>
                            <a:off x="0" y="0"/>
                            <a:ext cx="1706245" cy="600710"/>
                          </a:xfrm>
                          <a:prstGeom prst="rect">
                            <a:avLst/>
                          </a:prstGeom>
                        </pic:spPr>
                      </pic:pic>
                    </a:graphicData>
                  </a:graphic>
                  <wp14:sizeRelH relativeFrom="margin">
                    <wp14:pctWidth>0</wp14:pctWidth>
                  </wp14:sizeRelH>
                  <wp14:sizeRelV relativeFrom="margin">
                    <wp14:pctHeight>0</wp14:pctHeight>
                  </wp14:sizeRelV>
                </wp:anchor>
              </w:drawing>
            </w:r>
          </w:p>
        </w:tc>
        <w:tc>
          <w:tcPr>
            <w:tcW w:w="9488" w:type="dxa"/>
            <w:gridSpan w:val="7"/>
          </w:tcPr>
          <w:p w14:paraId="1435B98B" w14:textId="77777777" w:rsidR="005466ED" w:rsidRDefault="005466ED" w:rsidP="00721AB4">
            <w:pPr>
              <w:pStyle w:val="Paragraphedeliste"/>
              <w:ind w:left="384"/>
              <w:rPr>
                <w:rFonts w:ascii="Calibri" w:eastAsia="Calibri" w:hAnsi="Calibri"/>
                <w:b/>
                <w:bCs/>
                <w:noProof/>
                <w:sz w:val="24"/>
                <w:szCs w:val="24"/>
              </w:rPr>
            </w:pPr>
            <w:r w:rsidRPr="003A1C01">
              <w:rPr>
                <w:rFonts w:ascii="Calibri" w:eastAsia="Calibri" w:hAnsi="Calibri"/>
                <w:b/>
                <w:bCs/>
                <w:noProof/>
                <w:sz w:val="24"/>
                <w:szCs w:val="24"/>
              </w:rPr>
              <w:t>Where can I find more product specific information online?</w:t>
            </w:r>
          </w:p>
          <w:p w14:paraId="6C1BD7DE" w14:textId="77777777" w:rsidR="005466ED" w:rsidRPr="00EC731A" w:rsidRDefault="005466ED" w:rsidP="00721AB4">
            <w:pPr>
              <w:pStyle w:val="Paragraphedeliste"/>
              <w:ind w:left="384"/>
              <w:rPr>
                <w:rFonts w:ascii="Calibri" w:eastAsia="Calibri" w:hAnsi="Calibri"/>
                <w:bCs/>
                <w:i/>
                <w:noProof/>
                <w:szCs w:val="22"/>
              </w:rPr>
            </w:pPr>
          </w:p>
        </w:tc>
      </w:tr>
      <w:tr w:rsidR="005466ED" w:rsidRPr="0030670F" w14:paraId="39764B59" w14:textId="77777777" w:rsidTr="00721AB4">
        <w:tc>
          <w:tcPr>
            <w:tcW w:w="1711" w:type="dxa"/>
          </w:tcPr>
          <w:p w14:paraId="31A54034" w14:textId="77777777" w:rsidR="005466ED" w:rsidRPr="00602521" w:rsidRDefault="005466ED" w:rsidP="00721AB4">
            <w:pPr>
              <w:ind w:right="-2"/>
              <w:rPr>
                <w:rFonts w:ascii="Calibri" w:hAnsi="Calibri"/>
                <w:b/>
                <w:noProof/>
                <w:szCs w:val="24"/>
                <w:lang w:eastAsia="en-IE"/>
              </w:rPr>
            </w:pPr>
          </w:p>
        </w:tc>
        <w:tc>
          <w:tcPr>
            <w:tcW w:w="9488" w:type="dxa"/>
            <w:gridSpan w:val="7"/>
          </w:tcPr>
          <w:p w14:paraId="2B9CCD22" w14:textId="77777777" w:rsidR="005466ED" w:rsidRPr="008A4AF3" w:rsidRDefault="005466ED" w:rsidP="00721AB4">
            <w:pPr>
              <w:ind w:left="720"/>
              <w:rPr>
                <w:rFonts w:ascii="Calibri" w:eastAsia="Calibri" w:hAnsi="Calibri" w:cs="Calibri"/>
                <w:noProof/>
                <w:sz w:val="22"/>
                <w:szCs w:val="22"/>
              </w:rPr>
            </w:pPr>
            <w:r w:rsidRPr="008A4AF3">
              <w:rPr>
                <w:rFonts w:eastAsia="Calibri"/>
              </w:rPr>
              <w:t>Further product-specific information is available at: am.oddo-bhf.com</w:t>
            </w:r>
          </w:p>
        </w:tc>
      </w:tr>
    </w:tbl>
    <w:p w14:paraId="0A355F71" w14:textId="77777777" w:rsidR="005466ED" w:rsidRPr="00C77953" w:rsidRDefault="005466ED" w:rsidP="005466ED">
      <w:pPr>
        <w:spacing w:before="0" w:after="160" w:line="259" w:lineRule="auto"/>
      </w:pPr>
    </w:p>
    <w:p w14:paraId="73D87ABC" w14:textId="7DD6A1A8" w:rsidR="00A81102" w:rsidRPr="005466ED" w:rsidRDefault="00A81102" w:rsidP="00552715"/>
    <w:sectPr w:rsidR="00A81102" w:rsidRPr="005466ED" w:rsidSect="00CA1320">
      <w:footerReference w:type="default" r:id="rId49"/>
      <w:pgSz w:w="11909" w:h="16834" w:code="9"/>
      <w:pgMar w:top="720" w:right="994" w:bottom="720" w:left="2693" w:header="0" w:footer="63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9A3FC" w14:textId="77777777" w:rsidR="00394C1E" w:rsidRDefault="00394C1E">
      <w:pPr>
        <w:spacing w:before="0" w:line="240" w:lineRule="auto"/>
      </w:pPr>
      <w:r>
        <w:separator/>
      </w:r>
    </w:p>
  </w:endnote>
  <w:endnote w:type="continuationSeparator" w:id="0">
    <w:p w14:paraId="509A1642" w14:textId="77777777" w:rsidR="00394C1E" w:rsidRDefault="00394C1E">
      <w:pPr>
        <w:spacing w:before="0" w:line="240" w:lineRule="auto"/>
      </w:pPr>
      <w:r>
        <w:continuationSeparator/>
      </w:r>
    </w:p>
  </w:endnote>
  <w:endnote w:type="continuationNotice" w:id="1">
    <w:p w14:paraId="478AF48A" w14:textId="77777777" w:rsidR="00394C1E" w:rsidRDefault="00394C1E">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Flama Semicondensed Light">
    <w:altName w:val="Calibri"/>
    <w:charset w:val="00"/>
    <w:family w:val="auto"/>
    <w:pitch w:val="variable"/>
    <w:sig w:usb0="A00000AF" w:usb1="4000207B" w:usb2="00000000" w:usb3="00000000" w:csb0="0000008B" w:csb1="00000000"/>
  </w:font>
  <w:font w:name="Lucida Sans">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F04E3" w14:textId="77777777" w:rsidR="005466ED" w:rsidRDefault="005466ED">
    <w:pPr>
      <w:tabs>
        <w:tab w:val="center" w:pos="4513"/>
        <w:tab w:val="right" w:pos="9026"/>
      </w:tabs>
      <w:rPr>
        <w:color w:val="595959"/>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C9594" w14:textId="77777777" w:rsidR="005466ED" w:rsidRDefault="00394C1E" w:rsidP="00D63831">
    <w:pPr>
      <w:pStyle w:val="DocID"/>
    </w:pPr>
    <w:sdt>
      <w:sdtPr>
        <w:alias w:val="Outline Content"/>
        <w:tag w:val="D2924C3F6CB74911B5AD44AD20D5F27DDOCID_FOOTER"/>
        <w:id w:val="-211728735"/>
        <w:showingPlcHdr/>
      </w:sdtPr>
      <w:sdtEndPr/>
      <w:sdtContent>
        <w:r w:rsidR="005466ED">
          <w:t xml:space="preserve">     </w:t>
        </w:r>
      </w:sdtContent>
    </w:sdt>
    <w:sdt>
      <w:sdtPr>
        <w:alias w:val="Outline Content"/>
        <w:tag w:val="7A0A475E90CE41C8BDF31A66DB560FD9DOCID_FOOTER"/>
        <w:id w:val="-1233468591"/>
        <w:placeholder>
          <w:docPart w:val="55FCFFC3A6584023A98A3C90AD2DCA3F"/>
        </w:placeholder>
      </w:sdtPr>
      <w:sdtEndPr/>
      <w:sdtContent>
        <w:r w:rsidR="005466ED">
          <w:t>M-73369141-1</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D1825" w14:textId="77777777" w:rsidR="005466ED" w:rsidRDefault="005466ED">
    <w:pPr>
      <w:tabs>
        <w:tab w:val="center" w:pos="4513"/>
        <w:tab w:val="right" w:pos="9026"/>
      </w:tabs>
      <w:rPr>
        <w:color w:val="595959"/>
        <w:sz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4A126" w14:textId="77777777" w:rsidR="005466ED" w:rsidRDefault="005466ED">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D589A" w14:textId="77777777" w:rsidR="005466ED" w:rsidRDefault="00394C1E" w:rsidP="00A43792">
    <w:pPr>
      <w:pStyle w:val="Pieddepage"/>
      <w:tabs>
        <w:tab w:val="clear" w:pos="4513"/>
        <w:tab w:val="clear" w:pos="9026"/>
        <w:tab w:val="right" w:pos="9639"/>
      </w:tabs>
      <w:rPr>
        <w:noProof/>
      </w:rPr>
    </w:pPr>
    <w:sdt>
      <w:sdtPr>
        <w:alias w:val="Outline Content"/>
        <w:tag w:val="DD3B8B585CE64949A909C67F88447D96"/>
        <w:id w:val="1553352223"/>
        <w:showingPlcHdr/>
      </w:sdtPr>
      <w:sdtEndPr/>
      <w:sdtContent/>
    </w:sdt>
    <w:r w:rsidR="005466ED" w:rsidRPr="00A43792">
      <w:tab/>
    </w:r>
    <w:r w:rsidR="005466ED" w:rsidRPr="00A43792">
      <w:fldChar w:fldCharType="begin"/>
    </w:r>
    <w:r w:rsidR="005466ED" w:rsidRPr="00A43792">
      <w:instrText xml:space="preserve"> PAGE   \* MERGEFORMAT </w:instrText>
    </w:r>
    <w:r w:rsidR="005466ED" w:rsidRPr="00A43792">
      <w:fldChar w:fldCharType="separate"/>
    </w:r>
    <w:r w:rsidR="005466ED">
      <w:rPr>
        <w:noProof/>
      </w:rPr>
      <w:t>18</w:t>
    </w:r>
    <w:r w:rsidR="005466ED" w:rsidRPr="00A43792">
      <w:rPr>
        <w:noProof/>
      </w:rPr>
      <w:fldChar w:fldCharType="end"/>
    </w:r>
  </w:p>
  <w:p w14:paraId="777CDAB1" w14:textId="77777777" w:rsidR="005466ED" w:rsidRPr="00A43792" w:rsidRDefault="00394C1E" w:rsidP="005D3DEE">
    <w:pPr>
      <w:pStyle w:val="DocID"/>
      <w:ind w:left="-2127"/>
    </w:pPr>
    <w:sdt>
      <w:sdtPr>
        <w:rPr>
          <w:noProof/>
        </w:rPr>
        <w:alias w:val="Outline Content"/>
        <w:tag w:val="7A0A475E90CE41C8BDF31A66DB560FD9DOCID_FOOTER"/>
        <w:id w:val="-1860417296"/>
      </w:sdtPr>
      <w:sdtEndPr/>
      <w:sdtContent>
        <w:r w:rsidR="005466ED">
          <w:rPr>
            <w:noProof/>
          </w:rPr>
          <w:t>M-73369141-1</w:t>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0181D" w14:textId="77777777" w:rsidR="005466ED" w:rsidRDefault="005466ED" w:rsidP="00A33A44">
    <w:pPr>
      <w:pStyle w:val="Pieddepage"/>
      <w:tabs>
        <w:tab w:val="clear" w:pos="4513"/>
        <w:tab w:val="clear" w:pos="9026"/>
        <w:tab w:val="left" w:pos="1540"/>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156810"/>
      <w:docPartObj>
        <w:docPartGallery w:val="Page Numbers (Bottom of Page)"/>
        <w:docPartUnique/>
      </w:docPartObj>
    </w:sdtPr>
    <w:sdtEndPr>
      <w:rPr>
        <w:noProof/>
      </w:rPr>
    </w:sdtEndPr>
    <w:sdtContent>
      <w:p w14:paraId="0F6A4A47" w14:textId="20A3088B" w:rsidR="00183AF9" w:rsidRDefault="00183AF9">
        <w:pPr>
          <w:pStyle w:val="Pieddepage"/>
          <w:jc w:val="right"/>
        </w:pPr>
        <w:r>
          <w:fldChar w:fldCharType="begin"/>
        </w:r>
        <w:r>
          <w:instrText xml:space="preserve"> PAGE   \* MERGEFORMAT </w:instrText>
        </w:r>
        <w:r>
          <w:fldChar w:fldCharType="separate"/>
        </w:r>
        <w:r w:rsidR="00383A55">
          <w:rPr>
            <w:noProof/>
          </w:rPr>
          <w:t>19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399BF" w14:textId="77777777" w:rsidR="00394C1E" w:rsidRDefault="00394C1E">
      <w:pPr>
        <w:spacing w:before="0" w:line="240" w:lineRule="auto"/>
      </w:pPr>
      <w:r>
        <w:separator/>
      </w:r>
    </w:p>
  </w:footnote>
  <w:footnote w:type="continuationSeparator" w:id="0">
    <w:p w14:paraId="4649A00A" w14:textId="77777777" w:rsidR="00394C1E" w:rsidRDefault="00394C1E">
      <w:pPr>
        <w:spacing w:before="0" w:line="240" w:lineRule="auto"/>
      </w:pPr>
      <w:r>
        <w:continuationSeparator/>
      </w:r>
    </w:p>
  </w:footnote>
  <w:footnote w:type="continuationNotice" w:id="1">
    <w:p w14:paraId="7E2EA975" w14:textId="77777777" w:rsidR="00394C1E" w:rsidRDefault="00394C1E">
      <w:pPr>
        <w:spacing w:before="0" w:line="240" w:lineRule="auto"/>
      </w:pPr>
    </w:p>
  </w:footnote>
  <w:footnote w:id="2">
    <w:p w14:paraId="72215FEF" w14:textId="77777777" w:rsidR="005466ED" w:rsidRDefault="005466ED" w:rsidP="005466ED">
      <w:pPr>
        <w:pStyle w:val="Notedebasdepage"/>
        <w:ind w:left="-720"/>
      </w:pPr>
      <w:r>
        <w:rPr>
          <w:rStyle w:val="Appelnotedebasdep"/>
        </w:rPr>
        <w:footnoteRef/>
      </w:r>
      <w:r>
        <w:t xml:space="preserve"> Fossil gas and/or nuclear related activities will only comply with the EU Taxonomy where they contribute to limiting climate change ("climate change mitigation") and do not significantly harm any EU Taxonomy objective - see explanatory note in the left hand margin. The full criteria for fossil gas and nuclear energy economic activities that comply with the EU Taxonomy are laid down in Commission Delegated Regulation (EU) 2022/1214.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A474B" w14:textId="77777777" w:rsidR="005466ED" w:rsidRDefault="005466ED">
    <w:pPr>
      <w:tabs>
        <w:tab w:val="center" w:pos="4513"/>
        <w:tab w:val="right" w:pos="9026"/>
      </w:tabs>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33FD4" w14:textId="77777777" w:rsidR="005466ED" w:rsidRDefault="005466ED" w:rsidP="007607C7">
    <w:pPr>
      <w:tabs>
        <w:tab w:val="center" w:pos="4513"/>
        <w:tab w:val="right" w:pos="9026"/>
      </w:tabs>
      <w:jc w:val="center"/>
      <w:rPr>
        <w:sz w:val="16"/>
      </w:rPr>
    </w:pPr>
    <w:r>
      <w:rPr>
        <w:noProof/>
        <w:lang w:eastAsia="en-IE"/>
      </w:rPr>
      <w:drawing>
        <wp:inline distT="0" distB="0" distL="0" distR="0" wp14:anchorId="20F534B0" wp14:editId="79F2FB3B">
          <wp:extent cx="1654810" cy="901065"/>
          <wp:effectExtent l="0" t="0" r="2540" b="0"/>
          <wp:docPr id="7" name="Picture 15">
            <a:extLst xmlns:a="http://schemas.openxmlformats.org/drawingml/2006/main">
              <a:ext uri="{FF2B5EF4-FFF2-40B4-BE49-F238E27FC236}">
                <a16:creationId xmlns:a16="http://schemas.microsoft.com/office/drawing/2014/main" id="{006356B5-DE2D-4052-AA57-84012CF46B96}"/>
              </a:ext>
            </a:extLst>
          </wp:docPr>
          <wp:cNvGraphicFramePr/>
          <a:graphic xmlns:a="http://schemas.openxmlformats.org/drawingml/2006/main">
            <a:graphicData uri="http://schemas.openxmlformats.org/drawingml/2006/picture">
              <pic:pic xmlns:pic="http://schemas.openxmlformats.org/drawingml/2006/picture">
                <pic:nvPicPr>
                  <pic:cNvPr id="16" name="">
                    <a:extLst>
                      <a:ext uri="{FF2B5EF4-FFF2-40B4-BE49-F238E27FC236}">
                        <a16:creationId xmlns:a16="http://schemas.microsoft.com/office/drawing/2014/main" id="{006356B5-DE2D-4052-AA57-84012CF46B96}"/>
                      </a:ext>
                    </a:extLst>
                  </pic:cNvPr>
                  <pic:cNvPicPr/>
                </pic:nvPicPr>
                <pic:blipFill>
                  <a:blip r:embed="rId1"/>
                  <a:stretch>
                    <a:fillRect/>
                  </a:stretch>
                </pic:blipFill>
                <pic:spPr>
                  <a:xfrm>
                    <a:off x="0" y="0"/>
                    <a:ext cx="1654810" cy="90106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D981F" w14:textId="77777777" w:rsidR="005466ED" w:rsidRDefault="005466ED">
    <w:pPr>
      <w:tabs>
        <w:tab w:val="center" w:pos="4513"/>
        <w:tab w:val="right" w:pos="9026"/>
      </w:tabs>
      <w:rPr>
        <w:sz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C037F" w14:textId="77777777" w:rsidR="005466ED" w:rsidRDefault="005466ED">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4B995" w14:textId="77777777" w:rsidR="005466ED" w:rsidRDefault="005466ED">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C2505" w14:textId="77777777" w:rsidR="005466ED" w:rsidRDefault="005466E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78C"/>
    <w:multiLevelType w:val="hybridMultilevel"/>
    <w:tmpl w:val="D53853DA"/>
    <w:lvl w:ilvl="0" w:tplc="AFE0D250">
      <w:start w:val="1"/>
      <w:numFmt w:val="bullet"/>
      <w:pStyle w:val="Liste"/>
      <w:lvlText w:val=""/>
      <w:lvlJc w:val="left"/>
      <w:pPr>
        <w:tabs>
          <w:tab w:val="num" w:pos="680"/>
        </w:tabs>
        <w:ind w:left="680" w:hanging="68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B41D0"/>
    <w:multiLevelType w:val="hybridMultilevel"/>
    <w:tmpl w:val="A5C2A1A4"/>
    <w:lvl w:ilvl="0" w:tplc="200CF4A2">
      <w:start w:val="8"/>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0348D3"/>
    <w:multiLevelType w:val="hybridMultilevel"/>
    <w:tmpl w:val="3AB49208"/>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3" w15:restartNumberingAfterBreak="0">
    <w:nsid w:val="23B10661"/>
    <w:multiLevelType w:val="hybridMultilevel"/>
    <w:tmpl w:val="E3A4CA1A"/>
    <w:lvl w:ilvl="0" w:tplc="50B24CF0">
      <w:start w:val="1"/>
      <w:numFmt w:val="bullet"/>
      <w:lvlText w:val=""/>
      <w:lvlJc w:val="left"/>
      <w:pPr>
        <w:ind w:left="369" w:hanging="360"/>
      </w:pPr>
      <w:rPr>
        <w:rFonts w:ascii="Symbol" w:hAnsi="Symbol" w:hint="default"/>
        <w:color w:val="D9D9D9" w:themeColor="background1" w:themeShade="D9"/>
        <w:sz w:val="40"/>
      </w:rPr>
    </w:lvl>
    <w:lvl w:ilvl="1" w:tplc="18090003" w:tentative="1">
      <w:start w:val="1"/>
      <w:numFmt w:val="bullet"/>
      <w:lvlText w:val="o"/>
      <w:lvlJc w:val="left"/>
      <w:pPr>
        <w:ind w:left="1089" w:hanging="360"/>
      </w:pPr>
      <w:rPr>
        <w:rFonts w:ascii="Courier New" w:hAnsi="Courier New" w:cs="Courier New" w:hint="default"/>
      </w:rPr>
    </w:lvl>
    <w:lvl w:ilvl="2" w:tplc="18090005" w:tentative="1">
      <w:start w:val="1"/>
      <w:numFmt w:val="bullet"/>
      <w:lvlText w:val=""/>
      <w:lvlJc w:val="left"/>
      <w:pPr>
        <w:ind w:left="1809" w:hanging="360"/>
      </w:pPr>
      <w:rPr>
        <w:rFonts w:ascii="Wingdings" w:hAnsi="Wingdings" w:hint="default"/>
      </w:rPr>
    </w:lvl>
    <w:lvl w:ilvl="3" w:tplc="18090001" w:tentative="1">
      <w:start w:val="1"/>
      <w:numFmt w:val="bullet"/>
      <w:lvlText w:val=""/>
      <w:lvlJc w:val="left"/>
      <w:pPr>
        <w:ind w:left="2529" w:hanging="360"/>
      </w:pPr>
      <w:rPr>
        <w:rFonts w:ascii="Symbol" w:hAnsi="Symbol" w:hint="default"/>
      </w:rPr>
    </w:lvl>
    <w:lvl w:ilvl="4" w:tplc="18090003" w:tentative="1">
      <w:start w:val="1"/>
      <w:numFmt w:val="bullet"/>
      <w:lvlText w:val="o"/>
      <w:lvlJc w:val="left"/>
      <w:pPr>
        <w:ind w:left="3249" w:hanging="360"/>
      </w:pPr>
      <w:rPr>
        <w:rFonts w:ascii="Courier New" w:hAnsi="Courier New" w:cs="Courier New" w:hint="default"/>
      </w:rPr>
    </w:lvl>
    <w:lvl w:ilvl="5" w:tplc="18090005" w:tentative="1">
      <w:start w:val="1"/>
      <w:numFmt w:val="bullet"/>
      <w:lvlText w:val=""/>
      <w:lvlJc w:val="left"/>
      <w:pPr>
        <w:ind w:left="3969" w:hanging="360"/>
      </w:pPr>
      <w:rPr>
        <w:rFonts w:ascii="Wingdings" w:hAnsi="Wingdings" w:hint="default"/>
      </w:rPr>
    </w:lvl>
    <w:lvl w:ilvl="6" w:tplc="18090001" w:tentative="1">
      <w:start w:val="1"/>
      <w:numFmt w:val="bullet"/>
      <w:lvlText w:val=""/>
      <w:lvlJc w:val="left"/>
      <w:pPr>
        <w:ind w:left="4689" w:hanging="360"/>
      </w:pPr>
      <w:rPr>
        <w:rFonts w:ascii="Symbol" w:hAnsi="Symbol" w:hint="default"/>
      </w:rPr>
    </w:lvl>
    <w:lvl w:ilvl="7" w:tplc="18090003" w:tentative="1">
      <w:start w:val="1"/>
      <w:numFmt w:val="bullet"/>
      <w:lvlText w:val="o"/>
      <w:lvlJc w:val="left"/>
      <w:pPr>
        <w:ind w:left="5409" w:hanging="360"/>
      </w:pPr>
      <w:rPr>
        <w:rFonts w:ascii="Courier New" w:hAnsi="Courier New" w:cs="Courier New" w:hint="default"/>
      </w:rPr>
    </w:lvl>
    <w:lvl w:ilvl="8" w:tplc="18090005" w:tentative="1">
      <w:start w:val="1"/>
      <w:numFmt w:val="bullet"/>
      <w:lvlText w:val=""/>
      <w:lvlJc w:val="left"/>
      <w:pPr>
        <w:ind w:left="6129" w:hanging="360"/>
      </w:pPr>
      <w:rPr>
        <w:rFonts w:ascii="Wingdings" w:hAnsi="Wingdings" w:hint="default"/>
      </w:rPr>
    </w:lvl>
  </w:abstractNum>
  <w:abstractNum w:abstractNumId="4" w15:restartNumberingAfterBreak="0">
    <w:nsid w:val="268E3C47"/>
    <w:multiLevelType w:val="multilevel"/>
    <w:tmpl w:val="64069614"/>
    <w:name w:val="Appendix"/>
    <w:lvl w:ilvl="0">
      <w:start w:val="1"/>
      <w:numFmt w:val="decimal"/>
      <w:pStyle w:val="AppendixHeading"/>
      <w:suff w:val="nothing"/>
      <w:lvlText w:val="Appendix %1"/>
      <w:lvlJc w:val="left"/>
      <w:pPr>
        <w:ind w:left="0" w:firstLine="0"/>
      </w:pPr>
      <w:rPr>
        <w:rFonts w:ascii="Arial Bold" w:hAnsi="Arial Bold" w:hint="default"/>
        <w:b/>
        <w:i w:val="0"/>
        <w:caps/>
        <w:strike w:val="0"/>
        <w:dstrike w:val="0"/>
        <w:vanish w:val="0"/>
        <w:sz w:val="19"/>
        <w:vertAlign w:val="baseline"/>
      </w:rPr>
    </w:lvl>
    <w:lvl w:ilvl="1">
      <w:start w:val="1"/>
      <w:numFmt w:val="decimal"/>
      <w:pStyle w:val="AppendixPart"/>
      <w:suff w:val="nothing"/>
      <w:lvlText w:val="Part %2"/>
      <w:lvlJc w:val="left"/>
      <w:pPr>
        <w:ind w:left="0" w:firstLine="0"/>
      </w:pPr>
      <w:rPr>
        <w:rFonts w:ascii="Arial" w:hAnsi="Arial" w:hint="default"/>
        <w:b/>
        <w:i w:val="0"/>
        <w:caps w:val="0"/>
        <w:strike w:val="0"/>
        <w:dstrike w:val="0"/>
        <w:vanish w:val="0"/>
        <w:sz w:val="19"/>
        <w:vertAlign w:val="baseline"/>
      </w:rPr>
    </w:lvl>
    <w:lvl w:ilvl="2">
      <w:start w:val="1"/>
      <w:numFmt w:val="decimal"/>
      <w:pStyle w:val="Appendix1Number"/>
      <w:lvlText w:val="%3"/>
      <w:lvlJc w:val="left"/>
      <w:pPr>
        <w:ind w:left="624" w:hanging="624"/>
      </w:pPr>
      <w:rPr>
        <w:rFonts w:ascii="Arial" w:hAnsi="Arial" w:hint="default"/>
        <w:b w:val="0"/>
        <w:i w:val="0"/>
        <w:sz w:val="19"/>
      </w:rPr>
    </w:lvl>
    <w:lvl w:ilvl="3">
      <w:start w:val="1"/>
      <w:numFmt w:val="decimal"/>
      <w:pStyle w:val="Appendix2Number"/>
      <w:lvlText w:val="%3.%4"/>
      <w:lvlJc w:val="left"/>
      <w:pPr>
        <w:ind w:left="624" w:hanging="624"/>
      </w:pPr>
      <w:rPr>
        <w:rFonts w:ascii="Arial" w:hAnsi="Arial" w:hint="default"/>
        <w:b w:val="0"/>
        <w:i w:val="0"/>
        <w:caps w:val="0"/>
        <w:strike w:val="0"/>
        <w:dstrike w:val="0"/>
        <w:vanish w:val="0"/>
        <w:sz w:val="19"/>
        <w:vertAlign w:val="baseline"/>
      </w:rPr>
    </w:lvl>
    <w:lvl w:ilvl="4">
      <w:start w:val="1"/>
      <w:numFmt w:val="decimal"/>
      <w:pStyle w:val="Appendix3Number"/>
      <w:lvlText w:val="%3.%4.%5"/>
      <w:lvlJc w:val="left"/>
      <w:pPr>
        <w:ind w:left="1361" w:hanging="737"/>
      </w:pPr>
      <w:rPr>
        <w:rFonts w:ascii="Arial" w:hAnsi="Arial" w:hint="default"/>
        <w:b w:val="0"/>
        <w:i w:val="0"/>
        <w:caps w:val="0"/>
        <w:strike w:val="0"/>
        <w:dstrike w:val="0"/>
        <w:vanish w:val="0"/>
        <w:sz w:val="19"/>
        <w:vertAlign w:val="baseline"/>
      </w:rPr>
    </w:lvl>
    <w:lvl w:ilvl="5">
      <w:start w:val="1"/>
      <w:numFmt w:val="lowerLetter"/>
      <w:pStyle w:val="Appendix4Number"/>
      <w:lvlText w:val="(%6)"/>
      <w:lvlJc w:val="left"/>
      <w:pPr>
        <w:ind w:left="1814" w:hanging="453"/>
      </w:pPr>
      <w:rPr>
        <w:rFonts w:ascii="Arial" w:hAnsi="Arial" w:hint="default"/>
        <w:b w:val="0"/>
        <w:i w:val="0"/>
        <w:caps w:val="0"/>
        <w:strike w:val="0"/>
        <w:dstrike w:val="0"/>
        <w:vanish w:val="0"/>
        <w:sz w:val="19"/>
        <w:vertAlign w:val="baseline"/>
      </w:rPr>
    </w:lvl>
    <w:lvl w:ilvl="6">
      <w:start w:val="1"/>
      <w:numFmt w:val="lowerRoman"/>
      <w:pStyle w:val="Appendix5Number"/>
      <w:lvlText w:val="(%7)"/>
      <w:lvlJc w:val="left"/>
      <w:pPr>
        <w:ind w:left="2211" w:hanging="397"/>
      </w:pPr>
      <w:rPr>
        <w:rFonts w:ascii="Arial" w:hAnsi="Arial" w:hint="default"/>
        <w:b w:val="0"/>
        <w:i w:val="0"/>
        <w:caps w:val="0"/>
        <w:strike w:val="0"/>
        <w:dstrike w:val="0"/>
        <w:vanish w:val="0"/>
        <w:sz w:val="19"/>
        <w:vertAlign w:val="baseline"/>
      </w:rPr>
    </w:lvl>
    <w:lvl w:ilvl="7">
      <w:start w:val="1"/>
      <w:numFmt w:val="none"/>
      <w:lvlRestart w:val="0"/>
      <w:suff w:val="nothing"/>
      <w:lvlText w:val=""/>
      <w:lvlJc w:val="left"/>
      <w:pPr>
        <w:ind w:left="0" w:firstLine="0"/>
      </w:pPr>
      <w:rPr>
        <w:rFonts w:ascii="Arial" w:hAnsi="Arial" w:hint="default"/>
        <w:b w:val="0"/>
        <w:i w:val="0"/>
        <w:sz w:val="19"/>
      </w:rPr>
    </w:lvl>
    <w:lvl w:ilvl="8">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abstractNum>
  <w:abstractNum w:abstractNumId="5" w15:restartNumberingAfterBreak="0">
    <w:nsid w:val="37906061"/>
    <w:multiLevelType w:val="hybridMultilevel"/>
    <w:tmpl w:val="7DA00AB4"/>
    <w:lvl w:ilvl="0" w:tplc="18090001">
      <w:start w:val="1"/>
      <w:numFmt w:val="bullet"/>
      <w:lvlText w:val=""/>
      <w:lvlJc w:val="left"/>
      <w:pPr>
        <w:ind w:left="1571" w:hanging="360"/>
      </w:pPr>
      <w:rPr>
        <w:rFonts w:ascii="Symbol" w:hAnsi="Symbol" w:hint="default"/>
      </w:rPr>
    </w:lvl>
    <w:lvl w:ilvl="1" w:tplc="18090003" w:tentative="1">
      <w:start w:val="1"/>
      <w:numFmt w:val="bullet"/>
      <w:lvlText w:val="o"/>
      <w:lvlJc w:val="left"/>
      <w:pPr>
        <w:ind w:left="2291" w:hanging="360"/>
      </w:pPr>
      <w:rPr>
        <w:rFonts w:ascii="Courier New" w:hAnsi="Courier New" w:cs="Courier New" w:hint="default"/>
      </w:rPr>
    </w:lvl>
    <w:lvl w:ilvl="2" w:tplc="18090005" w:tentative="1">
      <w:start w:val="1"/>
      <w:numFmt w:val="bullet"/>
      <w:lvlText w:val=""/>
      <w:lvlJc w:val="left"/>
      <w:pPr>
        <w:ind w:left="3011" w:hanging="360"/>
      </w:pPr>
      <w:rPr>
        <w:rFonts w:ascii="Wingdings" w:hAnsi="Wingdings" w:hint="default"/>
      </w:rPr>
    </w:lvl>
    <w:lvl w:ilvl="3" w:tplc="18090001" w:tentative="1">
      <w:start w:val="1"/>
      <w:numFmt w:val="bullet"/>
      <w:lvlText w:val=""/>
      <w:lvlJc w:val="left"/>
      <w:pPr>
        <w:ind w:left="3731" w:hanging="360"/>
      </w:pPr>
      <w:rPr>
        <w:rFonts w:ascii="Symbol" w:hAnsi="Symbol" w:hint="default"/>
      </w:rPr>
    </w:lvl>
    <w:lvl w:ilvl="4" w:tplc="18090003" w:tentative="1">
      <w:start w:val="1"/>
      <w:numFmt w:val="bullet"/>
      <w:lvlText w:val="o"/>
      <w:lvlJc w:val="left"/>
      <w:pPr>
        <w:ind w:left="4451" w:hanging="360"/>
      </w:pPr>
      <w:rPr>
        <w:rFonts w:ascii="Courier New" w:hAnsi="Courier New" w:cs="Courier New" w:hint="default"/>
      </w:rPr>
    </w:lvl>
    <w:lvl w:ilvl="5" w:tplc="18090005" w:tentative="1">
      <w:start w:val="1"/>
      <w:numFmt w:val="bullet"/>
      <w:lvlText w:val=""/>
      <w:lvlJc w:val="left"/>
      <w:pPr>
        <w:ind w:left="5171" w:hanging="360"/>
      </w:pPr>
      <w:rPr>
        <w:rFonts w:ascii="Wingdings" w:hAnsi="Wingdings" w:hint="default"/>
      </w:rPr>
    </w:lvl>
    <w:lvl w:ilvl="6" w:tplc="18090001" w:tentative="1">
      <w:start w:val="1"/>
      <w:numFmt w:val="bullet"/>
      <w:lvlText w:val=""/>
      <w:lvlJc w:val="left"/>
      <w:pPr>
        <w:ind w:left="5891" w:hanging="360"/>
      </w:pPr>
      <w:rPr>
        <w:rFonts w:ascii="Symbol" w:hAnsi="Symbol" w:hint="default"/>
      </w:rPr>
    </w:lvl>
    <w:lvl w:ilvl="7" w:tplc="18090003" w:tentative="1">
      <w:start w:val="1"/>
      <w:numFmt w:val="bullet"/>
      <w:lvlText w:val="o"/>
      <w:lvlJc w:val="left"/>
      <w:pPr>
        <w:ind w:left="6611" w:hanging="360"/>
      </w:pPr>
      <w:rPr>
        <w:rFonts w:ascii="Courier New" w:hAnsi="Courier New" w:cs="Courier New" w:hint="default"/>
      </w:rPr>
    </w:lvl>
    <w:lvl w:ilvl="8" w:tplc="18090005" w:tentative="1">
      <w:start w:val="1"/>
      <w:numFmt w:val="bullet"/>
      <w:lvlText w:val=""/>
      <w:lvlJc w:val="left"/>
      <w:pPr>
        <w:ind w:left="7331" w:hanging="360"/>
      </w:pPr>
      <w:rPr>
        <w:rFonts w:ascii="Wingdings" w:hAnsi="Wingdings" w:hint="default"/>
      </w:rPr>
    </w:lvl>
  </w:abstractNum>
  <w:abstractNum w:abstractNumId="6" w15:restartNumberingAfterBreak="0">
    <w:nsid w:val="38124B88"/>
    <w:multiLevelType w:val="multilevel"/>
    <w:tmpl w:val="23E44F1C"/>
    <w:lvl w:ilvl="0">
      <w:start w:val="1"/>
      <w:numFmt w:val="decimal"/>
      <w:pStyle w:val="ALGNo1"/>
      <w:lvlText w:val="%1"/>
      <w:lvlJc w:val="left"/>
      <w:pPr>
        <w:ind w:left="624" w:hanging="624"/>
      </w:pPr>
      <w:rPr>
        <w:rFonts w:ascii="Arial" w:hAnsi="Arial" w:hint="default"/>
        <w:b w:val="0"/>
        <w:i w:val="0"/>
        <w:caps w:val="0"/>
        <w:strike w:val="0"/>
        <w:dstrike w:val="0"/>
        <w:vanish w:val="0"/>
        <w:sz w:val="19"/>
        <w:vertAlign w:val="baseline"/>
      </w:rPr>
    </w:lvl>
    <w:lvl w:ilvl="1">
      <w:start w:val="1"/>
      <w:numFmt w:val="decimal"/>
      <w:pStyle w:val="ALGNo2"/>
      <w:lvlText w:val="%1.%2"/>
      <w:lvlJc w:val="left"/>
      <w:pPr>
        <w:ind w:left="624" w:hanging="624"/>
      </w:pPr>
      <w:rPr>
        <w:rFonts w:ascii="Arial" w:hAnsi="Arial" w:hint="default"/>
        <w:b w:val="0"/>
        <w:i w:val="0"/>
        <w:caps w:val="0"/>
        <w:strike w:val="0"/>
        <w:dstrike w:val="0"/>
        <w:vanish w:val="0"/>
        <w:sz w:val="19"/>
        <w:vertAlign w:val="baseline"/>
      </w:rPr>
    </w:lvl>
    <w:lvl w:ilvl="2">
      <w:start w:val="1"/>
      <w:numFmt w:val="lowerRoman"/>
      <w:pStyle w:val="ALGNo3"/>
      <w:lvlText w:val="(%3) "/>
      <w:lvlJc w:val="left"/>
      <w:pPr>
        <w:ind w:left="1474" w:hanging="850"/>
      </w:pPr>
      <w:rPr>
        <w:rFonts w:cs="Times New Roman" w:hint="default"/>
        <w:b w:val="0"/>
        <w:i w:val="0"/>
        <w:caps w:val="0"/>
        <w:strike w:val="0"/>
        <w:dstrike w:val="0"/>
        <w:vanish w:val="0"/>
        <w:sz w:val="18"/>
        <w:szCs w:val="18"/>
        <w:vertAlign w:val="baseline"/>
      </w:rPr>
    </w:lvl>
    <w:lvl w:ilvl="3">
      <w:start w:val="1"/>
      <w:numFmt w:val="lowerLetter"/>
      <w:pStyle w:val="ALGNo4"/>
      <w:lvlText w:val="(%4)"/>
      <w:lvlJc w:val="left"/>
      <w:pPr>
        <w:ind w:left="1475" w:hanging="340"/>
      </w:pPr>
      <w:rPr>
        <w:rFonts w:ascii="Arial" w:hAnsi="Arial" w:hint="default"/>
        <w:b w:val="0"/>
        <w:i w:val="0"/>
        <w:caps w:val="0"/>
        <w:strike w:val="0"/>
        <w:dstrike w:val="0"/>
        <w:vanish w:val="0"/>
        <w:sz w:val="19"/>
        <w:vertAlign w:val="baseline"/>
      </w:rPr>
    </w:lvl>
    <w:lvl w:ilvl="4">
      <w:start w:val="1"/>
      <w:numFmt w:val="lowerRoman"/>
      <w:pStyle w:val="ALGNo5"/>
      <w:lvlText w:val="(%5)"/>
      <w:lvlJc w:val="left"/>
      <w:pPr>
        <w:ind w:left="2268" w:hanging="454"/>
      </w:pPr>
      <w:rPr>
        <w:rFonts w:ascii="Arial" w:hAnsi="Arial" w:hint="default"/>
        <w:b w:val="0"/>
        <w:i w:val="0"/>
        <w:caps w:val="0"/>
        <w:strike w:val="0"/>
        <w:dstrike w:val="0"/>
        <w:vanish w:val="0"/>
        <w:sz w:val="19"/>
        <w:vertAlign w:val="baseline"/>
      </w:rPr>
    </w:lvl>
    <w:lvl w:ilvl="5">
      <w:start w:val="1"/>
      <w:numFmt w:val="upperLetter"/>
      <w:pStyle w:val="ALGNo6"/>
      <w:lvlText w:val="(%6)"/>
      <w:lvlJc w:val="left"/>
      <w:pPr>
        <w:ind w:left="2552" w:hanging="341"/>
      </w:pPr>
      <w:rPr>
        <w:rFonts w:ascii="Arial" w:hAnsi="Arial" w:hint="default"/>
        <w:b w:val="0"/>
        <w:i w:val="0"/>
        <w:caps w:val="0"/>
        <w:strike w:val="0"/>
        <w:dstrike w:val="0"/>
        <w:vanish w:val="0"/>
        <w:sz w:val="19"/>
        <w:vertAlign w:val="baseline"/>
      </w:rPr>
    </w:lvl>
    <w:lvl w:ilvl="6">
      <w:start w:val="1"/>
      <w:numFmt w:val="decimal"/>
      <w:pStyle w:val="ALGNo7"/>
      <w:lvlText w:val="(%7)"/>
      <w:lvlJc w:val="left"/>
      <w:pPr>
        <w:ind w:left="2948" w:hanging="340"/>
      </w:pPr>
      <w:rPr>
        <w:rFonts w:ascii="Arial" w:hAnsi="Arial" w:hint="default"/>
        <w:b w:val="0"/>
        <w:i w:val="0"/>
        <w:caps w:val="0"/>
        <w:strike w:val="0"/>
        <w:dstrike w:val="0"/>
        <w:vanish w:val="0"/>
        <w:sz w:val="19"/>
        <w:vertAlign w:val="baseline"/>
      </w:rPr>
    </w:lvl>
    <w:lvl w:ilvl="7">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lvl w:ilvl="8">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abstractNum>
  <w:abstractNum w:abstractNumId="7" w15:restartNumberingAfterBreak="0">
    <w:nsid w:val="382C3F96"/>
    <w:multiLevelType w:val="multilevel"/>
    <w:tmpl w:val="8AA42982"/>
    <w:name w:val="Bullet L2"/>
    <w:lvl w:ilvl="0">
      <w:start w:val="1"/>
      <w:numFmt w:val="bullet"/>
      <w:pStyle w:val="BulletL1"/>
      <w:lvlText w:val=""/>
      <w:lvlJc w:val="left"/>
      <w:pPr>
        <w:ind w:left="624" w:hanging="624"/>
      </w:pPr>
      <w:rPr>
        <w:rFonts w:ascii="Symbol" w:hAnsi="Symbol" w:hint="default"/>
        <w:b w:val="0"/>
        <w:i w:val="0"/>
        <w:caps w:val="0"/>
        <w:strike w:val="0"/>
        <w:dstrike w:val="0"/>
        <w:vanish w:val="0"/>
        <w:color w:val="auto"/>
        <w:sz w:val="19"/>
        <w:vertAlign w:val="baseline"/>
      </w:rPr>
    </w:lvl>
    <w:lvl w:ilvl="1">
      <w:start w:val="1"/>
      <w:numFmt w:val="bullet"/>
      <w:lvlRestart w:val="0"/>
      <w:pStyle w:val="BulletL2"/>
      <w:lvlText w:val=""/>
      <w:lvlJc w:val="left"/>
      <w:pPr>
        <w:tabs>
          <w:tab w:val="num" w:pos="624"/>
        </w:tabs>
        <w:ind w:left="1361" w:hanging="737"/>
      </w:pPr>
      <w:rPr>
        <w:rFonts w:ascii="Symbol" w:hAnsi="Symbol" w:hint="default"/>
        <w:b w:val="0"/>
        <w:i w:val="0"/>
        <w:caps w:val="0"/>
        <w:strike w:val="0"/>
        <w:dstrike w:val="0"/>
        <w:vanish w:val="0"/>
        <w:color w:val="auto"/>
        <w:sz w:val="19"/>
        <w:vertAlign w:val="baseline"/>
      </w:rPr>
    </w:lvl>
    <w:lvl w:ilvl="2">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lvl w:ilvl="3">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lvl w:ilvl="4">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lvl w:ilvl="5">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lvl w:ilvl="6">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lvl w:ilvl="7">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lvl w:ilvl="8">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abstractNum>
  <w:abstractNum w:abstractNumId="8" w15:restartNumberingAfterBreak="0">
    <w:nsid w:val="3A0333F1"/>
    <w:multiLevelType w:val="hybridMultilevel"/>
    <w:tmpl w:val="8B967D4E"/>
    <w:lvl w:ilvl="0" w:tplc="963C153A">
      <w:start w:val="1"/>
      <w:numFmt w:val="lowerLetter"/>
      <w:pStyle w:val="Numberedtitlelevel4"/>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5F15ED"/>
    <w:multiLevelType w:val="multilevel"/>
    <w:tmpl w:val="B31E0B3C"/>
    <w:name w:val="Schedule"/>
    <w:lvl w:ilvl="0">
      <w:start w:val="1"/>
      <w:numFmt w:val="decimal"/>
      <w:pStyle w:val="ScheduleHeading"/>
      <w:suff w:val="nothing"/>
      <w:lvlText w:val="Schedule %1"/>
      <w:lvlJc w:val="left"/>
      <w:pPr>
        <w:ind w:left="0" w:firstLine="0"/>
      </w:pPr>
      <w:rPr>
        <w:rFonts w:ascii="Arial" w:hAnsi="Arial" w:hint="default"/>
        <w:b/>
        <w:i w:val="0"/>
        <w:caps/>
        <w:strike w:val="0"/>
        <w:dstrike w:val="0"/>
        <w:vanish w:val="0"/>
        <w:sz w:val="19"/>
        <w:vertAlign w:val="baseline"/>
      </w:rPr>
    </w:lvl>
    <w:lvl w:ilvl="1">
      <w:start w:val="1"/>
      <w:numFmt w:val="decimal"/>
      <w:pStyle w:val="SchedulePart"/>
      <w:suff w:val="nothing"/>
      <w:lvlText w:val="Part %2  "/>
      <w:lvlJc w:val="left"/>
      <w:pPr>
        <w:ind w:left="0" w:firstLine="0"/>
      </w:pPr>
      <w:rPr>
        <w:rFonts w:hint="default"/>
      </w:rPr>
    </w:lvl>
    <w:lvl w:ilvl="2">
      <w:start w:val="1"/>
      <w:numFmt w:val="decimal"/>
      <w:lvlRestart w:val="1"/>
      <w:pStyle w:val="Schedule1Number"/>
      <w:lvlText w:val="%3"/>
      <w:lvlJc w:val="left"/>
      <w:pPr>
        <w:ind w:left="624" w:hanging="624"/>
      </w:pPr>
      <w:rPr>
        <w:rFonts w:ascii="Arial" w:hAnsi="Arial" w:hint="default"/>
        <w:b w:val="0"/>
        <w:i w:val="0"/>
        <w:caps w:val="0"/>
        <w:strike w:val="0"/>
        <w:dstrike w:val="0"/>
        <w:vanish w:val="0"/>
        <w:sz w:val="19"/>
        <w:vertAlign w:val="baseline"/>
      </w:rPr>
    </w:lvl>
    <w:lvl w:ilvl="3">
      <w:start w:val="1"/>
      <w:numFmt w:val="decimal"/>
      <w:pStyle w:val="Schedule2Number"/>
      <w:lvlText w:val="%3.%4"/>
      <w:lvlJc w:val="left"/>
      <w:pPr>
        <w:ind w:left="624" w:hanging="624"/>
      </w:pPr>
      <w:rPr>
        <w:rFonts w:ascii="Arial" w:hAnsi="Arial" w:hint="default"/>
        <w:b w:val="0"/>
        <w:i w:val="0"/>
        <w:sz w:val="19"/>
      </w:rPr>
    </w:lvl>
    <w:lvl w:ilvl="4">
      <w:start w:val="1"/>
      <w:numFmt w:val="decimal"/>
      <w:pStyle w:val="Schedule3Number"/>
      <w:lvlText w:val="%3.%4.%5"/>
      <w:lvlJc w:val="left"/>
      <w:pPr>
        <w:ind w:left="1474" w:hanging="850"/>
      </w:pPr>
      <w:rPr>
        <w:rFonts w:ascii="Arial" w:hAnsi="Arial" w:hint="default"/>
        <w:b w:val="0"/>
        <w:i w:val="0"/>
        <w:sz w:val="19"/>
      </w:rPr>
    </w:lvl>
    <w:lvl w:ilvl="5">
      <w:start w:val="1"/>
      <w:numFmt w:val="lowerLetter"/>
      <w:pStyle w:val="Schedule4Number"/>
      <w:lvlText w:val="(%6)"/>
      <w:lvlJc w:val="left"/>
      <w:pPr>
        <w:ind w:left="1814" w:hanging="340"/>
      </w:pPr>
      <w:rPr>
        <w:rFonts w:ascii="Arial" w:hAnsi="Arial" w:hint="default"/>
        <w:b w:val="0"/>
        <w:i w:val="0"/>
        <w:sz w:val="19"/>
      </w:rPr>
    </w:lvl>
    <w:lvl w:ilvl="6">
      <w:start w:val="1"/>
      <w:numFmt w:val="lowerRoman"/>
      <w:pStyle w:val="Schedule5Number"/>
      <w:lvlText w:val="(%7)"/>
      <w:lvlJc w:val="left"/>
      <w:pPr>
        <w:ind w:left="2155" w:hanging="341"/>
      </w:pPr>
      <w:rPr>
        <w:rFonts w:ascii="Arial" w:hAnsi="Arial" w:hint="default"/>
        <w:b w:val="0"/>
        <w:i w:val="0"/>
        <w:sz w:val="19"/>
      </w:rPr>
    </w:lvl>
    <w:lvl w:ilvl="7">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lvl w:ilvl="8">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abstractNum>
  <w:abstractNum w:abstractNumId="10" w15:restartNumberingAfterBreak="0">
    <w:nsid w:val="3FF02991"/>
    <w:multiLevelType w:val="multilevel"/>
    <w:tmpl w:val="4322C77C"/>
    <w:name w:val="Definition"/>
    <w:lvl w:ilvl="0">
      <w:start w:val="1"/>
      <w:numFmt w:val="none"/>
      <w:pStyle w:val="Definition"/>
      <w:suff w:val="nothing"/>
      <w:lvlText w:val=""/>
      <w:lvlJc w:val="left"/>
      <w:pPr>
        <w:ind w:left="624" w:firstLine="0"/>
      </w:pPr>
      <w:rPr>
        <w:rFonts w:ascii="Arial" w:hAnsi="Arial" w:hint="default"/>
        <w:b w:val="0"/>
        <w:i w:val="0"/>
        <w:caps w:val="0"/>
        <w:strike w:val="0"/>
        <w:dstrike w:val="0"/>
        <w:vanish w:val="0"/>
        <w:sz w:val="19"/>
        <w:vertAlign w:val="baseline"/>
      </w:rPr>
    </w:lvl>
    <w:lvl w:ilvl="1">
      <w:start w:val="1"/>
      <w:numFmt w:val="lowerLetter"/>
      <w:pStyle w:val="Definitiona"/>
      <w:lvlText w:val="%1(%2)"/>
      <w:lvlJc w:val="left"/>
      <w:pPr>
        <w:ind w:left="1361" w:hanging="737"/>
      </w:pPr>
      <w:rPr>
        <w:rFonts w:ascii="Arial" w:hAnsi="Arial" w:hint="default"/>
        <w:b w:val="0"/>
        <w:i w:val="0"/>
        <w:caps w:val="0"/>
        <w:strike w:val="0"/>
        <w:dstrike w:val="0"/>
        <w:vanish w:val="0"/>
        <w:sz w:val="19"/>
        <w:vertAlign w:val="baseline"/>
      </w:rPr>
    </w:lvl>
    <w:lvl w:ilvl="2">
      <w:start w:val="1"/>
      <w:numFmt w:val="lowerRoman"/>
      <w:pStyle w:val="Definitioni"/>
      <w:lvlText w:val="%1(%3)"/>
      <w:lvlJc w:val="left"/>
      <w:pPr>
        <w:ind w:left="1814" w:hanging="453"/>
      </w:pPr>
      <w:rPr>
        <w:rFonts w:ascii="Arial" w:hAnsi="Arial" w:hint="default"/>
        <w:b w:val="0"/>
        <w:i w:val="0"/>
        <w:caps w:val="0"/>
        <w:strike w:val="0"/>
        <w:dstrike w:val="0"/>
        <w:vanish w:val="0"/>
        <w:sz w:val="19"/>
        <w:vertAlign w:val="baseline"/>
      </w:rPr>
    </w:lvl>
    <w:lvl w:ilvl="3">
      <w:start w:val="1"/>
      <w:numFmt w:val="upperLetter"/>
      <w:pStyle w:val="DefinitionA0"/>
      <w:lvlText w:val="%1(%4)"/>
      <w:lvlJc w:val="left"/>
      <w:pPr>
        <w:ind w:left="2211" w:hanging="397"/>
      </w:pPr>
      <w:rPr>
        <w:rFonts w:ascii="Arial" w:hAnsi="Arial" w:hint="default"/>
        <w:b w:val="0"/>
        <w:i w:val="0"/>
        <w:caps w:val="0"/>
        <w:strike w:val="0"/>
        <w:dstrike w:val="0"/>
        <w:vanish w:val="0"/>
        <w:sz w:val="19"/>
        <w:vertAlign w:val="baseline"/>
      </w:rPr>
    </w:lvl>
    <w:lvl w:ilvl="4">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lvl w:ilvl="5">
      <w:start w:val="1"/>
      <w:numFmt w:val="none"/>
      <w:lvlRestart w:val="0"/>
      <w:suff w:val="nothing"/>
      <w:lvlText w:val="%6%1"/>
      <w:lvlJc w:val="left"/>
      <w:pPr>
        <w:ind w:left="0" w:firstLine="0"/>
      </w:pPr>
      <w:rPr>
        <w:rFonts w:ascii="Arial" w:hAnsi="Arial" w:hint="default"/>
        <w:b w:val="0"/>
        <w:i w:val="0"/>
        <w:caps w:val="0"/>
        <w:strike w:val="0"/>
        <w:dstrike w:val="0"/>
        <w:vanish w:val="0"/>
        <w:sz w:val="19"/>
        <w:vertAlign w:val="baseline"/>
      </w:rPr>
    </w:lvl>
    <w:lvl w:ilvl="6">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lvl w:ilvl="7">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lvl w:ilvl="8">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abstractNum>
  <w:abstractNum w:abstractNumId="11" w15:restartNumberingAfterBreak="0">
    <w:nsid w:val="40635629"/>
    <w:multiLevelType w:val="multilevel"/>
    <w:tmpl w:val="4B4C20CE"/>
    <w:name w:val="Parties"/>
    <w:lvl w:ilvl="0">
      <w:start w:val="1"/>
      <w:numFmt w:val="decimal"/>
      <w:pStyle w:val="Parties"/>
      <w:lvlText w:val="(%1)"/>
      <w:lvlJc w:val="left"/>
      <w:pPr>
        <w:ind w:left="624" w:hanging="624"/>
      </w:pPr>
      <w:rPr>
        <w:rFonts w:ascii="Arial" w:hAnsi="Arial" w:hint="default"/>
        <w:b w:val="0"/>
        <w:i w:val="0"/>
        <w:caps w:val="0"/>
        <w:strike w:val="0"/>
        <w:dstrike w:val="0"/>
        <w:vanish w:val="0"/>
        <w:sz w:val="19"/>
        <w:vertAlign w:val="baseline"/>
      </w:rPr>
    </w:lvl>
    <w:lvl w:ilvl="1">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lvl w:ilvl="2">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lvl w:ilvl="3">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lvl w:ilvl="4">
      <w:start w:val="1"/>
      <w:numFmt w:val="none"/>
      <w:lvlRestart w:val="0"/>
      <w:suff w:val="nothing"/>
      <w:lvlText w:val=""/>
      <w:lvlJc w:val="left"/>
      <w:pPr>
        <w:ind w:left="0" w:firstLine="0"/>
      </w:pPr>
      <w:rPr>
        <w:rFonts w:ascii="Arial" w:hAnsi="Arial" w:hint="default"/>
        <w:b w:val="0"/>
        <w:i w:val="0"/>
        <w:sz w:val="19"/>
      </w:rPr>
    </w:lvl>
    <w:lvl w:ilvl="5">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lvl w:ilvl="6">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lvl w:ilvl="7">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lvl w:ilvl="8">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abstractNum>
  <w:abstractNum w:abstractNumId="12" w15:restartNumberingAfterBreak="0">
    <w:nsid w:val="40ED1242"/>
    <w:multiLevelType w:val="hybridMultilevel"/>
    <w:tmpl w:val="483699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A4B51E6"/>
    <w:multiLevelType w:val="hybridMultilevel"/>
    <w:tmpl w:val="5B4E5B44"/>
    <w:lvl w:ilvl="0" w:tplc="200CF4A2">
      <w:start w:val="8"/>
      <w:numFmt w:val="bullet"/>
      <w:lvlText w:val="-"/>
      <w:lvlJc w:val="left"/>
      <w:pPr>
        <w:ind w:left="2154" w:hanging="360"/>
      </w:pPr>
      <w:rPr>
        <w:rFonts w:ascii="Calibri" w:eastAsiaTheme="minorEastAsia" w:hAnsi="Calibri" w:cs="Calibri" w:hint="default"/>
      </w:rPr>
    </w:lvl>
    <w:lvl w:ilvl="1" w:tplc="18090003" w:tentative="1">
      <w:start w:val="1"/>
      <w:numFmt w:val="bullet"/>
      <w:lvlText w:val="o"/>
      <w:lvlJc w:val="left"/>
      <w:pPr>
        <w:ind w:left="2874" w:hanging="360"/>
      </w:pPr>
      <w:rPr>
        <w:rFonts w:ascii="Courier New" w:hAnsi="Courier New" w:cs="Courier New" w:hint="default"/>
      </w:rPr>
    </w:lvl>
    <w:lvl w:ilvl="2" w:tplc="18090005" w:tentative="1">
      <w:start w:val="1"/>
      <w:numFmt w:val="bullet"/>
      <w:lvlText w:val=""/>
      <w:lvlJc w:val="left"/>
      <w:pPr>
        <w:ind w:left="3594" w:hanging="360"/>
      </w:pPr>
      <w:rPr>
        <w:rFonts w:ascii="Wingdings" w:hAnsi="Wingdings" w:hint="default"/>
      </w:rPr>
    </w:lvl>
    <w:lvl w:ilvl="3" w:tplc="18090001" w:tentative="1">
      <w:start w:val="1"/>
      <w:numFmt w:val="bullet"/>
      <w:lvlText w:val=""/>
      <w:lvlJc w:val="left"/>
      <w:pPr>
        <w:ind w:left="4314" w:hanging="360"/>
      </w:pPr>
      <w:rPr>
        <w:rFonts w:ascii="Symbol" w:hAnsi="Symbol" w:hint="default"/>
      </w:rPr>
    </w:lvl>
    <w:lvl w:ilvl="4" w:tplc="18090003" w:tentative="1">
      <w:start w:val="1"/>
      <w:numFmt w:val="bullet"/>
      <w:lvlText w:val="o"/>
      <w:lvlJc w:val="left"/>
      <w:pPr>
        <w:ind w:left="5034" w:hanging="360"/>
      </w:pPr>
      <w:rPr>
        <w:rFonts w:ascii="Courier New" w:hAnsi="Courier New" w:cs="Courier New" w:hint="default"/>
      </w:rPr>
    </w:lvl>
    <w:lvl w:ilvl="5" w:tplc="18090005" w:tentative="1">
      <w:start w:val="1"/>
      <w:numFmt w:val="bullet"/>
      <w:lvlText w:val=""/>
      <w:lvlJc w:val="left"/>
      <w:pPr>
        <w:ind w:left="5754" w:hanging="360"/>
      </w:pPr>
      <w:rPr>
        <w:rFonts w:ascii="Wingdings" w:hAnsi="Wingdings" w:hint="default"/>
      </w:rPr>
    </w:lvl>
    <w:lvl w:ilvl="6" w:tplc="18090001" w:tentative="1">
      <w:start w:val="1"/>
      <w:numFmt w:val="bullet"/>
      <w:lvlText w:val=""/>
      <w:lvlJc w:val="left"/>
      <w:pPr>
        <w:ind w:left="6474" w:hanging="360"/>
      </w:pPr>
      <w:rPr>
        <w:rFonts w:ascii="Symbol" w:hAnsi="Symbol" w:hint="default"/>
      </w:rPr>
    </w:lvl>
    <w:lvl w:ilvl="7" w:tplc="18090003" w:tentative="1">
      <w:start w:val="1"/>
      <w:numFmt w:val="bullet"/>
      <w:lvlText w:val="o"/>
      <w:lvlJc w:val="left"/>
      <w:pPr>
        <w:ind w:left="7194" w:hanging="360"/>
      </w:pPr>
      <w:rPr>
        <w:rFonts w:ascii="Courier New" w:hAnsi="Courier New" w:cs="Courier New" w:hint="default"/>
      </w:rPr>
    </w:lvl>
    <w:lvl w:ilvl="8" w:tplc="18090005" w:tentative="1">
      <w:start w:val="1"/>
      <w:numFmt w:val="bullet"/>
      <w:lvlText w:val=""/>
      <w:lvlJc w:val="left"/>
      <w:pPr>
        <w:ind w:left="7914" w:hanging="360"/>
      </w:pPr>
      <w:rPr>
        <w:rFonts w:ascii="Wingdings" w:hAnsi="Wingdings" w:hint="default"/>
      </w:rPr>
    </w:lvl>
  </w:abstractNum>
  <w:abstractNum w:abstractNumId="14" w15:restartNumberingAfterBreak="0">
    <w:nsid w:val="4B9134BD"/>
    <w:multiLevelType w:val="hybridMultilevel"/>
    <w:tmpl w:val="F39AF30C"/>
    <w:lvl w:ilvl="0" w:tplc="200CF4A2">
      <w:start w:val="8"/>
      <w:numFmt w:val="bullet"/>
      <w:lvlText w:val="-"/>
      <w:lvlJc w:val="left"/>
      <w:pPr>
        <w:ind w:left="1516" w:hanging="360"/>
      </w:pPr>
      <w:rPr>
        <w:rFonts w:ascii="Calibri" w:eastAsiaTheme="minorEastAsia" w:hAnsi="Calibri" w:cs="Calibri" w:hint="default"/>
      </w:rPr>
    </w:lvl>
    <w:lvl w:ilvl="1" w:tplc="18090003" w:tentative="1">
      <w:start w:val="1"/>
      <w:numFmt w:val="bullet"/>
      <w:lvlText w:val="o"/>
      <w:lvlJc w:val="left"/>
      <w:pPr>
        <w:ind w:left="2236" w:hanging="360"/>
      </w:pPr>
      <w:rPr>
        <w:rFonts w:ascii="Courier New" w:hAnsi="Courier New" w:cs="Courier New" w:hint="default"/>
      </w:rPr>
    </w:lvl>
    <w:lvl w:ilvl="2" w:tplc="18090005" w:tentative="1">
      <w:start w:val="1"/>
      <w:numFmt w:val="bullet"/>
      <w:lvlText w:val=""/>
      <w:lvlJc w:val="left"/>
      <w:pPr>
        <w:ind w:left="2956" w:hanging="360"/>
      </w:pPr>
      <w:rPr>
        <w:rFonts w:ascii="Wingdings" w:hAnsi="Wingdings" w:hint="default"/>
      </w:rPr>
    </w:lvl>
    <w:lvl w:ilvl="3" w:tplc="18090001" w:tentative="1">
      <w:start w:val="1"/>
      <w:numFmt w:val="bullet"/>
      <w:lvlText w:val=""/>
      <w:lvlJc w:val="left"/>
      <w:pPr>
        <w:ind w:left="3676" w:hanging="360"/>
      </w:pPr>
      <w:rPr>
        <w:rFonts w:ascii="Symbol" w:hAnsi="Symbol" w:hint="default"/>
      </w:rPr>
    </w:lvl>
    <w:lvl w:ilvl="4" w:tplc="18090003" w:tentative="1">
      <w:start w:val="1"/>
      <w:numFmt w:val="bullet"/>
      <w:lvlText w:val="o"/>
      <w:lvlJc w:val="left"/>
      <w:pPr>
        <w:ind w:left="4396" w:hanging="360"/>
      </w:pPr>
      <w:rPr>
        <w:rFonts w:ascii="Courier New" w:hAnsi="Courier New" w:cs="Courier New" w:hint="default"/>
      </w:rPr>
    </w:lvl>
    <w:lvl w:ilvl="5" w:tplc="18090005" w:tentative="1">
      <w:start w:val="1"/>
      <w:numFmt w:val="bullet"/>
      <w:lvlText w:val=""/>
      <w:lvlJc w:val="left"/>
      <w:pPr>
        <w:ind w:left="5116" w:hanging="360"/>
      </w:pPr>
      <w:rPr>
        <w:rFonts w:ascii="Wingdings" w:hAnsi="Wingdings" w:hint="default"/>
      </w:rPr>
    </w:lvl>
    <w:lvl w:ilvl="6" w:tplc="18090001" w:tentative="1">
      <w:start w:val="1"/>
      <w:numFmt w:val="bullet"/>
      <w:lvlText w:val=""/>
      <w:lvlJc w:val="left"/>
      <w:pPr>
        <w:ind w:left="5836" w:hanging="360"/>
      </w:pPr>
      <w:rPr>
        <w:rFonts w:ascii="Symbol" w:hAnsi="Symbol" w:hint="default"/>
      </w:rPr>
    </w:lvl>
    <w:lvl w:ilvl="7" w:tplc="18090003" w:tentative="1">
      <w:start w:val="1"/>
      <w:numFmt w:val="bullet"/>
      <w:lvlText w:val="o"/>
      <w:lvlJc w:val="left"/>
      <w:pPr>
        <w:ind w:left="6556" w:hanging="360"/>
      </w:pPr>
      <w:rPr>
        <w:rFonts w:ascii="Courier New" w:hAnsi="Courier New" w:cs="Courier New" w:hint="default"/>
      </w:rPr>
    </w:lvl>
    <w:lvl w:ilvl="8" w:tplc="18090005" w:tentative="1">
      <w:start w:val="1"/>
      <w:numFmt w:val="bullet"/>
      <w:lvlText w:val=""/>
      <w:lvlJc w:val="left"/>
      <w:pPr>
        <w:ind w:left="7276" w:hanging="360"/>
      </w:pPr>
      <w:rPr>
        <w:rFonts w:ascii="Wingdings" w:hAnsi="Wingdings" w:hint="default"/>
      </w:rPr>
    </w:lvl>
  </w:abstractNum>
  <w:abstractNum w:abstractNumId="15" w15:restartNumberingAfterBreak="0">
    <w:nsid w:val="4E682DEC"/>
    <w:multiLevelType w:val="hybridMultilevel"/>
    <w:tmpl w:val="71122E72"/>
    <w:lvl w:ilvl="0" w:tplc="7E1EA9D2">
      <w:start w:val="1"/>
      <w:numFmt w:val="decimal"/>
      <w:pStyle w:val="PrecNote1"/>
      <w:lvlText w:val="%1"/>
      <w:lvlJc w:val="left"/>
      <w:pPr>
        <w:ind w:left="720" w:hanging="360"/>
      </w:pPr>
      <w:rPr>
        <w:rFonts w:hint="default"/>
        <w:sz w:val="19"/>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5CBF43B4"/>
    <w:multiLevelType w:val="hybridMultilevel"/>
    <w:tmpl w:val="002C09B4"/>
    <w:lvl w:ilvl="0" w:tplc="50B24CF0">
      <w:start w:val="1"/>
      <w:numFmt w:val="bullet"/>
      <w:lvlText w:val=""/>
      <w:lvlJc w:val="left"/>
      <w:pPr>
        <w:ind w:left="720" w:hanging="360"/>
      </w:pPr>
      <w:rPr>
        <w:rFonts w:ascii="Symbol" w:hAnsi="Symbol" w:hint="default"/>
        <w:color w:val="D9D9D9" w:themeColor="background1" w:themeShade="D9"/>
        <w:sz w:val="40"/>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617F1F6B"/>
    <w:multiLevelType w:val="hybridMultilevel"/>
    <w:tmpl w:val="0A444782"/>
    <w:lvl w:ilvl="0" w:tplc="200CF4A2">
      <w:start w:val="8"/>
      <w:numFmt w:val="bullet"/>
      <w:lvlText w:val="-"/>
      <w:lvlJc w:val="left"/>
      <w:pPr>
        <w:ind w:left="720" w:hanging="360"/>
      </w:pPr>
      <w:rPr>
        <w:rFonts w:ascii="Calibri" w:eastAsiaTheme="minorEastAsia"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64514964"/>
    <w:multiLevelType w:val="multilevel"/>
    <w:tmpl w:val="98B4C868"/>
    <w:name w:val="Recitals"/>
    <w:lvl w:ilvl="0">
      <w:start w:val="1"/>
      <w:numFmt w:val="upperLetter"/>
      <w:pStyle w:val="RecitalsA"/>
      <w:lvlText w:val="(%1)"/>
      <w:lvlJc w:val="left"/>
      <w:pPr>
        <w:ind w:left="624" w:hanging="624"/>
      </w:pPr>
      <w:rPr>
        <w:rFonts w:ascii="Arial" w:hAnsi="Arial" w:hint="default"/>
        <w:b w:val="0"/>
        <w:i w:val="0"/>
        <w:caps w:val="0"/>
        <w:strike w:val="0"/>
        <w:dstrike w:val="0"/>
        <w:vanish w:val="0"/>
        <w:sz w:val="19"/>
        <w:vertAlign w:val="baseline"/>
      </w:rPr>
    </w:lvl>
    <w:lvl w:ilvl="1">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lvl w:ilvl="2">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lvl w:ilvl="3">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lvl w:ilvl="4">
      <w:start w:val="1"/>
      <w:numFmt w:val="none"/>
      <w:lvlRestart w:val="0"/>
      <w:suff w:val="nothing"/>
      <w:lvlText w:val=""/>
      <w:lvlJc w:val="left"/>
      <w:pPr>
        <w:ind w:left="0" w:firstLine="0"/>
      </w:pPr>
      <w:rPr>
        <w:rFonts w:ascii="Arial" w:hAnsi="Arial" w:hint="default"/>
        <w:b w:val="0"/>
        <w:i w:val="0"/>
        <w:sz w:val="19"/>
      </w:rPr>
    </w:lvl>
    <w:lvl w:ilvl="5">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lvl w:ilvl="6">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lvl w:ilvl="7">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lvl w:ilvl="8">
      <w:start w:val="1"/>
      <w:numFmt w:val="none"/>
      <w:lvlRestart w:val="0"/>
      <w:suff w:val="nothing"/>
      <w:lvlText w:val=""/>
      <w:lvlJc w:val="left"/>
      <w:pPr>
        <w:ind w:left="0" w:firstLine="0"/>
      </w:pPr>
      <w:rPr>
        <w:rFonts w:ascii="Arial" w:hAnsi="Arial" w:hint="default"/>
        <w:b w:val="0"/>
        <w:i w:val="0"/>
        <w:caps w:val="0"/>
        <w:strike w:val="0"/>
        <w:dstrike w:val="0"/>
        <w:vanish w:val="0"/>
        <w:sz w:val="19"/>
        <w:vertAlign w:val="baseline"/>
      </w:rPr>
    </w:lvl>
  </w:abstractNum>
  <w:abstractNum w:abstractNumId="19" w15:restartNumberingAfterBreak="0">
    <w:nsid w:val="7C2F6BA4"/>
    <w:multiLevelType w:val="hybridMultilevel"/>
    <w:tmpl w:val="05CC9D3A"/>
    <w:lvl w:ilvl="0" w:tplc="50B24CF0">
      <w:start w:val="1"/>
      <w:numFmt w:val="bullet"/>
      <w:lvlText w:val=""/>
      <w:lvlJc w:val="left"/>
      <w:pPr>
        <w:ind w:left="720" w:hanging="360"/>
      </w:pPr>
      <w:rPr>
        <w:rFonts w:ascii="Symbol" w:hAnsi="Symbol" w:hint="default"/>
        <w:color w:val="D9D9D9" w:themeColor="background1" w:themeShade="D9"/>
        <w:sz w:val="40"/>
      </w:rPr>
    </w:lvl>
    <w:lvl w:ilvl="1" w:tplc="18090003" w:tentative="1">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7FDC72D3"/>
    <w:multiLevelType w:val="hybridMultilevel"/>
    <w:tmpl w:val="B7C80BF6"/>
    <w:lvl w:ilvl="0" w:tplc="18090001">
      <w:start w:val="1"/>
      <w:numFmt w:val="bullet"/>
      <w:lvlText w:val=""/>
      <w:lvlJc w:val="left"/>
      <w:pPr>
        <w:ind w:left="1344" w:hanging="360"/>
      </w:pPr>
      <w:rPr>
        <w:rFonts w:ascii="Symbol" w:hAnsi="Symbol" w:hint="default"/>
      </w:rPr>
    </w:lvl>
    <w:lvl w:ilvl="1" w:tplc="18090003" w:tentative="1">
      <w:start w:val="1"/>
      <w:numFmt w:val="bullet"/>
      <w:lvlText w:val="o"/>
      <w:lvlJc w:val="left"/>
      <w:pPr>
        <w:ind w:left="2064" w:hanging="360"/>
      </w:pPr>
      <w:rPr>
        <w:rFonts w:ascii="Courier New" w:hAnsi="Courier New" w:cs="Courier New" w:hint="default"/>
      </w:rPr>
    </w:lvl>
    <w:lvl w:ilvl="2" w:tplc="18090005" w:tentative="1">
      <w:start w:val="1"/>
      <w:numFmt w:val="bullet"/>
      <w:lvlText w:val=""/>
      <w:lvlJc w:val="left"/>
      <w:pPr>
        <w:ind w:left="2784" w:hanging="360"/>
      </w:pPr>
      <w:rPr>
        <w:rFonts w:ascii="Wingdings" w:hAnsi="Wingdings" w:hint="default"/>
      </w:rPr>
    </w:lvl>
    <w:lvl w:ilvl="3" w:tplc="18090001" w:tentative="1">
      <w:start w:val="1"/>
      <w:numFmt w:val="bullet"/>
      <w:lvlText w:val=""/>
      <w:lvlJc w:val="left"/>
      <w:pPr>
        <w:ind w:left="3504" w:hanging="360"/>
      </w:pPr>
      <w:rPr>
        <w:rFonts w:ascii="Symbol" w:hAnsi="Symbol" w:hint="default"/>
      </w:rPr>
    </w:lvl>
    <w:lvl w:ilvl="4" w:tplc="18090003" w:tentative="1">
      <w:start w:val="1"/>
      <w:numFmt w:val="bullet"/>
      <w:lvlText w:val="o"/>
      <w:lvlJc w:val="left"/>
      <w:pPr>
        <w:ind w:left="4224" w:hanging="360"/>
      </w:pPr>
      <w:rPr>
        <w:rFonts w:ascii="Courier New" w:hAnsi="Courier New" w:cs="Courier New" w:hint="default"/>
      </w:rPr>
    </w:lvl>
    <w:lvl w:ilvl="5" w:tplc="18090005" w:tentative="1">
      <w:start w:val="1"/>
      <w:numFmt w:val="bullet"/>
      <w:lvlText w:val=""/>
      <w:lvlJc w:val="left"/>
      <w:pPr>
        <w:ind w:left="4944" w:hanging="360"/>
      </w:pPr>
      <w:rPr>
        <w:rFonts w:ascii="Wingdings" w:hAnsi="Wingdings" w:hint="default"/>
      </w:rPr>
    </w:lvl>
    <w:lvl w:ilvl="6" w:tplc="18090001" w:tentative="1">
      <w:start w:val="1"/>
      <w:numFmt w:val="bullet"/>
      <w:lvlText w:val=""/>
      <w:lvlJc w:val="left"/>
      <w:pPr>
        <w:ind w:left="5664" w:hanging="360"/>
      </w:pPr>
      <w:rPr>
        <w:rFonts w:ascii="Symbol" w:hAnsi="Symbol" w:hint="default"/>
      </w:rPr>
    </w:lvl>
    <w:lvl w:ilvl="7" w:tplc="18090003" w:tentative="1">
      <w:start w:val="1"/>
      <w:numFmt w:val="bullet"/>
      <w:lvlText w:val="o"/>
      <w:lvlJc w:val="left"/>
      <w:pPr>
        <w:ind w:left="6384" w:hanging="360"/>
      </w:pPr>
      <w:rPr>
        <w:rFonts w:ascii="Courier New" w:hAnsi="Courier New" w:cs="Courier New" w:hint="default"/>
      </w:rPr>
    </w:lvl>
    <w:lvl w:ilvl="8" w:tplc="18090005" w:tentative="1">
      <w:start w:val="1"/>
      <w:numFmt w:val="bullet"/>
      <w:lvlText w:val=""/>
      <w:lvlJc w:val="left"/>
      <w:pPr>
        <w:ind w:left="7104" w:hanging="360"/>
      </w:pPr>
      <w:rPr>
        <w:rFonts w:ascii="Wingdings" w:hAnsi="Wingdings" w:hint="default"/>
      </w:rPr>
    </w:lvl>
  </w:abstractNum>
  <w:num w:numId="1" w16cid:durableId="652876271">
    <w:abstractNumId w:val="11"/>
  </w:num>
  <w:num w:numId="2" w16cid:durableId="988285600">
    <w:abstractNumId w:val="18"/>
  </w:num>
  <w:num w:numId="3" w16cid:durableId="1678314185">
    <w:abstractNumId w:val="6"/>
  </w:num>
  <w:num w:numId="4" w16cid:durableId="1258295785">
    <w:abstractNumId w:val="10"/>
  </w:num>
  <w:num w:numId="5" w16cid:durableId="661277903">
    <w:abstractNumId w:val="9"/>
  </w:num>
  <w:num w:numId="6" w16cid:durableId="118652423">
    <w:abstractNumId w:val="4"/>
  </w:num>
  <w:num w:numId="7" w16cid:durableId="939021275">
    <w:abstractNumId w:val="7"/>
  </w:num>
  <w:num w:numId="8" w16cid:durableId="2060590992">
    <w:abstractNumId w:val="15"/>
  </w:num>
  <w:num w:numId="9" w16cid:durableId="1097363506">
    <w:abstractNumId w:val="6"/>
    <w:lvlOverride w:ilvl="0">
      <w:lvl w:ilvl="0">
        <w:start w:val="1"/>
        <w:numFmt w:val="decimal"/>
        <w:pStyle w:val="ALGNo1"/>
        <w:lvlText w:val="%1"/>
        <w:lvlJc w:val="left"/>
        <w:rPr>
          <w:rFonts w:ascii="Arial" w:hAnsi="Arial" w:hint="default"/>
          <w:b w:val="0"/>
          <w:i w:val="0"/>
          <w:caps w:val="0"/>
          <w:strike w:val="0"/>
          <w:dstrike w:val="0"/>
          <w:vanish w:val="0"/>
          <w:color w:val="0000FF"/>
          <w:sz w:val="19"/>
          <w:u w:val="double"/>
          <w:vertAlign w:val="baseline"/>
        </w:rPr>
      </w:lvl>
    </w:lvlOverride>
    <w:lvlOverride w:ilvl="1">
      <w:lvl w:ilvl="1">
        <w:start w:val="1"/>
        <w:numFmt w:val="decimal"/>
        <w:pStyle w:val="ALGNo2"/>
        <w:lvlText w:val="%1.%2"/>
        <w:lvlJc w:val="left"/>
        <w:rPr>
          <w:rFonts w:ascii="Arial" w:hAnsi="Arial" w:hint="default"/>
          <w:b w:val="0"/>
          <w:i w:val="0"/>
          <w:caps w:val="0"/>
          <w:strike w:val="0"/>
          <w:dstrike w:val="0"/>
          <w:vanish w:val="0"/>
          <w:color w:val="auto"/>
          <w:sz w:val="19"/>
          <w:u w:val="none"/>
          <w:vertAlign w:val="baseline"/>
        </w:rPr>
      </w:lvl>
    </w:lvlOverride>
    <w:lvlOverride w:ilvl="2">
      <w:lvl w:ilvl="2">
        <w:start w:val="1"/>
        <w:numFmt w:val="decimal"/>
        <w:pStyle w:val="ALGNo3"/>
        <w:lvlText w:val="%1.%2.%3"/>
        <w:lvlJc w:val="left"/>
        <w:rPr>
          <w:rFonts w:ascii="Arial" w:hAnsi="Arial" w:hint="default"/>
          <w:b w:val="0"/>
          <w:i w:val="0"/>
          <w:caps w:val="0"/>
          <w:strike w:val="0"/>
          <w:dstrike w:val="0"/>
          <w:vanish w:val="0"/>
          <w:color w:val="auto"/>
          <w:sz w:val="19"/>
          <w:u w:val="none"/>
          <w:vertAlign w:val="baseline"/>
        </w:rPr>
      </w:lvl>
    </w:lvlOverride>
    <w:lvlOverride w:ilvl="3">
      <w:lvl w:ilvl="3">
        <w:start w:val="1"/>
        <w:numFmt w:val="lowerLetter"/>
        <w:pStyle w:val="ALGNo4"/>
        <w:lvlText w:val="(%4)"/>
        <w:lvlJc w:val="left"/>
        <w:rPr>
          <w:rFonts w:ascii="Arial" w:hAnsi="Arial" w:hint="default"/>
          <w:b w:val="0"/>
          <w:i w:val="0"/>
          <w:caps w:val="0"/>
          <w:strike w:val="0"/>
          <w:dstrike w:val="0"/>
          <w:vanish w:val="0"/>
          <w:color w:val="0000FF"/>
          <w:sz w:val="19"/>
          <w:u w:val="double"/>
          <w:vertAlign w:val="baseline"/>
        </w:rPr>
      </w:lvl>
    </w:lvlOverride>
    <w:lvlOverride w:ilvl="4">
      <w:lvl w:ilvl="4">
        <w:start w:val="1"/>
        <w:numFmt w:val="lowerRoman"/>
        <w:pStyle w:val="ALGNo5"/>
        <w:lvlText w:val="(%5)"/>
        <w:lvlJc w:val="left"/>
        <w:rPr>
          <w:rFonts w:ascii="Arial" w:hAnsi="Arial" w:hint="default"/>
          <w:b w:val="0"/>
          <w:i w:val="0"/>
          <w:caps w:val="0"/>
          <w:strike w:val="0"/>
          <w:dstrike w:val="0"/>
          <w:vanish w:val="0"/>
          <w:color w:val="0000FF"/>
          <w:sz w:val="19"/>
          <w:u w:val="double"/>
          <w:vertAlign w:val="baseline"/>
        </w:rPr>
      </w:lvl>
    </w:lvlOverride>
    <w:lvlOverride w:ilvl="5">
      <w:lvl w:ilvl="5">
        <w:start w:val="1"/>
        <w:numFmt w:val="upperLetter"/>
        <w:pStyle w:val="ALGNo6"/>
        <w:lvlText w:val="(%6)"/>
        <w:lvlJc w:val="left"/>
        <w:rPr>
          <w:rFonts w:ascii="Arial" w:hAnsi="Arial" w:hint="default"/>
          <w:b w:val="0"/>
          <w:i w:val="0"/>
          <w:caps w:val="0"/>
          <w:strike w:val="0"/>
          <w:dstrike w:val="0"/>
          <w:vanish w:val="0"/>
          <w:color w:val="0000FF"/>
          <w:sz w:val="19"/>
          <w:u w:val="double"/>
          <w:vertAlign w:val="baseline"/>
        </w:rPr>
      </w:lvl>
    </w:lvlOverride>
    <w:lvlOverride w:ilvl="6">
      <w:lvl w:ilvl="6">
        <w:start w:val="1"/>
        <w:numFmt w:val="decimal"/>
        <w:pStyle w:val="ALGNo7"/>
        <w:lvlText w:val="(%7)"/>
        <w:lvlJc w:val="left"/>
        <w:rPr>
          <w:rFonts w:ascii="Arial" w:hAnsi="Arial" w:hint="default"/>
          <w:b w:val="0"/>
          <w:i w:val="0"/>
          <w:caps w:val="0"/>
          <w:strike w:val="0"/>
          <w:dstrike w:val="0"/>
          <w:vanish w:val="0"/>
          <w:color w:val="0000FF"/>
          <w:sz w:val="19"/>
          <w:u w:val="double"/>
          <w:vertAlign w:val="baseline"/>
        </w:rPr>
      </w:lvl>
    </w:lvlOverride>
    <w:lvlOverride w:ilvl="7">
      <w:lvl w:ilvl="7">
        <w:start w:val="1"/>
        <w:numFmt w:val="none"/>
        <w:lvlRestart w:val="0"/>
        <w:suff w:val="nothing"/>
        <w:lvlText w:val=""/>
        <w:lvlJc w:val="left"/>
        <w:rPr>
          <w:rFonts w:ascii="Arial" w:hAnsi="Arial" w:hint="default"/>
          <w:b w:val="0"/>
          <w:i w:val="0"/>
          <w:caps w:val="0"/>
          <w:strike w:val="0"/>
          <w:dstrike w:val="0"/>
          <w:vanish w:val="0"/>
          <w:color w:val="0000FF"/>
          <w:sz w:val="19"/>
          <w:u w:val="double"/>
          <w:vertAlign w:val="baseline"/>
        </w:rPr>
      </w:lvl>
    </w:lvlOverride>
    <w:lvlOverride w:ilvl="8">
      <w:lvl w:ilvl="8">
        <w:start w:val="1"/>
        <w:numFmt w:val="none"/>
        <w:lvlRestart w:val="0"/>
        <w:suff w:val="nothing"/>
        <w:lvlText w:val=""/>
        <w:lvlJc w:val="left"/>
        <w:rPr>
          <w:rFonts w:ascii="Arial" w:hAnsi="Arial" w:hint="default"/>
          <w:b w:val="0"/>
          <w:i w:val="0"/>
          <w:caps w:val="0"/>
          <w:strike w:val="0"/>
          <w:dstrike w:val="0"/>
          <w:vanish w:val="0"/>
          <w:color w:val="0000FF"/>
          <w:sz w:val="19"/>
          <w:u w:val="double"/>
          <w:vertAlign w:val="baseline"/>
        </w:rPr>
      </w:lvl>
    </w:lvlOverride>
  </w:num>
  <w:num w:numId="10" w16cid:durableId="7174345">
    <w:abstractNumId w:val="8"/>
  </w:num>
  <w:num w:numId="11" w16cid:durableId="1639725182">
    <w:abstractNumId w:val="0"/>
  </w:num>
  <w:num w:numId="12" w16cid:durableId="1359695744">
    <w:abstractNumId w:val="1"/>
  </w:num>
  <w:num w:numId="13" w16cid:durableId="238443479">
    <w:abstractNumId w:val="3"/>
  </w:num>
  <w:num w:numId="14" w16cid:durableId="815954909">
    <w:abstractNumId w:val="19"/>
  </w:num>
  <w:num w:numId="15" w16cid:durableId="827398730">
    <w:abstractNumId w:val="6"/>
    <w:lvlOverride w:ilvl="0">
      <w:startOverride w:val="1"/>
      <w:lvl w:ilvl="0">
        <w:start w:val="1"/>
        <w:numFmt w:val="decimal"/>
        <w:pStyle w:val="ALGNo1"/>
        <w:lvlText w:val="%1"/>
        <w:lvlJc w:val="left"/>
        <w:rPr>
          <w:rFonts w:ascii="Arial" w:hAnsi="Arial" w:hint="default"/>
          <w:b w:val="0"/>
          <w:i w:val="0"/>
          <w:caps w:val="0"/>
          <w:strike w:val="0"/>
          <w:dstrike w:val="0"/>
          <w:vanish w:val="0"/>
          <w:color w:val="0000FF"/>
          <w:sz w:val="19"/>
          <w:u w:val="double"/>
          <w:vertAlign w:val="baseline"/>
        </w:rPr>
      </w:lvl>
    </w:lvlOverride>
    <w:lvlOverride w:ilvl="1">
      <w:startOverride w:val="1"/>
      <w:lvl w:ilvl="1">
        <w:start w:val="1"/>
        <w:numFmt w:val="decimal"/>
        <w:pStyle w:val="ALGNo2"/>
        <w:lvlText w:val="%1.%2"/>
        <w:lvlJc w:val="left"/>
        <w:rPr>
          <w:rFonts w:ascii="Arial" w:hAnsi="Arial" w:hint="default"/>
          <w:b w:val="0"/>
          <w:i w:val="0"/>
          <w:caps w:val="0"/>
          <w:strike w:val="0"/>
          <w:dstrike w:val="0"/>
          <w:vanish w:val="0"/>
          <w:color w:val="auto"/>
          <w:sz w:val="19"/>
          <w:u w:val="none"/>
          <w:vertAlign w:val="baseline"/>
        </w:rPr>
      </w:lvl>
    </w:lvlOverride>
    <w:lvlOverride w:ilvl="2">
      <w:startOverride w:val="1"/>
      <w:lvl w:ilvl="2">
        <w:start w:val="1"/>
        <w:numFmt w:val="decimal"/>
        <w:pStyle w:val="ALGNo3"/>
        <w:lvlText w:val="%1.%2.%3"/>
        <w:lvlJc w:val="left"/>
        <w:rPr>
          <w:rFonts w:ascii="Arial" w:hAnsi="Arial" w:hint="default"/>
          <w:b w:val="0"/>
          <w:i w:val="0"/>
          <w:caps w:val="0"/>
          <w:strike w:val="0"/>
          <w:dstrike w:val="0"/>
          <w:vanish w:val="0"/>
          <w:color w:val="auto"/>
          <w:sz w:val="19"/>
          <w:u w:val="none"/>
          <w:vertAlign w:val="baseline"/>
        </w:rPr>
      </w:lvl>
    </w:lvlOverride>
    <w:lvlOverride w:ilvl="3">
      <w:startOverride w:val="1"/>
      <w:lvl w:ilvl="3">
        <w:start w:val="1"/>
        <w:numFmt w:val="lowerLetter"/>
        <w:pStyle w:val="ALGNo4"/>
        <w:lvlText w:val="(%4)"/>
        <w:lvlJc w:val="left"/>
        <w:rPr>
          <w:rFonts w:ascii="Arial" w:hAnsi="Arial" w:hint="default"/>
          <w:b w:val="0"/>
          <w:i w:val="0"/>
          <w:caps w:val="0"/>
          <w:strike w:val="0"/>
          <w:dstrike w:val="0"/>
          <w:vanish w:val="0"/>
          <w:color w:val="0000FF"/>
          <w:sz w:val="19"/>
          <w:u w:val="double"/>
          <w:vertAlign w:val="baseline"/>
        </w:rPr>
      </w:lvl>
    </w:lvlOverride>
    <w:lvlOverride w:ilvl="4">
      <w:startOverride w:val="1"/>
      <w:lvl w:ilvl="4">
        <w:start w:val="1"/>
        <w:numFmt w:val="lowerRoman"/>
        <w:pStyle w:val="ALGNo5"/>
        <w:lvlText w:val="(%5)"/>
        <w:lvlJc w:val="left"/>
        <w:rPr>
          <w:rFonts w:ascii="Arial" w:hAnsi="Arial" w:hint="default"/>
          <w:b w:val="0"/>
          <w:i w:val="0"/>
          <w:caps w:val="0"/>
          <w:strike w:val="0"/>
          <w:dstrike w:val="0"/>
          <w:vanish w:val="0"/>
          <w:color w:val="0000FF"/>
          <w:sz w:val="19"/>
          <w:u w:val="double"/>
          <w:vertAlign w:val="baseline"/>
        </w:rPr>
      </w:lvl>
    </w:lvlOverride>
    <w:lvlOverride w:ilvl="5">
      <w:startOverride w:val="1"/>
      <w:lvl w:ilvl="5">
        <w:start w:val="1"/>
        <w:numFmt w:val="upperLetter"/>
        <w:pStyle w:val="ALGNo6"/>
        <w:lvlText w:val="(%6)"/>
        <w:lvlJc w:val="left"/>
        <w:rPr>
          <w:rFonts w:ascii="Arial" w:hAnsi="Arial" w:hint="default"/>
          <w:b w:val="0"/>
          <w:i w:val="0"/>
          <w:caps w:val="0"/>
          <w:strike w:val="0"/>
          <w:dstrike w:val="0"/>
          <w:vanish w:val="0"/>
          <w:color w:val="0000FF"/>
          <w:sz w:val="19"/>
          <w:u w:val="double"/>
          <w:vertAlign w:val="baseline"/>
        </w:rPr>
      </w:lvl>
    </w:lvlOverride>
    <w:lvlOverride w:ilvl="6">
      <w:startOverride w:val="1"/>
      <w:lvl w:ilvl="6">
        <w:start w:val="1"/>
        <w:numFmt w:val="decimal"/>
        <w:pStyle w:val="ALGNo7"/>
        <w:lvlText w:val="(%7)"/>
        <w:lvlJc w:val="left"/>
        <w:rPr>
          <w:rFonts w:ascii="Arial" w:hAnsi="Arial" w:hint="default"/>
          <w:b w:val="0"/>
          <w:i w:val="0"/>
          <w:caps w:val="0"/>
          <w:strike w:val="0"/>
          <w:dstrike w:val="0"/>
          <w:vanish w:val="0"/>
          <w:color w:val="0000FF"/>
          <w:sz w:val="19"/>
          <w:u w:val="double"/>
          <w:vertAlign w:val="baseline"/>
        </w:rPr>
      </w:lvl>
    </w:lvlOverride>
    <w:lvlOverride w:ilvl="7">
      <w:startOverride w:val="1"/>
      <w:lvl w:ilvl="7">
        <w:start w:val="1"/>
        <w:numFmt w:val="none"/>
        <w:lvlRestart w:val="0"/>
        <w:suff w:val="nothing"/>
        <w:lvlText w:val=""/>
        <w:lvlJc w:val="left"/>
        <w:rPr>
          <w:rFonts w:ascii="Arial" w:hAnsi="Arial" w:hint="default"/>
          <w:b w:val="0"/>
          <w:i w:val="0"/>
          <w:caps w:val="0"/>
          <w:strike w:val="0"/>
          <w:dstrike w:val="0"/>
          <w:vanish w:val="0"/>
          <w:color w:val="0000FF"/>
          <w:sz w:val="19"/>
          <w:u w:val="double"/>
          <w:vertAlign w:val="baseline"/>
        </w:rPr>
      </w:lvl>
    </w:lvlOverride>
    <w:lvlOverride w:ilvl="8">
      <w:startOverride w:val="1"/>
      <w:lvl w:ilvl="8">
        <w:start w:val="1"/>
        <w:numFmt w:val="none"/>
        <w:lvlRestart w:val="0"/>
        <w:suff w:val="nothing"/>
        <w:lvlText w:val=""/>
        <w:lvlJc w:val="left"/>
        <w:rPr>
          <w:rFonts w:ascii="Arial" w:hAnsi="Arial" w:hint="default"/>
          <w:b w:val="0"/>
          <w:i w:val="0"/>
          <w:caps w:val="0"/>
          <w:strike w:val="0"/>
          <w:dstrike w:val="0"/>
          <w:vanish w:val="0"/>
          <w:color w:val="0000FF"/>
          <w:sz w:val="19"/>
          <w:u w:val="double"/>
          <w:vertAlign w:val="baseline"/>
        </w:rPr>
      </w:lvl>
    </w:lvlOverride>
  </w:num>
  <w:num w:numId="16" w16cid:durableId="224028488">
    <w:abstractNumId w:val="16"/>
  </w:num>
  <w:num w:numId="17" w16cid:durableId="1427387750">
    <w:abstractNumId w:val="13"/>
  </w:num>
  <w:num w:numId="18" w16cid:durableId="325784629">
    <w:abstractNumId w:val="17"/>
  </w:num>
  <w:num w:numId="19" w16cid:durableId="1319726642">
    <w:abstractNumId w:val="14"/>
  </w:num>
  <w:num w:numId="20" w16cid:durableId="20849827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488255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098103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378169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568244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48516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593135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032925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67076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888764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755520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542951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31495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697010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569458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289445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832200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403532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430937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3683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975419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101626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5006288">
    <w:abstractNumId w:val="5"/>
  </w:num>
  <w:num w:numId="43" w16cid:durableId="1482693423">
    <w:abstractNumId w:val="20"/>
  </w:num>
  <w:num w:numId="44" w16cid:durableId="156500371">
    <w:abstractNumId w:val="2"/>
  </w:num>
  <w:num w:numId="45" w16cid:durableId="63921377">
    <w:abstractNumId w:val="6"/>
  </w:num>
  <w:num w:numId="46" w16cid:durableId="223220955">
    <w:abstractNumId w:val="12"/>
  </w:num>
  <w:num w:numId="47" w16cid:durableId="1158569298">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stylePaneFormatFilter w:val="5006" w:allStyles="0" w:customStyles="1"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F22"/>
    <w:rsid w:val="00001E04"/>
    <w:rsid w:val="00002888"/>
    <w:rsid w:val="00003FE8"/>
    <w:rsid w:val="00005C83"/>
    <w:rsid w:val="0000644E"/>
    <w:rsid w:val="000077CA"/>
    <w:rsid w:val="00011389"/>
    <w:rsid w:val="00013B40"/>
    <w:rsid w:val="0001441F"/>
    <w:rsid w:val="0001448C"/>
    <w:rsid w:val="00014F02"/>
    <w:rsid w:val="00015172"/>
    <w:rsid w:val="00017BE8"/>
    <w:rsid w:val="00021A13"/>
    <w:rsid w:val="00022845"/>
    <w:rsid w:val="00023F2D"/>
    <w:rsid w:val="00025941"/>
    <w:rsid w:val="000269E3"/>
    <w:rsid w:val="00031203"/>
    <w:rsid w:val="00031532"/>
    <w:rsid w:val="0003195B"/>
    <w:rsid w:val="00034276"/>
    <w:rsid w:val="000421E3"/>
    <w:rsid w:val="0004682D"/>
    <w:rsid w:val="00047275"/>
    <w:rsid w:val="00050A84"/>
    <w:rsid w:val="00053828"/>
    <w:rsid w:val="000546F1"/>
    <w:rsid w:val="00054954"/>
    <w:rsid w:val="00056796"/>
    <w:rsid w:val="00062ED7"/>
    <w:rsid w:val="00064E71"/>
    <w:rsid w:val="000658EB"/>
    <w:rsid w:val="00067EBC"/>
    <w:rsid w:val="00070589"/>
    <w:rsid w:val="00073870"/>
    <w:rsid w:val="00074CBF"/>
    <w:rsid w:val="00075887"/>
    <w:rsid w:val="00075CF4"/>
    <w:rsid w:val="000842C2"/>
    <w:rsid w:val="00087BE7"/>
    <w:rsid w:val="00090037"/>
    <w:rsid w:val="00091682"/>
    <w:rsid w:val="0009437A"/>
    <w:rsid w:val="00096CBD"/>
    <w:rsid w:val="000A196F"/>
    <w:rsid w:val="000A1AC5"/>
    <w:rsid w:val="000A1E4E"/>
    <w:rsid w:val="000A3044"/>
    <w:rsid w:val="000A5430"/>
    <w:rsid w:val="000A567C"/>
    <w:rsid w:val="000A6789"/>
    <w:rsid w:val="000A722F"/>
    <w:rsid w:val="000A7731"/>
    <w:rsid w:val="000A7C11"/>
    <w:rsid w:val="000B5877"/>
    <w:rsid w:val="000C6F82"/>
    <w:rsid w:val="000D11ED"/>
    <w:rsid w:val="000D1C53"/>
    <w:rsid w:val="000D2F0F"/>
    <w:rsid w:val="000D3DA1"/>
    <w:rsid w:val="000D3FF5"/>
    <w:rsid w:val="000D433A"/>
    <w:rsid w:val="000D4BE7"/>
    <w:rsid w:val="000D659E"/>
    <w:rsid w:val="000E34CB"/>
    <w:rsid w:val="000E5390"/>
    <w:rsid w:val="000E689B"/>
    <w:rsid w:val="000E6A98"/>
    <w:rsid w:val="000F0619"/>
    <w:rsid w:val="000F2675"/>
    <w:rsid w:val="000F2E0B"/>
    <w:rsid w:val="000F3094"/>
    <w:rsid w:val="000F3B03"/>
    <w:rsid w:val="000F3C33"/>
    <w:rsid w:val="000F40DF"/>
    <w:rsid w:val="000F4DA9"/>
    <w:rsid w:val="000F5B52"/>
    <w:rsid w:val="000F6D8C"/>
    <w:rsid w:val="0010167E"/>
    <w:rsid w:val="00103837"/>
    <w:rsid w:val="00104385"/>
    <w:rsid w:val="001050B3"/>
    <w:rsid w:val="00106EFF"/>
    <w:rsid w:val="0011360B"/>
    <w:rsid w:val="00113C24"/>
    <w:rsid w:val="00114582"/>
    <w:rsid w:val="001149B5"/>
    <w:rsid w:val="00115B4A"/>
    <w:rsid w:val="001179C7"/>
    <w:rsid w:val="00117FB9"/>
    <w:rsid w:val="00121DB1"/>
    <w:rsid w:val="00121E6C"/>
    <w:rsid w:val="0012350D"/>
    <w:rsid w:val="00123891"/>
    <w:rsid w:val="0013005A"/>
    <w:rsid w:val="0013017B"/>
    <w:rsid w:val="00136D30"/>
    <w:rsid w:val="001374A2"/>
    <w:rsid w:val="0013763E"/>
    <w:rsid w:val="00140DB8"/>
    <w:rsid w:val="00140F77"/>
    <w:rsid w:val="00141367"/>
    <w:rsid w:val="00143EF7"/>
    <w:rsid w:val="0014712E"/>
    <w:rsid w:val="001478E7"/>
    <w:rsid w:val="00147A60"/>
    <w:rsid w:val="00151DCF"/>
    <w:rsid w:val="001564B8"/>
    <w:rsid w:val="00156695"/>
    <w:rsid w:val="00156F22"/>
    <w:rsid w:val="001628C4"/>
    <w:rsid w:val="001658AE"/>
    <w:rsid w:val="00166404"/>
    <w:rsid w:val="00173590"/>
    <w:rsid w:val="00176274"/>
    <w:rsid w:val="00176634"/>
    <w:rsid w:val="00177B9E"/>
    <w:rsid w:val="00177E13"/>
    <w:rsid w:val="00180506"/>
    <w:rsid w:val="001806C2"/>
    <w:rsid w:val="0018073B"/>
    <w:rsid w:val="0018166C"/>
    <w:rsid w:val="0018261A"/>
    <w:rsid w:val="00183AF9"/>
    <w:rsid w:val="00183BC7"/>
    <w:rsid w:val="001869D5"/>
    <w:rsid w:val="00190002"/>
    <w:rsid w:val="001919A3"/>
    <w:rsid w:val="00193E95"/>
    <w:rsid w:val="001943B3"/>
    <w:rsid w:val="00194BCC"/>
    <w:rsid w:val="00197759"/>
    <w:rsid w:val="001A0186"/>
    <w:rsid w:val="001A1011"/>
    <w:rsid w:val="001A1127"/>
    <w:rsid w:val="001A1C22"/>
    <w:rsid w:val="001A5283"/>
    <w:rsid w:val="001B0629"/>
    <w:rsid w:val="001B33B7"/>
    <w:rsid w:val="001B3A48"/>
    <w:rsid w:val="001B468B"/>
    <w:rsid w:val="001B68ED"/>
    <w:rsid w:val="001C00D1"/>
    <w:rsid w:val="001C14B5"/>
    <w:rsid w:val="001C170A"/>
    <w:rsid w:val="001C1DF2"/>
    <w:rsid w:val="001D07D9"/>
    <w:rsid w:val="001D0BE8"/>
    <w:rsid w:val="001D2CE6"/>
    <w:rsid w:val="001D64BD"/>
    <w:rsid w:val="001D6B1E"/>
    <w:rsid w:val="001D7127"/>
    <w:rsid w:val="001D7BDE"/>
    <w:rsid w:val="001E01A3"/>
    <w:rsid w:val="001E095C"/>
    <w:rsid w:val="001F0067"/>
    <w:rsid w:val="001F5F19"/>
    <w:rsid w:val="00203BF4"/>
    <w:rsid w:val="0020528A"/>
    <w:rsid w:val="002053F5"/>
    <w:rsid w:val="0020797F"/>
    <w:rsid w:val="00210535"/>
    <w:rsid w:val="002105D7"/>
    <w:rsid w:val="0021591F"/>
    <w:rsid w:val="00216680"/>
    <w:rsid w:val="00217C7B"/>
    <w:rsid w:val="002206BE"/>
    <w:rsid w:val="00224C6D"/>
    <w:rsid w:val="00225938"/>
    <w:rsid w:val="00226210"/>
    <w:rsid w:val="002267B0"/>
    <w:rsid w:val="00226E31"/>
    <w:rsid w:val="002318ED"/>
    <w:rsid w:val="00232669"/>
    <w:rsid w:val="00232BD1"/>
    <w:rsid w:val="00232E5E"/>
    <w:rsid w:val="002410F5"/>
    <w:rsid w:val="00241C73"/>
    <w:rsid w:val="00242F47"/>
    <w:rsid w:val="0024453C"/>
    <w:rsid w:val="00246A4A"/>
    <w:rsid w:val="00246E39"/>
    <w:rsid w:val="00251104"/>
    <w:rsid w:val="0025177E"/>
    <w:rsid w:val="002540FE"/>
    <w:rsid w:val="00255758"/>
    <w:rsid w:val="00255B7C"/>
    <w:rsid w:val="00260FDA"/>
    <w:rsid w:val="00262CD3"/>
    <w:rsid w:val="002639BB"/>
    <w:rsid w:val="00263AB7"/>
    <w:rsid w:val="002666A0"/>
    <w:rsid w:val="00270B94"/>
    <w:rsid w:val="0027119E"/>
    <w:rsid w:val="00272C90"/>
    <w:rsid w:val="0027548C"/>
    <w:rsid w:val="002763BB"/>
    <w:rsid w:val="00276F85"/>
    <w:rsid w:val="00281AA8"/>
    <w:rsid w:val="00283CE5"/>
    <w:rsid w:val="002876E0"/>
    <w:rsid w:val="00291574"/>
    <w:rsid w:val="002915A3"/>
    <w:rsid w:val="00292476"/>
    <w:rsid w:val="00292766"/>
    <w:rsid w:val="00293FA7"/>
    <w:rsid w:val="0029530B"/>
    <w:rsid w:val="002954F1"/>
    <w:rsid w:val="002976B4"/>
    <w:rsid w:val="00297D75"/>
    <w:rsid w:val="002A05F2"/>
    <w:rsid w:val="002A155C"/>
    <w:rsid w:val="002A4903"/>
    <w:rsid w:val="002A54A1"/>
    <w:rsid w:val="002A5F1E"/>
    <w:rsid w:val="002A6141"/>
    <w:rsid w:val="002B1BCD"/>
    <w:rsid w:val="002B3002"/>
    <w:rsid w:val="002B363E"/>
    <w:rsid w:val="002B4A50"/>
    <w:rsid w:val="002B6894"/>
    <w:rsid w:val="002B6F5A"/>
    <w:rsid w:val="002C0887"/>
    <w:rsid w:val="002C29E2"/>
    <w:rsid w:val="002C3BCB"/>
    <w:rsid w:val="002C4861"/>
    <w:rsid w:val="002D152D"/>
    <w:rsid w:val="002D48BF"/>
    <w:rsid w:val="002D7F73"/>
    <w:rsid w:val="002E0491"/>
    <w:rsid w:val="002E07A9"/>
    <w:rsid w:val="002E0DE9"/>
    <w:rsid w:val="002E1D9E"/>
    <w:rsid w:val="002E1E4D"/>
    <w:rsid w:val="002F2BCF"/>
    <w:rsid w:val="00300DD5"/>
    <w:rsid w:val="003010E5"/>
    <w:rsid w:val="003017BD"/>
    <w:rsid w:val="003031A1"/>
    <w:rsid w:val="00303BBC"/>
    <w:rsid w:val="00303F39"/>
    <w:rsid w:val="00304705"/>
    <w:rsid w:val="0030651E"/>
    <w:rsid w:val="00311E05"/>
    <w:rsid w:val="003123B3"/>
    <w:rsid w:val="00315D35"/>
    <w:rsid w:val="00316E2E"/>
    <w:rsid w:val="00320449"/>
    <w:rsid w:val="003204E5"/>
    <w:rsid w:val="00322DF3"/>
    <w:rsid w:val="00322F23"/>
    <w:rsid w:val="0032380A"/>
    <w:rsid w:val="00323DC4"/>
    <w:rsid w:val="003254B6"/>
    <w:rsid w:val="003311CC"/>
    <w:rsid w:val="00331F68"/>
    <w:rsid w:val="00332FAC"/>
    <w:rsid w:val="00333D7C"/>
    <w:rsid w:val="003357DB"/>
    <w:rsid w:val="00336B6E"/>
    <w:rsid w:val="00337435"/>
    <w:rsid w:val="00341209"/>
    <w:rsid w:val="003432D2"/>
    <w:rsid w:val="0035775A"/>
    <w:rsid w:val="003606E5"/>
    <w:rsid w:val="00361515"/>
    <w:rsid w:val="0036414D"/>
    <w:rsid w:val="0036716B"/>
    <w:rsid w:val="00367C7D"/>
    <w:rsid w:val="0037002F"/>
    <w:rsid w:val="003701E8"/>
    <w:rsid w:val="003724E6"/>
    <w:rsid w:val="00372FB4"/>
    <w:rsid w:val="00374E5E"/>
    <w:rsid w:val="00377AEC"/>
    <w:rsid w:val="00380B73"/>
    <w:rsid w:val="00381C0E"/>
    <w:rsid w:val="00383A55"/>
    <w:rsid w:val="003857CA"/>
    <w:rsid w:val="00385A01"/>
    <w:rsid w:val="00385B57"/>
    <w:rsid w:val="00385CD5"/>
    <w:rsid w:val="00386AF3"/>
    <w:rsid w:val="0038733B"/>
    <w:rsid w:val="003903A0"/>
    <w:rsid w:val="0039063D"/>
    <w:rsid w:val="00391171"/>
    <w:rsid w:val="00394C1E"/>
    <w:rsid w:val="003A033D"/>
    <w:rsid w:val="003A04E6"/>
    <w:rsid w:val="003A1447"/>
    <w:rsid w:val="003A2467"/>
    <w:rsid w:val="003B35E7"/>
    <w:rsid w:val="003B45FF"/>
    <w:rsid w:val="003B7D78"/>
    <w:rsid w:val="003C04DC"/>
    <w:rsid w:val="003C179D"/>
    <w:rsid w:val="003C440B"/>
    <w:rsid w:val="003C6C50"/>
    <w:rsid w:val="003C7807"/>
    <w:rsid w:val="003C7986"/>
    <w:rsid w:val="003D00CD"/>
    <w:rsid w:val="003D4F44"/>
    <w:rsid w:val="003D54AE"/>
    <w:rsid w:val="003E1877"/>
    <w:rsid w:val="003E601C"/>
    <w:rsid w:val="003E7680"/>
    <w:rsid w:val="003F25D1"/>
    <w:rsid w:val="003F4869"/>
    <w:rsid w:val="003F5D9A"/>
    <w:rsid w:val="00401E75"/>
    <w:rsid w:val="0040274F"/>
    <w:rsid w:val="004047E1"/>
    <w:rsid w:val="00405538"/>
    <w:rsid w:val="004064A6"/>
    <w:rsid w:val="00407F4A"/>
    <w:rsid w:val="00410C88"/>
    <w:rsid w:val="004123CD"/>
    <w:rsid w:val="004144D6"/>
    <w:rsid w:val="00414D5B"/>
    <w:rsid w:val="00415203"/>
    <w:rsid w:val="004205D4"/>
    <w:rsid w:val="004231BF"/>
    <w:rsid w:val="004265D8"/>
    <w:rsid w:val="00427110"/>
    <w:rsid w:val="0043039F"/>
    <w:rsid w:val="00430E0D"/>
    <w:rsid w:val="00431445"/>
    <w:rsid w:val="00431CD3"/>
    <w:rsid w:val="00436AA5"/>
    <w:rsid w:val="0044085F"/>
    <w:rsid w:val="004411DC"/>
    <w:rsid w:val="00442360"/>
    <w:rsid w:val="00442789"/>
    <w:rsid w:val="00443550"/>
    <w:rsid w:val="00444036"/>
    <w:rsid w:val="00445511"/>
    <w:rsid w:val="00445FF1"/>
    <w:rsid w:val="004472A2"/>
    <w:rsid w:val="00454157"/>
    <w:rsid w:val="00455B5A"/>
    <w:rsid w:val="00460092"/>
    <w:rsid w:val="00460E4C"/>
    <w:rsid w:val="004617B3"/>
    <w:rsid w:val="004621C0"/>
    <w:rsid w:val="004640CC"/>
    <w:rsid w:val="004649A1"/>
    <w:rsid w:val="00467566"/>
    <w:rsid w:val="00467800"/>
    <w:rsid w:val="00472CF2"/>
    <w:rsid w:val="00474A1F"/>
    <w:rsid w:val="00474FDB"/>
    <w:rsid w:val="00476079"/>
    <w:rsid w:val="00476888"/>
    <w:rsid w:val="00476DB3"/>
    <w:rsid w:val="00480B76"/>
    <w:rsid w:val="00482DB4"/>
    <w:rsid w:val="00483506"/>
    <w:rsid w:val="00486F28"/>
    <w:rsid w:val="004878D6"/>
    <w:rsid w:val="00490338"/>
    <w:rsid w:val="00492A89"/>
    <w:rsid w:val="00492C7F"/>
    <w:rsid w:val="00493CF9"/>
    <w:rsid w:val="00496261"/>
    <w:rsid w:val="004A0A10"/>
    <w:rsid w:val="004A0E66"/>
    <w:rsid w:val="004A10C5"/>
    <w:rsid w:val="004A1800"/>
    <w:rsid w:val="004A2F46"/>
    <w:rsid w:val="004A348A"/>
    <w:rsid w:val="004A3F6C"/>
    <w:rsid w:val="004A5094"/>
    <w:rsid w:val="004A61C5"/>
    <w:rsid w:val="004A64D8"/>
    <w:rsid w:val="004B1F96"/>
    <w:rsid w:val="004B307D"/>
    <w:rsid w:val="004B5E7E"/>
    <w:rsid w:val="004B74E6"/>
    <w:rsid w:val="004C0E4B"/>
    <w:rsid w:val="004C0FCF"/>
    <w:rsid w:val="004C315B"/>
    <w:rsid w:val="004C4846"/>
    <w:rsid w:val="004C5C25"/>
    <w:rsid w:val="004C6F66"/>
    <w:rsid w:val="004D3080"/>
    <w:rsid w:val="004E0D77"/>
    <w:rsid w:val="004E13EE"/>
    <w:rsid w:val="004E3E2B"/>
    <w:rsid w:val="004E504C"/>
    <w:rsid w:val="004E768C"/>
    <w:rsid w:val="004F0002"/>
    <w:rsid w:val="004F0D05"/>
    <w:rsid w:val="004F3D87"/>
    <w:rsid w:val="004F54BE"/>
    <w:rsid w:val="004F67B8"/>
    <w:rsid w:val="005020A5"/>
    <w:rsid w:val="0050233B"/>
    <w:rsid w:val="00503392"/>
    <w:rsid w:val="0051753B"/>
    <w:rsid w:val="00521C8E"/>
    <w:rsid w:val="00522090"/>
    <w:rsid w:val="00522484"/>
    <w:rsid w:val="005230D3"/>
    <w:rsid w:val="005232C9"/>
    <w:rsid w:val="005232FE"/>
    <w:rsid w:val="00525C6E"/>
    <w:rsid w:val="00532414"/>
    <w:rsid w:val="00533019"/>
    <w:rsid w:val="00533566"/>
    <w:rsid w:val="005336DE"/>
    <w:rsid w:val="00536175"/>
    <w:rsid w:val="00537CB6"/>
    <w:rsid w:val="005466ED"/>
    <w:rsid w:val="005514A8"/>
    <w:rsid w:val="00552715"/>
    <w:rsid w:val="005549B2"/>
    <w:rsid w:val="005577DA"/>
    <w:rsid w:val="00560C0B"/>
    <w:rsid w:val="00561B23"/>
    <w:rsid w:val="005649C6"/>
    <w:rsid w:val="00565D81"/>
    <w:rsid w:val="0056637A"/>
    <w:rsid w:val="00570D96"/>
    <w:rsid w:val="00572D32"/>
    <w:rsid w:val="00572F38"/>
    <w:rsid w:val="005759E2"/>
    <w:rsid w:val="005766A1"/>
    <w:rsid w:val="00583007"/>
    <w:rsid w:val="005832B8"/>
    <w:rsid w:val="005855BD"/>
    <w:rsid w:val="00593A59"/>
    <w:rsid w:val="00593B02"/>
    <w:rsid w:val="005A12B8"/>
    <w:rsid w:val="005A2109"/>
    <w:rsid w:val="005A2281"/>
    <w:rsid w:val="005A6E17"/>
    <w:rsid w:val="005B1951"/>
    <w:rsid w:val="005B4413"/>
    <w:rsid w:val="005B773C"/>
    <w:rsid w:val="005B7A9C"/>
    <w:rsid w:val="005C1000"/>
    <w:rsid w:val="005C10AA"/>
    <w:rsid w:val="005C1330"/>
    <w:rsid w:val="005C1EF9"/>
    <w:rsid w:val="005C1F9E"/>
    <w:rsid w:val="005C2248"/>
    <w:rsid w:val="005C3070"/>
    <w:rsid w:val="005C4211"/>
    <w:rsid w:val="005C4374"/>
    <w:rsid w:val="005C4883"/>
    <w:rsid w:val="005C7F69"/>
    <w:rsid w:val="005D02AF"/>
    <w:rsid w:val="005D0DE6"/>
    <w:rsid w:val="005D1BB2"/>
    <w:rsid w:val="005D29C6"/>
    <w:rsid w:val="005D2B8B"/>
    <w:rsid w:val="005D2BCA"/>
    <w:rsid w:val="005D3DEE"/>
    <w:rsid w:val="005D465D"/>
    <w:rsid w:val="005D52AC"/>
    <w:rsid w:val="005D63F0"/>
    <w:rsid w:val="005D7320"/>
    <w:rsid w:val="005E632A"/>
    <w:rsid w:val="005E6BC4"/>
    <w:rsid w:val="005F0080"/>
    <w:rsid w:val="005F13A7"/>
    <w:rsid w:val="005F217B"/>
    <w:rsid w:val="005F2C91"/>
    <w:rsid w:val="005F34D7"/>
    <w:rsid w:val="005F389A"/>
    <w:rsid w:val="005F3FB7"/>
    <w:rsid w:val="005F48B0"/>
    <w:rsid w:val="005F522E"/>
    <w:rsid w:val="005F72E0"/>
    <w:rsid w:val="005F7590"/>
    <w:rsid w:val="00604FC1"/>
    <w:rsid w:val="00605D88"/>
    <w:rsid w:val="00606DBF"/>
    <w:rsid w:val="00607434"/>
    <w:rsid w:val="0060745F"/>
    <w:rsid w:val="00622BE8"/>
    <w:rsid w:val="00623027"/>
    <w:rsid w:val="0062486B"/>
    <w:rsid w:val="00624CD4"/>
    <w:rsid w:val="006258FE"/>
    <w:rsid w:val="0062666C"/>
    <w:rsid w:val="00630504"/>
    <w:rsid w:val="00630F50"/>
    <w:rsid w:val="006311B8"/>
    <w:rsid w:val="0063120A"/>
    <w:rsid w:val="00631A6D"/>
    <w:rsid w:val="006326B4"/>
    <w:rsid w:val="00640547"/>
    <w:rsid w:val="00640F3B"/>
    <w:rsid w:val="0064110E"/>
    <w:rsid w:val="00646E37"/>
    <w:rsid w:val="00650D24"/>
    <w:rsid w:val="00650DF2"/>
    <w:rsid w:val="00651740"/>
    <w:rsid w:val="00653359"/>
    <w:rsid w:val="00656096"/>
    <w:rsid w:val="00656185"/>
    <w:rsid w:val="0066109C"/>
    <w:rsid w:val="00662172"/>
    <w:rsid w:val="00664100"/>
    <w:rsid w:val="00664F03"/>
    <w:rsid w:val="0066717B"/>
    <w:rsid w:val="00674205"/>
    <w:rsid w:val="0067574F"/>
    <w:rsid w:val="006767D6"/>
    <w:rsid w:val="00677170"/>
    <w:rsid w:val="00682AC0"/>
    <w:rsid w:val="0068480E"/>
    <w:rsid w:val="00686ADC"/>
    <w:rsid w:val="00691ACC"/>
    <w:rsid w:val="00692F8A"/>
    <w:rsid w:val="006942A4"/>
    <w:rsid w:val="00694388"/>
    <w:rsid w:val="00694B20"/>
    <w:rsid w:val="00695AC3"/>
    <w:rsid w:val="006971F6"/>
    <w:rsid w:val="006A0F88"/>
    <w:rsid w:val="006A4401"/>
    <w:rsid w:val="006A72A6"/>
    <w:rsid w:val="006A7EAF"/>
    <w:rsid w:val="006B2162"/>
    <w:rsid w:val="006B75D1"/>
    <w:rsid w:val="006C010C"/>
    <w:rsid w:val="006C2CE5"/>
    <w:rsid w:val="006C2D42"/>
    <w:rsid w:val="006C345F"/>
    <w:rsid w:val="006C46F8"/>
    <w:rsid w:val="006C4E45"/>
    <w:rsid w:val="006C717B"/>
    <w:rsid w:val="006C7386"/>
    <w:rsid w:val="006D0F28"/>
    <w:rsid w:val="006D134F"/>
    <w:rsid w:val="006D376B"/>
    <w:rsid w:val="006D6CBC"/>
    <w:rsid w:val="006D6EFB"/>
    <w:rsid w:val="006D7D4D"/>
    <w:rsid w:val="006E0940"/>
    <w:rsid w:val="006E0AA1"/>
    <w:rsid w:val="006E1707"/>
    <w:rsid w:val="006E2C83"/>
    <w:rsid w:val="006F04CF"/>
    <w:rsid w:val="006F117D"/>
    <w:rsid w:val="006F24CA"/>
    <w:rsid w:val="006F5D4B"/>
    <w:rsid w:val="006F5F9C"/>
    <w:rsid w:val="0070026D"/>
    <w:rsid w:val="00702F40"/>
    <w:rsid w:val="00706253"/>
    <w:rsid w:val="00707B6C"/>
    <w:rsid w:val="00710F0C"/>
    <w:rsid w:val="00714F01"/>
    <w:rsid w:val="007155CB"/>
    <w:rsid w:val="007200FE"/>
    <w:rsid w:val="00720539"/>
    <w:rsid w:val="0072087A"/>
    <w:rsid w:val="00721BA4"/>
    <w:rsid w:val="00721EA0"/>
    <w:rsid w:val="00722FD3"/>
    <w:rsid w:val="00727C0A"/>
    <w:rsid w:val="00731745"/>
    <w:rsid w:val="00731CD3"/>
    <w:rsid w:val="007325BB"/>
    <w:rsid w:val="00734520"/>
    <w:rsid w:val="00734EFC"/>
    <w:rsid w:val="007409DC"/>
    <w:rsid w:val="00740D44"/>
    <w:rsid w:val="00741CDF"/>
    <w:rsid w:val="00741FD4"/>
    <w:rsid w:val="00742C76"/>
    <w:rsid w:val="00745272"/>
    <w:rsid w:val="00746ADF"/>
    <w:rsid w:val="0075019F"/>
    <w:rsid w:val="00753646"/>
    <w:rsid w:val="00755374"/>
    <w:rsid w:val="007555F5"/>
    <w:rsid w:val="007604F7"/>
    <w:rsid w:val="007607C7"/>
    <w:rsid w:val="00766094"/>
    <w:rsid w:val="0077008E"/>
    <w:rsid w:val="00777A7C"/>
    <w:rsid w:val="00786106"/>
    <w:rsid w:val="00793D6A"/>
    <w:rsid w:val="00795A4E"/>
    <w:rsid w:val="00797B07"/>
    <w:rsid w:val="007A0440"/>
    <w:rsid w:val="007A0FDF"/>
    <w:rsid w:val="007A1642"/>
    <w:rsid w:val="007A1664"/>
    <w:rsid w:val="007A48F6"/>
    <w:rsid w:val="007A4E9A"/>
    <w:rsid w:val="007B29AB"/>
    <w:rsid w:val="007B3B72"/>
    <w:rsid w:val="007B4263"/>
    <w:rsid w:val="007B5CFB"/>
    <w:rsid w:val="007B6A95"/>
    <w:rsid w:val="007C1729"/>
    <w:rsid w:val="007C189D"/>
    <w:rsid w:val="007C1FFB"/>
    <w:rsid w:val="007D2326"/>
    <w:rsid w:val="007D2AB5"/>
    <w:rsid w:val="007D4BAD"/>
    <w:rsid w:val="007D5B24"/>
    <w:rsid w:val="007D62A5"/>
    <w:rsid w:val="007D715A"/>
    <w:rsid w:val="007D76DB"/>
    <w:rsid w:val="007D7C03"/>
    <w:rsid w:val="007E7397"/>
    <w:rsid w:val="007F12FC"/>
    <w:rsid w:val="007F4737"/>
    <w:rsid w:val="007F4BE9"/>
    <w:rsid w:val="007F7087"/>
    <w:rsid w:val="00801CCC"/>
    <w:rsid w:val="00802410"/>
    <w:rsid w:val="00803380"/>
    <w:rsid w:val="00806567"/>
    <w:rsid w:val="00811E08"/>
    <w:rsid w:val="0081207E"/>
    <w:rsid w:val="0081375B"/>
    <w:rsid w:val="00814B59"/>
    <w:rsid w:val="00820F22"/>
    <w:rsid w:val="00821027"/>
    <w:rsid w:val="008245EF"/>
    <w:rsid w:val="00826F1B"/>
    <w:rsid w:val="00827C1A"/>
    <w:rsid w:val="00827D65"/>
    <w:rsid w:val="00831231"/>
    <w:rsid w:val="00831F99"/>
    <w:rsid w:val="0083324F"/>
    <w:rsid w:val="00836C42"/>
    <w:rsid w:val="00841566"/>
    <w:rsid w:val="00841D22"/>
    <w:rsid w:val="008423A6"/>
    <w:rsid w:val="00845282"/>
    <w:rsid w:val="008453A3"/>
    <w:rsid w:val="00851340"/>
    <w:rsid w:val="008535A6"/>
    <w:rsid w:val="00856395"/>
    <w:rsid w:val="00857A19"/>
    <w:rsid w:val="0086045E"/>
    <w:rsid w:val="00860B4A"/>
    <w:rsid w:val="00863CED"/>
    <w:rsid w:val="00863F67"/>
    <w:rsid w:val="00865F1B"/>
    <w:rsid w:val="008675C3"/>
    <w:rsid w:val="0086782B"/>
    <w:rsid w:val="00867AB8"/>
    <w:rsid w:val="008705AF"/>
    <w:rsid w:val="00874DB4"/>
    <w:rsid w:val="00876E56"/>
    <w:rsid w:val="008977B6"/>
    <w:rsid w:val="008A0A7A"/>
    <w:rsid w:val="008A42CF"/>
    <w:rsid w:val="008A4AF3"/>
    <w:rsid w:val="008A6FF6"/>
    <w:rsid w:val="008A75C2"/>
    <w:rsid w:val="008B01FF"/>
    <w:rsid w:val="008B0788"/>
    <w:rsid w:val="008B1173"/>
    <w:rsid w:val="008B2AAB"/>
    <w:rsid w:val="008B49F1"/>
    <w:rsid w:val="008B72CB"/>
    <w:rsid w:val="008C0C66"/>
    <w:rsid w:val="008C14DF"/>
    <w:rsid w:val="008C1BC7"/>
    <w:rsid w:val="008C1DFB"/>
    <w:rsid w:val="008C33DC"/>
    <w:rsid w:val="008C74BA"/>
    <w:rsid w:val="008D05C4"/>
    <w:rsid w:val="008D2946"/>
    <w:rsid w:val="008D378D"/>
    <w:rsid w:val="008E1821"/>
    <w:rsid w:val="008E23B9"/>
    <w:rsid w:val="008E246C"/>
    <w:rsid w:val="008E4A55"/>
    <w:rsid w:val="008F147A"/>
    <w:rsid w:val="008F50E0"/>
    <w:rsid w:val="008F72E7"/>
    <w:rsid w:val="008F7D22"/>
    <w:rsid w:val="009018DC"/>
    <w:rsid w:val="00902CAF"/>
    <w:rsid w:val="00903623"/>
    <w:rsid w:val="00904993"/>
    <w:rsid w:val="009061DB"/>
    <w:rsid w:val="00907C29"/>
    <w:rsid w:val="00912C15"/>
    <w:rsid w:val="00913DC0"/>
    <w:rsid w:val="009148BC"/>
    <w:rsid w:val="00916DB2"/>
    <w:rsid w:val="00921BAE"/>
    <w:rsid w:val="009232AE"/>
    <w:rsid w:val="009238CF"/>
    <w:rsid w:val="00930206"/>
    <w:rsid w:val="00930A5E"/>
    <w:rsid w:val="009334AB"/>
    <w:rsid w:val="00934C2F"/>
    <w:rsid w:val="00936A0A"/>
    <w:rsid w:val="009403F9"/>
    <w:rsid w:val="00941413"/>
    <w:rsid w:val="00941B7E"/>
    <w:rsid w:val="00942692"/>
    <w:rsid w:val="009538F2"/>
    <w:rsid w:val="00954545"/>
    <w:rsid w:val="0096070B"/>
    <w:rsid w:val="00960E89"/>
    <w:rsid w:val="00962676"/>
    <w:rsid w:val="00962D59"/>
    <w:rsid w:val="00965C4C"/>
    <w:rsid w:val="009668B8"/>
    <w:rsid w:val="00967917"/>
    <w:rsid w:val="00970699"/>
    <w:rsid w:val="00970BA2"/>
    <w:rsid w:val="0097245D"/>
    <w:rsid w:val="00975933"/>
    <w:rsid w:val="0098088B"/>
    <w:rsid w:val="009869A8"/>
    <w:rsid w:val="00986AB3"/>
    <w:rsid w:val="00987C22"/>
    <w:rsid w:val="00987D8A"/>
    <w:rsid w:val="0099047C"/>
    <w:rsid w:val="00992388"/>
    <w:rsid w:val="00993C5E"/>
    <w:rsid w:val="009949FD"/>
    <w:rsid w:val="00995641"/>
    <w:rsid w:val="009978DB"/>
    <w:rsid w:val="009A0296"/>
    <w:rsid w:val="009A0D04"/>
    <w:rsid w:val="009A0F89"/>
    <w:rsid w:val="009A3C34"/>
    <w:rsid w:val="009A563A"/>
    <w:rsid w:val="009B35EA"/>
    <w:rsid w:val="009B5963"/>
    <w:rsid w:val="009B6A17"/>
    <w:rsid w:val="009B7B75"/>
    <w:rsid w:val="009C15AE"/>
    <w:rsid w:val="009C1A9D"/>
    <w:rsid w:val="009C4001"/>
    <w:rsid w:val="009C404F"/>
    <w:rsid w:val="009C41BA"/>
    <w:rsid w:val="009C65DA"/>
    <w:rsid w:val="009C7C53"/>
    <w:rsid w:val="009C7EE9"/>
    <w:rsid w:val="009D1410"/>
    <w:rsid w:val="009D2B08"/>
    <w:rsid w:val="009D3671"/>
    <w:rsid w:val="009D4EEA"/>
    <w:rsid w:val="009D538E"/>
    <w:rsid w:val="009D74FE"/>
    <w:rsid w:val="009E2D43"/>
    <w:rsid w:val="009E32E5"/>
    <w:rsid w:val="009E3681"/>
    <w:rsid w:val="009E6535"/>
    <w:rsid w:val="009E670E"/>
    <w:rsid w:val="009F0931"/>
    <w:rsid w:val="009F0B94"/>
    <w:rsid w:val="009F13E4"/>
    <w:rsid w:val="009F2B0D"/>
    <w:rsid w:val="009F2D2B"/>
    <w:rsid w:val="009F322B"/>
    <w:rsid w:val="009F3F2D"/>
    <w:rsid w:val="009F6867"/>
    <w:rsid w:val="009F6E7A"/>
    <w:rsid w:val="009F7227"/>
    <w:rsid w:val="009F757A"/>
    <w:rsid w:val="00A026EB"/>
    <w:rsid w:val="00A07A9E"/>
    <w:rsid w:val="00A11CC9"/>
    <w:rsid w:val="00A13D6C"/>
    <w:rsid w:val="00A1467B"/>
    <w:rsid w:val="00A14B0F"/>
    <w:rsid w:val="00A164F6"/>
    <w:rsid w:val="00A20CCA"/>
    <w:rsid w:val="00A23E11"/>
    <w:rsid w:val="00A248B2"/>
    <w:rsid w:val="00A24C82"/>
    <w:rsid w:val="00A30EE7"/>
    <w:rsid w:val="00A31738"/>
    <w:rsid w:val="00A33A44"/>
    <w:rsid w:val="00A3570C"/>
    <w:rsid w:val="00A377AC"/>
    <w:rsid w:val="00A41152"/>
    <w:rsid w:val="00A43792"/>
    <w:rsid w:val="00A44C57"/>
    <w:rsid w:val="00A4506E"/>
    <w:rsid w:val="00A45A5D"/>
    <w:rsid w:val="00A4647D"/>
    <w:rsid w:val="00A47FDE"/>
    <w:rsid w:val="00A5005A"/>
    <w:rsid w:val="00A506BE"/>
    <w:rsid w:val="00A50F4C"/>
    <w:rsid w:val="00A53FB0"/>
    <w:rsid w:val="00A55B1E"/>
    <w:rsid w:val="00A56503"/>
    <w:rsid w:val="00A57922"/>
    <w:rsid w:val="00A606E4"/>
    <w:rsid w:val="00A61835"/>
    <w:rsid w:val="00A6320A"/>
    <w:rsid w:val="00A658F8"/>
    <w:rsid w:val="00A678DA"/>
    <w:rsid w:val="00A71937"/>
    <w:rsid w:val="00A72FED"/>
    <w:rsid w:val="00A74E03"/>
    <w:rsid w:val="00A7686D"/>
    <w:rsid w:val="00A81102"/>
    <w:rsid w:val="00A878D7"/>
    <w:rsid w:val="00A87BAB"/>
    <w:rsid w:val="00A93E9D"/>
    <w:rsid w:val="00A96E52"/>
    <w:rsid w:val="00A973CC"/>
    <w:rsid w:val="00AA0D64"/>
    <w:rsid w:val="00AA3BCB"/>
    <w:rsid w:val="00AA6ACD"/>
    <w:rsid w:val="00AB2349"/>
    <w:rsid w:val="00AB4F90"/>
    <w:rsid w:val="00AB4FA2"/>
    <w:rsid w:val="00AB55B1"/>
    <w:rsid w:val="00AB6766"/>
    <w:rsid w:val="00AB6D2E"/>
    <w:rsid w:val="00AC01B7"/>
    <w:rsid w:val="00AC2900"/>
    <w:rsid w:val="00AC322A"/>
    <w:rsid w:val="00AC5165"/>
    <w:rsid w:val="00AC6215"/>
    <w:rsid w:val="00AC6237"/>
    <w:rsid w:val="00AD3741"/>
    <w:rsid w:val="00AD3DBF"/>
    <w:rsid w:val="00AD56E1"/>
    <w:rsid w:val="00AE02C9"/>
    <w:rsid w:val="00AE0AA1"/>
    <w:rsid w:val="00AE0FF9"/>
    <w:rsid w:val="00AE247A"/>
    <w:rsid w:val="00AF0272"/>
    <w:rsid w:val="00AF0552"/>
    <w:rsid w:val="00AF1AE9"/>
    <w:rsid w:val="00AF2637"/>
    <w:rsid w:val="00AF2FF1"/>
    <w:rsid w:val="00AF54B2"/>
    <w:rsid w:val="00AF780A"/>
    <w:rsid w:val="00AF7FCB"/>
    <w:rsid w:val="00B005CA"/>
    <w:rsid w:val="00B00896"/>
    <w:rsid w:val="00B030CF"/>
    <w:rsid w:val="00B04A31"/>
    <w:rsid w:val="00B06460"/>
    <w:rsid w:val="00B07CDF"/>
    <w:rsid w:val="00B12471"/>
    <w:rsid w:val="00B14C2C"/>
    <w:rsid w:val="00B1611D"/>
    <w:rsid w:val="00B20F5C"/>
    <w:rsid w:val="00B219FF"/>
    <w:rsid w:val="00B22C79"/>
    <w:rsid w:val="00B23878"/>
    <w:rsid w:val="00B25D00"/>
    <w:rsid w:val="00B27B3F"/>
    <w:rsid w:val="00B30073"/>
    <w:rsid w:val="00B30968"/>
    <w:rsid w:val="00B31B1E"/>
    <w:rsid w:val="00B3322B"/>
    <w:rsid w:val="00B33A80"/>
    <w:rsid w:val="00B34483"/>
    <w:rsid w:val="00B35041"/>
    <w:rsid w:val="00B35999"/>
    <w:rsid w:val="00B41315"/>
    <w:rsid w:val="00B41FF3"/>
    <w:rsid w:val="00B4305A"/>
    <w:rsid w:val="00B46690"/>
    <w:rsid w:val="00B46A97"/>
    <w:rsid w:val="00B5068D"/>
    <w:rsid w:val="00B5196B"/>
    <w:rsid w:val="00B537D9"/>
    <w:rsid w:val="00B55852"/>
    <w:rsid w:val="00B56236"/>
    <w:rsid w:val="00B5727C"/>
    <w:rsid w:val="00B62D35"/>
    <w:rsid w:val="00B63C15"/>
    <w:rsid w:val="00B6686A"/>
    <w:rsid w:val="00B66A7E"/>
    <w:rsid w:val="00B6757A"/>
    <w:rsid w:val="00B677D2"/>
    <w:rsid w:val="00B67959"/>
    <w:rsid w:val="00B72D76"/>
    <w:rsid w:val="00B743C6"/>
    <w:rsid w:val="00B80784"/>
    <w:rsid w:val="00B84916"/>
    <w:rsid w:val="00B86F15"/>
    <w:rsid w:val="00B9117F"/>
    <w:rsid w:val="00B9301B"/>
    <w:rsid w:val="00B93AE1"/>
    <w:rsid w:val="00B94542"/>
    <w:rsid w:val="00BA049C"/>
    <w:rsid w:val="00BA5B5E"/>
    <w:rsid w:val="00BA673A"/>
    <w:rsid w:val="00BA7502"/>
    <w:rsid w:val="00BA786E"/>
    <w:rsid w:val="00BB100D"/>
    <w:rsid w:val="00BB3412"/>
    <w:rsid w:val="00BB405B"/>
    <w:rsid w:val="00BC1714"/>
    <w:rsid w:val="00BC22E8"/>
    <w:rsid w:val="00BC51C3"/>
    <w:rsid w:val="00BD42F5"/>
    <w:rsid w:val="00BD5C2D"/>
    <w:rsid w:val="00BE00A9"/>
    <w:rsid w:val="00BE1778"/>
    <w:rsid w:val="00BE443B"/>
    <w:rsid w:val="00BE4987"/>
    <w:rsid w:val="00BE771E"/>
    <w:rsid w:val="00BF06B7"/>
    <w:rsid w:val="00BF2A6D"/>
    <w:rsid w:val="00BF2BED"/>
    <w:rsid w:val="00BF3B3F"/>
    <w:rsid w:val="00C024A9"/>
    <w:rsid w:val="00C03ED3"/>
    <w:rsid w:val="00C052FA"/>
    <w:rsid w:val="00C05E38"/>
    <w:rsid w:val="00C06102"/>
    <w:rsid w:val="00C065A3"/>
    <w:rsid w:val="00C108AB"/>
    <w:rsid w:val="00C10C36"/>
    <w:rsid w:val="00C12416"/>
    <w:rsid w:val="00C156E3"/>
    <w:rsid w:val="00C15ED2"/>
    <w:rsid w:val="00C21883"/>
    <w:rsid w:val="00C22CC1"/>
    <w:rsid w:val="00C30F9B"/>
    <w:rsid w:val="00C40FAF"/>
    <w:rsid w:val="00C421DA"/>
    <w:rsid w:val="00C45771"/>
    <w:rsid w:val="00C46A2F"/>
    <w:rsid w:val="00C52822"/>
    <w:rsid w:val="00C53078"/>
    <w:rsid w:val="00C5473D"/>
    <w:rsid w:val="00C6119B"/>
    <w:rsid w:val="00C62E15"/>
    <w:rsid w:val="00C64467"/>
    <w:rsid w:val="00C65D36"/>
    <w:rsid w:val="00C67302"/>
    <w:rsid w:val="00C6741E"/>
    <w:rsid w:val="00C70019"/>
    <w:rsid w:val="00C70078"/>
    <w:rsid w:val="00C70EEE"/>
    <w:rsid w:val="00C71FDC"/>
    <w:rsid w:val="00C74203"/>
    <w:rsid w:val="00C745ED"/>
    <w:rsid w:val="00C75A94"/>
    <w:rsid w:val="00C77953"/>
    <w:rsid w:val="00C77E45"/>
    <w:rsid w:val="00C80165"/>
    <w:rsid w:val="00C8370D"/>
    <w:rsid w:val="00C840D9"/>
    <w:rsid w:val="00C84BA3"/>
    <w:rsid w:val="00C860D9"/>
    <w:rsid w:val="00C92FE8"/>
    <w:rsid w:val="00C94E1F"/>
    <w:rsid w:val="00C95D5E"/>
    <w:rsid w:val="00CA0999"/>
    <w:rsid w:val="00CA0B61"/>
    <w:rsid w:val="00CA1061"/>
    <w:rsid w:val="00CA1320"/>
    <w:rsid w:val="00CA1FC8"/>
    <w:rsid w:val="00CA2C90"/>
    <w:rsid w:val="00CA4C2F"/>
    <w:rsid w:val="00CA7E57"/>
    <w:rsid w:val="00CB1F74"/>
    <w:rsid w:val="00CB6DDE"/>
    <w:rsid w:val="00CB78B4"/>
    <w:rsid w:val="00CC0BC6"/>
    <w:rsid w:val="00CC3420"/>
    <w:rsid w:val="00CC488A"/>
    <w:rsid w:val="00CC4F10"/>
    <w:rsid w:val="00CC52B4"/>
    <w:rsid w:val="00CD4D6F"/>
    <w:rsid w:val="00CE0158"/>
    <w:rsid w:val="00CE48BA"/>
    <w:rsid w:val="00CE5389"/>
    <w:rsid w:val="00CE6D4F"/>
    <w:rsid w:val="00CE78F3"/>
    <w:rsid w:val="00CF4476"/>
    <w:rsid w:val="00CF4592"/>
    <w:rsid w:val="00CF5421"/>
    <w:rsid w:val="00CF6E22"/>
    <w:rsid w:val="00D00F06"/>
    <w:rsid w:val="00D0483F"/>
    <w:rsid w:val="00D048FE"/>
    <w:rsid w:val="00D04D35"/>
    <w:rsid w:val="00D06CBE"/>
    <w:rsid w:val="00D11372"/>
    <w:rsid w:val="00D11B65"/>
    <w:rsid w:val="00D127D3"/>
    <w:rsid w:val="00D1488A"/>
    <w:rsid w:val="00D17C04"/>
    <w:rsid w:val="00D20826"/>
    <w:rsid w:val="00D256BA"/>
    <w:rsid w:val="00D26D25"/>
    <w:rsid w:val="00D33454"/>
    <w:rsid w:val="00D34DF0"/>
    <w:rsid w:val="00D37CE0"/>
    <w:rsid w:val="00D44021"/>
    <w:rsid w:val="00D44B0F"/>
    <w:rsid w:val="00D47180"/>
    <w:rsid w:val="00D50C9A"/>
    <w:rsid w:val="00D51FBB"/>
    <w:rsid w:val="00D52940"/>
    <w:rsid w:val="00D537BD"/>
    <w:rsid w:val="00D548FB"/>
    <w:rsid w:val="00D5796F"/>
    <w:rsid w:val="00D618E1"/>
    <w:rsid w:val="00D62129"/>
    <w:rsid w:val="00D63380"/>
    <w:rsid w:val="00D63831"/>
    <w:rsid w:val="00D659B4"/>
    <w:rsid w:val="00D67528"/>
    <w:rsid w:val="00D71AF6"/>
    <w:rsid w:val="00D7588A"/>
    <w:rsid w:val="00D846A7"/>
    <w:rsid w:val="00D905FF"/>
    <w:rsid w:val="00D91611"/>
    <w:rsid w:val="00D92608"/>
    <w:rsid w:val="00D94BA4"/>
    <w:rsid w:val="00D97874"/>
    <w:rsid w:val="00DA1DDB"/>
    <w:rsid w:val="00DA341F"/>
    <w:rsid w:val="00DA4960"/>
    <w:rsid w:val="00DA747F"/>
    <w:rsid w:val="00DB43C0"/>
    <w:rsid w:val="00DB548D"/>
    <w:rsid w:val="00DB67FB"/>
    <w:rsid w:val="00DB6A33"/>
    <w:rsid w:val="00DB6FAA"/>
    <w:rsid w:val="00DC0178"/>
    <w:rsid w:val="00DC07E1"/>
    <w:rsid w:val="00DC4EED"/>
    <w:rsid w:val="00DC7F7A"/>
    <w:rsid w:val="00DD0FD0"/>
    <w:rsid w:val="00DD3EA6"/>
    <w:rsid w:val="00DD4C67"/>
    <w:rsid w:val="00DD52CA"/>
    <w:rsid w:val="00DE17E9"/>
    <w:rsid w:val="00DE4B11"/>
    <w:rsid w:val="00DE71D1"/>
    <w:rsid w:val="00DE78DB"/>
    <w:rsid w:val="00DF31E9"/>
    <w:rsid w:val="00DF36D7"/>
    <w:rsid w:val="00DF4224"/>
    <w:rsid w:val="00DF4B93"/>
    <w:rsid w:val="00DF58AD"/>
    <w:rsid w:val="00DF7D9C"/>
    <w:rsid w:val="00E03750"/>
    <w:rsid w:val="00E05F45"/>
    <w:rsid w:val="00E11269"/>
    <w:rsid w:val="00E11584"/>
    <w:rsid w:val="00E122C8"/>
    <w:rsid w:val="00E1434F"/>
    <w:rsid w:val="00E14464"/>
    <w:rsid w:val="00E14DF7"/>
    <w:rsid w:val="00E1578B"/>
    <w:rsid w:val="00E2146D"/>
    <w:rsid w:val="00E24E3F"/>
    <w:rsid w:val="00E25BC6"/>
    <w:rsid w:val="00E25D90"/>
    <w:rsid w:val="00E3048C"/>
    <w:rsid w:val="00E313AE"/>
    <w:rsid w:val="00E35205"/>
    <w:rsid w:val="00E35AAA"/>
    <w:rsid w:val="00E36AA8"/>
    <w:rsid w:val="00E37495"/>
    <w:rsid w:val="00E41099"/>
    <w:rsid w:val="00E42C39"/>
    <w:rsid w:val="00E43679"/>
    <w:rsid w:val="00E43BA0"/>
    <w:rsid w:val="00E45081"/>
    <w:rsid w:val="00E45712"/>
    <w:rsid w:val="00E460EE"/>
    <w:rsid w:val="00E50A17"/>
    <w:rsid w:val="00E54CE3"/>
    <w:rsid w:val="00E6105F"/>
    <w:rsid w:val="00E65EB6"/>
    <w:rsid w:val="00E70FEF"/>
    <w:rsid w:val="00E71D90"/>
    <w:rsid w:val="00E759C5"/>
    <w:rsid w:val="00E76BF1"/>
    <w:rsid w:val="00E81196"/>
    <w:rsid w:val="00E841FE"/>
    <w:rsid w:val="00E87BC4"/>
    <w:rsid w:val="00E907D3"/>
    <w:rsid w:val="00E96512"/>
    <w:rsid w:val="00E9742F"/>
    <w:rsid w:val="00E97F9F"/>
    <w:rsid w:val="00EA0D37"/>
    <w:rsid w:val="00EA0E42"/>
    <w:rsid w:val="00EA13E8"/>
    <w:rsid w:val="00EA3F74"/>
    <w:rsid w:val="00EA5B3C"/>
    <w:rsid w:val="00EA6256"/>
    <w:rsid w:val="00EA780F"/>
    <w:rsid w:val="00EB05C6"/>
    <w:rsid w:val="00EB1929"/>
    <w:rsid w:val="00EB3982"/>
    <w:rsid w:val="00EB7CC4"/>
    <w:rsid w:val="00EC0E0D"/>
    <w:rsid w:val="00EC1B19"/>
    <w:rsid w:val="00EC2670"/>
    <w:rsid w:val="00EC4ED4"/>
    <w:rsid w:val="00EC6A8B"/>
    <w:rsid w:val="00EC7B90"/>
    <w:rsid w:val="00ED1625"/>
    <w:rsid w:val="00ED1657"/>
    <w:rsid w:val="00ED3ED2"/>
    <w:rsid w:val="00ED3F26"/>
    <w:rsid w:val="00ED4859"/>
    <w:rsid w:val="00ED7BDE"/>
    <w:rsid w:val="00EE02E9"/>
    <w:rsid w:val="00EE2C08"/>
    <w:rsid w:val="00EE37F9"/>
    <w:rsid w:val="00EE7A2C"/>
    <w:rsid w:val="00EF103E"/>
    <w:rsid w:val="00EF14FE"/>
    <w:rsid w:val="00EF42C1"/>
    <w:rsid w:val="00EF6360"/>
    <w:rsid w:val="00F015A1"/>
    <w:rsid w:val="00F0328A"/>
    <w:rsid w:val="00F039AF"/>
    <w:rsid w:val="00F055FF"/>
    <w:rsid w:val="00F07735"/>
    <w:rsid w:val="00F113C9"/>
    <w:rsid w:val="00F138E1"/>
    <w:rsid w:val="00F14890"/>
    <w:rsid w:val="00F15C09"/>
    <w:rsid w:val="00F24D42"/>
    <w:rsid w:val="00F2679D"/>
    <w:rsid w:val="00F26F59"/>
    <w:rsid w:val="00F2769A"/>
    <w:rsid w:val="00F31942"/>
    <w:rsid w:val="00F33029"/>
    <w:rsid w:val="00F33CA2"/>
    <w:rsid w:val="00F36571"/>
    <w:rsid w:val="00F3683A"/>
    <w:rsid w:val="00F374A7"/>
    <w:rsid w:val="00F463E1"/>
    <w:rsid w:val="00F503CF"/>
    <w:rsid w:val="00F5077E"/>
    <w:rsid w:val="00F50CB0"/>
    <w:rsid w:val="00F51A36"/>
    <w:rsid w:val="00F51D7A"/>
    <w:rsid w:val="00F51F60"/>
    <w:rsid w:val="00F54839"/>
    <w:rsid w:val="00F602DB"/>
    <w:rsid w:val="00F636C3"/>
    <w:rsid w:val="00F65992"/>
    <w:rsid w:val="00F662D6"/>
    <w:rsid w:val="00F6636F"/>
    <w:rsid w:val="00F709B5"/>
    <w:rsid w:val="00F71B98"/>
    <w:rsid w:val="00F734BF"/>
    <w:rsid w:val="00F737C9"/>
    <w:rsid w:val="00F758D0"/>
    <w:rsid w:val="00F75AE4"/>
    <w:rsid w:val="00F76174"/>
    <w:rsid w:val="00F77B8E"/>
    <w:rsid w:val="00F879FA"/>
    <w:rsid w:val="00F908BC"/>
    <w:rsid w:val="00F919CE"/>
    <w:rsid w:val="00F92B47"/>
    <w:rsid w:val="00F93350"/>
    <w:rsid w:val="00F93BC3"/>
    <w:rsid w:val="00F95747"/>
    <w:rsid w:val="00F96EF0"/>
    <w:rsid w:val="00FA0476"/>
    <w:rsid w:val="00FA13BC"/>
    <w:rsid w:val="00FA5E43"/>
    <w:rsid w:val="00FB196C"/>
    <w:rsid w:val="00FB19B7"/>
    <w:rsid w:val="00FB3008"/>
    <w:rsid w:val="00FB4727"/>
    <w:rsid w:val="00FB4E8E"/>
    <w:rsid w:val="00FB6AE1"/>
    <w:rsid w:val="00FB7EF3"/>
    <w:rsid w:val="00FC09E9"/>
    <w:rsid w:val="00FC3D12"/>
    <w:rsid w:val="00FC4387"/>
    <w:rsid w:val="00FC6349"/>
    <w:rsid w:val="00FD109F"/>
    <w:rsid w:val="00FD1A3A"/>
    <w:rsid w:val="00FD2306"/>
    <w:rsid w:val="00FD417C"/>
    <w:rsid w:val="00FD5867"/>
    <w:rsid w:val="00FD5D0D"/>
    <w:rsid w:val="00FD6B5D"/>
    <w:rsid w:val="00FE18A2"/>
    <w:rsid w:val="00FE2ACB"/>
    <w:rsid w:val="00FE5D5F"/>
    <w:rsid w:val="00FE7FD0"/>
    <w:rsid w:val="00FF5C0E"/>
    <w:rsid w:val="00FF621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47655"/>
  <w15:docId w15:val="{4272906F-9E31-44C3-A3A6-8AE320FF5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19"/>
        <w:szCs w:val="19"/>
        <w:lang w:val="en-IE" w:eastAsia="en-US" w:bidi="ar-SA"/>
      </w:rPr>
    </w:rPrDefault>
    <w:pPrDefault>
      <w:pPr>
        <w:spacing w:before="240" w:line="288" w:lineRule="auto"/>
        <w:jc w:val="both"/>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qFormat="1"/>
    <w:lsdException w:name="heading 4" w:semiHidden="1" w:qFormat="1"/>
    <w:lsdException w:name="heading 5" w:semiHidden="1" w:qFormat="1"/>
    <w:lsdException w:name="heading 6" w:semiHidden="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37"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qFormat/>
    <w:rsid w:val="00C77953"/>
  </w:style>
  <w:style w:type="paragraph" w:styleId="Titre1">
    <w:name w:val="heading 1"/>
    <w:basedOn w:val="Normal"/>
    <w:next w:val="Normal"/>
    <w:link w:val="Titre1Car"/>
    <w:uiPriority w:val="99"/>
    <w:semiHidden/>
    <w:qFormat/>
    <w:rsid w:val="008B1173"/>
    <w:pPr>
      <w:keepNext/>
      <w:keepLines/>
      <w:spacing w:before="480"/>
      <w:outlineLvl w:val="0"/>
    </w:pPr>
    <w:rPr>
      <w:rFonts w:asciiTheme="majorHAnsi" w:eastAsiaTheme="majorEastAsia" w:hAnsiTheme="majorHAnsi" w:cstheme="majorBidi"/>
      <w:b/>
      <w:bCs/>
      <w:color w:val="20A093" w:themeColor="accent1" w:themeShade="BF"/>
      <w:sz w:val="28"/>
      <w:szCs w:val="28"/>
    </w:rPr>
  </w:style>
  <w:style w:type="paragraph" w:styleId="Titre2">
    <w:name w:val="heading 2"/>
    <w:basedOn w:val="Normal"/>
    <w:next w:val="Normal"/>
    <w:link w:val="Titre2Car"/>
    <w:uiPriority w:val="99"/>
    <w:semiHidden/>
    <w:qFormat/>
    <w:rsid w:val="008B1173"/>
    <w:pPr>
      <w:keepNext/>
      <w:keepLines/>
      <w:spacing w:before="200"/>
      <w:outlineLvl w:val="1"/>
    </w:pPr>
    <w:rPr>
      <w:rFonts w:asciiTheme="majorHAnsi" w:eastAsiaTheme="majorEastAsia" w:hAnsiTheme="majorHAnsi" w:cstheme="majorBidi"/>
      <w:b/>
      <w:bCs/>
      <w:color w:val="2CD5C4" w:themeColor="accent1"/>
      <w:sz w:val="26"/>
      <w:szCs w:val="26"/>
    </w:rPr>
  </w:style>
  <w:style w:type="paragraph" w:styleId="Titre3">
    <w:name w:val="heading 3"/>
    <w:basedOn w:val="Normal"/>
    <w:next w:val="Normal"/>
    <w:link w:val="Titre3Car"/>
    <w:uiPriority w:val="99"/>
    <w:semiHidden/>
    <w:qFormat/>
    <w:rsid w:val="000D1C53"/>
    <w:pPr>
      <w:keepNext/>
      <w:keepLines/>
      <w:spacing w:before="200"/>
      <w:outlineLvl w:val="2"/>
    </w:pPr>
    <w:rPr>
      <w:rFonts w:asciiTheme="majorHAnsi" w:eastAsiaTheme="majorEastAsia" w:hAnsiTheme="majorHAnsi" w:cstheme="majorBidi"/>
      <w:b/>
      <w:bCs/>
      <w:color w:val="2CD5C4" w:themeColor="accent1"/>
    </w:rPr>
  </w:style>
  <w:style w:type="paragraph" w:styleId="Titre4">
    <w:name w:val="heading 4"/>
    <w:basedOn w:val="Normal"/>
    <w:next w:val="Normal"/>
    <w:link w:val="Titre4Car"/>
    <w:uiPriority w:val="99"/>
    <w:semiHidden/>
    <w:qFormat/>
    <w:rsid w:val="00332FAC"/>
    <w:pPr>
      <w:keepNext/>
      <w:keepLines/>
      <w:spacing w:before="40"/>
      <w:outlineLvl w:val="3"/>
    </w:pPr>
    <w:rPr>
      <w:rFonts w:asciiTheme="majorHAnsi" w:eastAsiaTheme="majorEastAsia" w:hAnsiTheme="majorHAnsi" w:cstheme="majorBidi"/>
      <w:i/>
      <w:iCs/>
      <w:color w:val="20A093"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Paragraphe EI,Paragraphe de liste1,EC,Normal bullet 2,Bullet list,List Paragraph1,Numbered List,1st level - Bullet List Paragraph,Lettre d'introduction,Paragrafo elenco,Medium Grid 1 - Accent 21,List Paragraph11,Dot pt"/>
    <w:basedOn w:val="Normal"/>
    <w:link w:val="ParagraphedelisteCar"/>
    <w:uiPriority w:val="34"/>
    <w:qFormat/>
    <w:rsid w:val="001943B3"/>
    <w:pPr>
      <w:ind w:left="720"/>
      <w:contextualSpacing/>
    </w:pPr>
  </w:style>
  <w:style w:type="paragraph" w:customStyle="1" w:styleId="Parties">
    <w:name w:val="Parties"/>
    <w:uiPriority w:val="10"/>
    <w:qFormat/>
    <w:rsid w:val="0010167E"/>
    <w:pPr>
      <w:numPr>
        <w:numId w:val="1"/>
      </w:numPr>
    </w:pPr>
  </w:style>
  <w:style w:type="paragraph" w:customStyle="1" w:styleId="Recitals">
    <w:name w:val="Recitals"/>
    <w:next w:val="RecitalsA"/>
    <w:uiPriority w:val="10"/>
    <w:qFormat/>
    <w:rsid w:val="0010167E"/>
    <w:pPr>
      <w:keepNext/>
    </w:pPr>
    <w:rPr>
      <w:b/>
      <w:caps/>
    </w:rPr>
  </w:style>
  <w:style w:type="paragraph" w:customStyle="1" w:styleId="RecitalsA">
    <w:name w:val="Recitals (A)"/>
    <w:uiPriority w:val="10"/>
    <w:qFormat/>
    <w:rsid w:val="0010167E"/>
    <w:pPr>
      <w:numPr>
        <w:numId w:val="2"/>
      </w:numPr>
    </w:pPr>
  </w:style>
  <w:style w:type="paragraph" w:customStyle="1" w:styleId="ALGHd1">
    <w:name w:val="ALG Hd 1"/>
    <w:basedOn w:val="ALGNo1"/>
    <w:next w:val="ALGHd2"/>
    <w:uiPriority w:val="1"/>
    <w:qFormat/>
    <w:rsid w:val="004649A1"/>
    <w:pPr>
      <w:keepNext/>
      <w:jc w:val="left"/>
      <w:outlineLvl w:val="0"/>
    </w:pPr>
    <w:rPr>
      <w:b/>
      <w:caps/>
    </w:rPr>
  </w:style>
  <w:style w:type="paragraph" w:customStyle="1" w:styleId="ALGHd2">
    <w:name w:val="ALG Hd 2"/>
    <w:basedOn w:val="ALGNo2"/>
    <w:next w:val="Body2ALG"/>
    <w:uiPriority w:val="1"/>
    <w:qFormat/>
    <w:rsid w:val="004649A1"/>
    <w:pPr>
      <w:keepNext/>
      <w:jc w:val="left"/>
      <w:outlineLvl w:val="1"/>
    </w:pPr>
    <w:rPr>
      <w:b/>
    </w:rPr>
  </w:style>
  <w:style w:type="paragraph" w:customStyle="1" w:styleId="ALGNo1">
    <w:name w:val="ALG No 1"/>
    <w:uiPriority w:val="1"/>
    <w:qFormat/>
    <w:rsid w:val="0010167E"/>
    <w:pPr>
      <w:numPr>
        <w:numId w:val="3"/>
      </w:numPr>
    </w:pPr>
  </w:style>
  <w:style w:type="paragraph" w:customStyle="1" w:styleId="ALGNo2">
    <w:name w:val="ALG No 2"/>
    <w:uiPriority w:val="1"/>
    <w:qFormat/>
    <w:rsid w:val="0010167E"/>
    <w:pPr>
      <w:numPr>
        <w:ilvl w:val="1"/>
        <w:numId w:val="3"/>
      </w:numPr>
    </w:pPr>
  </w:style>
  <w:style w:type="paragraph" w:customStyle="1" w:styleId="ALGHd3">
    <w:name w:val="ALG Hd 3"/>
    <w:basedOn w:val="ALGNo3"/>
    <w:next w:val="Body3ALG"/>
    <w:uiPriority w:val="1"/>
    <w:qFormat/>
    <w:rsid w:val="004649A1"/>
    <w:pPr>
      <w:keepNext/>
      <w:jc w:val="left"/>
      <w:outlineLvl w:val="2"/>
    </w:pPr>
    <w:rPr>
      <w:b/>
      <w:i/>
    </w:rPr>
  </w:style>
  <w:style w:type="paragraph" w:customStyle="1" w:styleId="ALGNo3">
    <w:name w:val="ALG No 3"/>
    <w:uiPriority w:val="1"/>
    <w:qFormat/>
    <w:rsid w:val="0010167E"/>
    <w:pPr>
      <w:numPr>
        <w:ilvl w:val="2"/>
        <w:numId w:val="3"/>
      </w:numPr>
    </w:pPr>
  </w:style>
  <w:style w:type="paragraph" w:customStyle="1" w:styleId="ALGNo4">
    <w:name w:val="ALG No 4"/>
    <w:uiPriority w:val="1"/>
    <w:qFormat/>
    <w:rsid w:val="0010167E"/>
    <w:pPr>
      <w:numPr>
        <w:ilvl w:val="3"/>
        <w:numId w:val="3"/>
      </w:numPr>
    </w:pPr>
  </w:style>
  <w:style w:type="paragraph" w:customStyle="1" w:styleId="ALGNo5">
    <w:name w:val="ALG No 5"/>
    <w:uiPriority w:val="1"/>
    <w:qFormat/>
    <w:rsid w:val="0010167E"/>
    <w:pPr>
      <w:numPr>
        <w:ilvl w:val="4"/>
        <w:numId w:val="3"/>
      </w:numPr>
    </w:pPr>
  </w:style>
  <w:style w:type="paragraph" w:customStyle="1" w:styleId="Body1ALG">
    <w:name w:val="Body 1 ALG"/>
    <w:uiPriority w:val="1"/>
    <w:qFormat/>
    <w:rsid w:val="00831F99"/>
    <w:pPr>
      <w:ind w:left="624"/>
    </w:pPr>
  </w:style>
  <w:style w:type="paragraph" w:customStyle="1" w:styleId="Body2ALG">
    <w:name w:val="Body 2 ALG"/>
    <w:uiPriority w:val="2"/>
    <w:qFormat/>
    <w:rsid w:val="00831F99"/>
    <w:pPr>
      <w:ind w:left="624"/>
    </w:pPr>
  </w:style>
  <w:style w:type="paragraph" w:customStyle="1" w:styleId="Body3ALG">
    <w:name w:val="Body 3 ALG"/>
    <w:uiPriority w:val="4"/>
    <w:qFormat/>
    <w:rsid w:val="00E36AA8"/>
    <w:pPr>
      <w:ind w:left="1474"/>
    </w:pPr>
  </w:style>
  <w:style w:type="paragraph" w:customStyle="1" w:styleId="Body4ALG">
    <w:name w:val="Body 4 ALG"/>
    <w:uiPriority w:val="5"/>
    <w:qFormat/>
    <w:rsid w:val="00831F99"/>
    <w:pPr>
      <w:ind w:left="1814"/>
    </w:pPr>
  </w:style>
  <w:style w:type="paragraph" w:customStyle="1" w:styleId="Body5ALG">
    <w:name w:val="Body 5 ALG"/>
    <w:uiPriority w:val="7"/>
    <w:qFormat/>
    <w:rsid w:val="00831F99"/>
    <w:pPr>
      <w:ind w:left="2211"/>
    </w:pPr>
  </w:style>
  <w:style w:type="paragraph" w:customStyle="1" w:styleId="ALGHd4">
    <w:name w:val="ALG Hd 4"/>
    <w:basedOn w:val="ALGNo4"/>
    <w:next w:val="Body4ALG"/>
    <w:uiPriority w:val="1"/>
    <w:qFormat/>
    <w:rsid w:val="00064E71"/>
    <w:pPr>
      <w:keepNext/>
      <w:jc w:val="left"/>
    </w:pPr>
    <w:rPr>
      <w:i/>
    </w:rPr>
  </w:style>
  <w:style w:type="paragraph" w:customStyle="1" w:styleId="ScheduleHeading">
    <w:name w:val="Schedule Heading"/>
    <w:next w:val="BodyALG"/>
    <w:uiPriority w:val="28"/>
    <w:qFormat/>
    <w:rsid w:val="00831F99"/>
    <w:pPr>
      <w:pageBreakBefore/>
      <w:widowControl w:val="0"/>
      <w:numPr>
        <w:numId w:val="5"/>
      </w:numPr>
      <w:jc w:val="center"/>
      <w:outlineLvl w:val="0"/>
    </w:pPr>
    <w:rPr>
      <w:b/>
      <w:caps/>
    </w:rPr>
  </w:style>
  <w:style w:type="paragraph" w:customStyle="1" w:styleId="SchedulePart">
    <w:name w:val="Schedule Part"/>
    <w:next w:val="BodyALG"/>
    <w:uiPriority w:val="28"/>
    <w:qFormat/>
    <w:rsid w:val="004649A1"/>
    <w:pPr>
      <w:keepNext/>
      <w:widowControl w:val="0"/>
      <w:numPr>
        <w:ilvl w:val="1"/>
        <w:numId w:val="5"/>
      </w:numPr>
      <w:jc w:val="center"/>
      <w:outlineLvl w:val="1"/>
    </w:pPr>
    <w:rPr>
      <w:b/>
    </w:rPr>
  </w:style>
  <w:style w:type="paragraph" w:customStyle="1" w:styleId="Schedule1Number">
    <w:name w:val="Schedule 1 Number"/>
    <w:uiPriority w:val="30"/>
    <w:qFormat/>
    <w:rsid w:val="0010167E"/>
    <w:pPr>
      <w:numPr>
        <w:ilvl w:val="2"/>
        <w:numId w:val="5"/>
      </w:numPr>
    </w:pPr>
  </w:style>
  <w:style w:type="paragraph" w:customStyle="1" w:styleId="Schedule2Number">
    <w:name w:val="Schedule 2 Number"/>
    <w:uiPriority w:val="30"/>
    <w:qFormat/>
    <w:rsid w:val="0010167E"/>
    <w:pPr>
      <w:numPr>
        <w:ilvl w:val="3"/>
        <w:numId w:val="5"/>
      </w:numPr>
    </w:pPr>
  </w:style>
  <w:style w:type="paragraph" w:customStyle="1" w:styleId="Schedule3Number">
    <w:name w:val="Schedule 3 Number"/>
    <w:uiPriority w:val="30"/>
    <w:qFormat/>
    <w:rsid w:val="0010167E"/>
    <w:pPr>
      <w:numPr>
        <w:ilvl w:val="4"/>
        <w:numId w:val="5"/>
      </w:numPr>
    </w:pPr>
  </w:style>
  <w:style w:type="paragraph" w:customStyle="1" w:styleId="AppendixHeading">
    <w:name w:val="Appendix Heading"/>
    <w:next w:val="BodyALG"/>
    <w:uiPriority w:val="32"/>
    <w:qFormat/>
    <w:rsid w:val="004649A1"/>
    <w:pPr>
      <w:pageBreakBefore/>
      <w:widowControl w:val="0"/>
      <w:numPr>
        <w:numId w:val="6"/>
      </w:numPr>
      <w:jc w:val="center"/>
      <w:outlineLvl w:val="0"/>
    </w:pPr>
    <w:rPr>
      <w:b/>
      <w:caps/>
    </w:rPr>
  </w:style>
  <w:style w:type="paragraph" w:customStyle="1" w:styleId="AppendixPart">
    <w:name w:val="Appendix Part"/>
    <w:next w:val="BodyALG"/>
    <w:uiPriority w:val="33"/>
    <w:qFormat/>
    <w:rsid w:val="004649A1"/>
    <w:pPr>
      <w:keepNext/>
      <w:widowControl w:val="0"/>
      <w:numPr>
        <w:ilvl w:val="1"/>
        <w:numId w:val="6"/>
      </w:numPr>
      <w:jc w:val="center"/>
      <w:outlineLvl w:val="1"/>
    </w:pPr>
    <w:rPr>
      <w:b/>
    </w:rPr>
  </w:style>
  <w:style w:type="paragraph" w:customStyle="1" w:styleId="Appendix1Number">
    <w:name w:val="Appendix 1 Number"/>
    <w:next w:val="Body1ALG"/>
    <w:uiPriority w:val="34"/>
    <w:qFormat/>
    <w:rsid w:val="0010167E"/>
    <w:pPr>
      <w:numPr>
        <w:ilvl w:val="2"/>
        <w:numId w:val="6"/>
      </w:numPr>
    </w:pPr>
  </w:style>
  <w:style w:type="paragraph" w:customStyle="1" w:styleId="Appendix2Number">
    <w:name w:val="Appendix 2 Number"/>
    <w:next w:val="Body2ALG"/>
    <w:uiPriority w:val="34"/>
    <w:qFormat/>
    <w:rsid w:val="0010167E"/>
    <w:pPr>
      <w:numPr>
        <w:ilvl w:val="3"/>
        <w:numId w:val="6"/>
      </w:numPr>
    </w:pPr>
  </w:style>
  <w:style w:type="paragraph" w:customStyle="1" w:styleId="Appendix3Number">
    <w:name w:val="Appendix 3 Number"/>
    <w:next w:val="Body3ALG"/>
    <w:uiPriority w:val="34"/>
    <w:qFormat/>
    <w:rsid w:val="0010167E"/>
    <w:pPr>
      <w:numPr>
        <w:ilvl w:val="4"/>
        <w:numId w:val="6"/>
      </w:numPr>
    </w:pPr>
  </w:style>
  <w:style w:type="paragraph" w:customStyle="1" w:styleId="BulletL1">
    <w:name w:val="Bullet L1"/>
    <w:uiPriority w:val="24"/>
    <w:qFormat/>
    <w:rsid w:val="0010167E"/>
    <w:pPr>
      <w:numPr>
        <w:numId w:val="7"/>
      </w:numPr>
    </w:pPr>
  </w:style>
  <w:style w:type="paragraph" w:styleId="En-tte">
    <w:name w:val="header"/>
    <w:link w:val="En-tteCar"/>
    <w:uiPriority w:val="99"/>
    <w:unhideWhenUsed/>
    <w:rsid w:val="00DE71D1"/>
    <w:pPr>
      <w:tabs>
        <w:tab w:val="center" w:pos="4513"/>
        <w:tab w:val="right" w:pos="9026"/>
      </w:tabs>
      <w:spacing w:before="0" w:line="240" w:lineRule="auto"/>
    </w:pPr>
    <w:rPr>
      <w:sz w:val="16"/>
    </w:rPr>
  </w:style>
  <w:style w:type="paragraph" w:customStyle="1" w:styleId="Definition">
    <w:name w:val="Definition"/>
    <w:uiPriority w:val="17"/>
    <w:qFormat/>
    <w:rsid w:val="0010167E"/>
    <w:pPr>
      <w:numPr>
        <w:numId w:val="4"/>
      </w:numPr>
    </w:pPr>
  </w:style>
  <w:style w:type="paragraph" w:customStyle="1" w:styleId="Definitiona">
    <w:name w:val="Definition (a)"/>
    <w:uiPriority w:val="18"/>
    <w:qFormat/>
    <w:rsid w:val="0010167E"/>
    <w:pPr>
      <w:numPr>
        <w:ilvl w:val="1"/>
        <w:numId w:val="4"/>
      </w:numPr>
    </w:pPr>
  </w:style>
  <w:style w:type="paragraph" w:customStyle="1" w:styleId="Definitioni">
    <w:name w:val="Definition (i)"/>
    <w:uiPriority w:val="19"/>
    <w:qFormat/>
    <w:rsid w:val="0010167E"/>
    <w:pPr>
      <w:numPr>
        <w:ilvl w:val="2"/>
        <w:numId w:val="4"/>
      </w:numPr>
      <w:ind w:left="1815" w:hanging="454"/>
    </w:pPr>
  </w:style>
  <w:style w:type="paragraph" w:customStyle="1" w:styleId="DefinitionA0">
    <w:name w:val="Definition (A)"/>
    <w:uiPriority w:val="20"/>
    <w:qFormat/>
    <w:rsid w:val="0010167E"/>
    <w:pPr>
      <w:numPr>
        <w:ilvl w:val="3"/>
        <w:numId w:val="4"/>
      </w:numPr>
    </w:pPr>
  </w:style>
  <w:style w:type="character" w:customStyle="1" w:styleId="En-tteCar">
    <w:name w:val="En-tête Car"/>
    <w:basedOn w:val="Policepardfaut"/>
    <w:link w:val="En-tte"/>
    <w:uiPriority w:val="99"/>
    <w:rsid w:val="0044085F"/>
    <w:rPr>
      <w:sz w:val="16"/>
    </w:rPr>
  </w:style>
  <w:style w:type="paragraph" w:styleId="Pieddepage">
    <w:name w:val="footer"/>
    <w:link w:val="PieddepageCar"/>
    <w:uiPriority w:val="99"/>
    <w:unhideWhenUsed/>
    <w:rsid w:val="00C6119B"/>
    <w:pPr>
      <w:tabs>
        <w:tab w:val="center" w:pos="4513"/>
        <w:tab w:val="right" w:pos="9026"/>
      </w:tabs>
      <w:spacing w:before="0" w:line="240" w:lineRule="auto"/>
    </w:pPr>
    <w:rPr>
      <w:color w:val="595959"/>
      <w:sz w:val="16"/>
    </w:rPr>
  </w:style>
  <w:style w:type="character" w:customStyle="1" w:styleId="PieddepageCar">
    <w:name w:val="Pied de page Car"/>
    <w:basedOn w:val="Policepardfaut"/>
    <w:link w:val="Pieddepage"/>
    <w:uiPriority w:val="99"/>
    <w:rsid w:val="0044085F"/>
    <w:rPr>
      <w:color w:val="595959"/>
      <w:sz w:val="16"/>
    </w:rPr>
  </w:style>
  <w:style w:type="paragraph" w:styleId="Notedebasdepage">
    <w:name w:val="footnote text"/>
    <w:aliases w:val="Footnote Text Char1,Footnote Text Char Char,Fußnotentext Char Char Char,Fußnotentext Char1 Char Char Char,Fußnotentext Char Char Char Char Char,Fußnotentext Char1 Char Char Char Char Char,Char3,Fußnote,FSR footnote,lábléc"/>
    <w:link w:val="NotedebasdepageCar"/>
    <w:uiPriority w:val="99"/>
    <w:unhideWhenUsed/>
    <w:qFormat/>
    <w:rsid w:val="00707B6C"/>
    <w:pPr>
      <w:spacing w:before="0" w:after="240" w:line="240" w:lineRule="auto"/>
    </w:pPr>
    <w:rPr>
      <w:i/>
      <w:color w:val="595959"/>
      <w:sz w:val="16"/>
      <w:szCs w:val="20"/>
    </w:rPr>
  </w:style>
  <w:style w:type="character" w:customStyle="1" w:styleId="NotedebasdepageCar">
    <w:name w:val="Note de bas de page Car"/>
    <w:aliases w:val="Footnote Text Char1 Car,Footnote Text Char Char Car,Fußnotentext Char Char Char Car,Fußnotentext Char1 Char Char Char Car,Fußnotentext Char Char Char Char Char Car,Fußnotentext Char1 Char Char Char Char Char Car,Char3 Car"/>
    <w:basedOn w:val="Policepardfaut"/>
    <w:link w:val="Notedebasdepage"/>
    <w:uiPriority w:val="99"/>
    <w:rsid w:val="00707B6C"/>
    <w:rPr>
      <w:i/>
      <w:color w:val="595959"/>
      <w:sz w:val="16"/>
      <w:szCs w:val="20"/>
    </w:rPr>
  </w:style>
  <w:style w:type="character" w:styleId="Appelnotedebasdep">
    <w:name w:val="footnote reference"/>
    <w:aliases w:val="SUPERS,Footnote reference number,Footnote symbol,note TESI,-E Fußnotenzeichen,number,BVI fnr,Footnote,Footnote Reference Superscript,(Footnote Reference),EN Footnote Reference,Voetnootverwijzing,Times 10 Point,Exposant 3 Point"/>
    <w:basedOn w:val="Policepardfaut"/>
    <w:uiPriority w:val="99"/>
    <w:unhideWhenUsed/>
    <w:qFormat/>
    <w:rsid w:val="00E81196"/>
    <w:rPr>
      <w:b/>
      <w:vertAlign w:val="superscript"/>
    </w:rPr>
  </w:style>
  <w:style w:type="paragraph" w:styleId="Notedefin">
    <w:name w:val="endnote text"/>
    <w:link w:val="NotedefinCar"/>
    <w:uiPriority w:val="99"/>
    <w:unhideWhenUsed/>
    <w:rsid w:val="00147A60"/>
    <w:pPr>
      <w:spacing w:before="0" w:line="240" w:lineRule="auto"/>
    </w:pPr>
    <w:rPr>
      <w:sz w:val="16"/>
      <w:szCs w:val="20"/>
    </w:rPr>
  </w:style>
  <w:style w:type="character" w:customStyle="1" w:styleId="NotedefinCar">
    <w:name w:val="Note de fin Car"/>
    <w:basedOn w:val="Policepardfaut"/>
    <w:link w:val="Notedefin"/>
    <w:uiPriority w:val="99"/>
    <w:rsid w:val="004A1800"/>
    <w:rPr>
      <w:sz w:val="16"/>
      <w:szCs w:val="20"/>
    </w:rPr>
  </w:style>
  <w:style w:type="paragraph" w:styleId="TM1">
    <w:name w:val="toc 1"/>
    <w:next w:val="BodyALG"/>
    <w:autoRedefine/>
    <w:uiPriority w:val="39"/>
    <w:unhideWhenUsed/>
    <w:rsid w:val="00090037"/>
    <w:pPr>
      <w:tabs>
        <w:tab w:val="right" w:leader="dot" w:pos="9877"/>
      </w:tabs>
      <w:spacing w:before="120"/>
      <w:ind w:left="624" w:hanging="624"/>
    </w:pPr>
    <w:rPr>
      <w:b/>
      <w:bCs/>
      <w:noProof/>
    </w:rPr>
  </w:style>
  <w:style w:type="paragraph" w:styleId="TM2">
    <w:name w:val="toc 2"/>
    <w:next w:val="BodyALG"/>
    <w:autoRedefine/>
    <w:uiPriority w:val="39"/>
    <w:unhideWhenUsed/>
    <w:rsid w:val="00F737C9"/>
    <w:pPr>
      <w:tabs>
        <w:tab w:val="right" w:leader="dot" w:pos="9877"/>
      </w:tabs>
      <w:spacing w:before="120"/>
      <w:ind w:left="454" w:hanging="454"/>
    </w:pPr>
  </w:style>
  <w:style w:type="character" w:customStyle="1" w:styleId="Titre1Car">
    <w:name w:val="Titre 1 Car"/>
    <w:basedOn w:val="Policepardfaut"/>
    <w:link w:val="Titre1"/>
    <w:uiPriority w:val="9"/>
    <w:rsid w:val="004205D4"/>
    <w:rPr>
      <w:rFonts w:asciiTheme="majorHAnsi" w:eastAsiaTheme="majorEastAsia" w:hAnsiTheme="majorHAnsi" w:cstheme="majorBidi"/>
      <w:b/>
      <w:bCs/>
      <w:color w:val="20A093" w:themeColor="accent1" w:themeShade="BF"/>
      <w:sz w:val="28"/>
      <w:szCs w:val="28"/>
    </w:rPr>
  </w:style>
  <w:style w:type="paragraph" w:styleId="En-ttedetabledesmatires">
    <w:name w:val="TOC Heading"/>
    <w:next w:val="Normal"/>
    <w:uiPriority w:val="99"/>
    <w:semiHidden/>
    <w:rsid w:val="006D7D4D"/>
    <w:pPr>
      <w:spacing w:line="276" w:lineRule="auto"/>
      <w:jc w:val="center"/>
    </w:pPr>
    <w:rPr>
      <w:rFonts w:eastAsiaTheme="majorEastAsia" w:cstheme="majorBidi"/>
      <w:b/>
      <w:bCs/>
      <w:szCs w:val="28"/>
      <w:lang w:val="en-US" w:eastAsia="ja-JP"/>
    </w:rPr>
  </w:style>
  <w:style w:type="paragraph" w:styleId="TM3">
    <w:name w:val="toc 3"/>
    <w:basedOn w:val="TM1"/>
    <w:next w:val="BodyALG"/>
    <w:autoRedefine/>
    <w:uiPriority w:val="39"/>
    <w:rsid w:val="0027119E"/>
    <w:pPr>
      <w:ind w:firstLine="0"/>
      <w:jc w:val="center"/>
    </w:pPr>
  </w:style>
  <w:style w:type="paragraph" w:styleId="Textedebulles">
    <w:name w:val="Balloon Text"/>
    <w:basedOn w:val="Normal"/>
    <w:link w:val="TextedebullesCar"/>
    <w:uiPriority w:val="99"/>
    <w:semiHidden/>
    <w:rsid w:val="008B1173"/>
    <w:pPr>
      <w:spacing w:before="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205D4"/>
    <w:rPr>
      <w:rFonts w:ascii="Tahoma" w:hAnsi="Tahoma" w:cs="Tahoma"/>
      <w:sz w:val="16"/>
      <w:szCs w:val="16"/>
    </w:rPr>
  </w:style>
  <w:style w:type="character" w:customStyle="1" w:styleId="Titre2Car">
    <w:name w:val="Titre 2 Car"/>
    <w:basedOn w:val="Policepardfaut"/>
    <w:link w:val="Titre2"/>
    <w:uiPriority w:val="99"/>
    <w:semiHidden/>
    <w:rsid w:val="004205D4"/>
    <w:rPr>
      <w:rFonts w:asciiTheme="majorHAnsi" w:eastAsiaTheme="majorEastAsia" w:hAnsiTheme="majorHAnsi" w:cstheme="majorBidi"/>
      <w:b/>
      <w:bCs/>
      <w:color w:val="2CD5C4" w:themeColor="accent1"/>
      <w:sz w:val="26"/>
      <w:szCs w:val="26"/>
    </w:rPr>
  </w:style>
  <w:style w:type="character" w:styleId="Lienhypertexte">
    <w:name w:val="Hyperlink"/>
    <w:basedOn w:val="Policepardfaut"/>
    <w:uiPriority w:val="99"/>
    <w:rsid w:val="000D2F0F"/>
    <w:rPr>
      <w:b w:val="0"/>
      <w:i w:val="0"/>
      <w:color w:val="2CD5C4" w:themeColor="hyperlink"/>
      <w:u w:val="single"/>
    </w:rPr>
  </w:style>
  <w:style w:type="table" w:styleId="Grilledutableau">
    <w:name w:val="Table Grid"/>
    <w:basedOn w:val="TableauNormal"/>
    <w:uiPriority w:val="39"/>
    <w:rsid w:val="006D0F28"/>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ALG">
    <w:name w:val="Body ALG"/>
    <w:link w:val="BodyALGChar"/>
    <w:qFormat/>
    <w:rsid w:val="005F48B0"/>
  </w:style>
  <w:style w:type="paragraph" w:customStyle="1" w:styleId="ALGNo6">
    <w:name w:val="ALG No 6"/>
    <w:uiPriority w:val="1"/>
    <w:unhideWhenUsed/>
    <w:qFormat/>
    <w:rsid w:val="0010167E"/>
    <w:pPr>
      <w:numPr>
        <w:ilvl w:val="5"/>
        <w:numId w:val="3"/>
      </w:numPr>
    </w:pPr>
  </w:style>
  <w:style w:type="paragraph" w:customStyle="1" w:styleId="ALGNo7">
    <w:name w:val="ALG No 7"/>
    <w:uiPriority w:val="1"/>
    <w:unhideWhenUsed/>
    <w:qFormat/>
    <w:rsid w:val="0010167E"/>
    <w:pPr>
      <w:numPr>
        <w:ilvl w:val="6"/>
        <w:numId w:val="3"/>
      </w:numPr>
    </w:pPr>
  </w:style>
  <w:style w:type="paragraph" w:customStyle="1" w:styleId="Body6ALG">
    <w:name w:val="Body 6 ALG"/>
    <w:uiPriority w:val="9"/>
    <w:qFormat/>
    <w:rsid w:val="00831F99"/>
    <w:pPr>
      <w:ind w:left="2608"/>
    </w:pPr>
  </w:style>
  <w:style w:type="paragraph" w:customStyle="1" w:styleId="Body7ALG">
    <w:name w:val="Body 7 ALG"/>
    <w:uiPriority w:val="10"/>
    <w:qFormat/>
    <w:rsid w:val="00831F99"/>
    <w:pPr>
      <w:ind w:left="3005"/>
    </w:pPr>
  </w:style>
  <w:style w:type="paragraph" w:customStyle="1" w:styleId="Schedule4Number">
    <w:name w:val="Schedule 4 Number"/>
    <w:uiPriority w:val="30"/>
    <w:qFormat/>
    <w:rsid w:val="0010167E"/>
    <w:pPr>
      <w:numPr>
        <w:ilvl w:val="5"/>
        <w:numId w:val="5"/>
      </w:numPr>
    </w:pPr>
  </w:style>
  <w:style w:type="paragraph" w:customStyle="1" w:styleId="Schedule5Number">
    <w:name w:val="Schedule 5 Number"/>
    <w:uiPriority w:val="30"/>
    <w:qFormat/>
    <w:rsid w:val="0010167E"/>
    <w:pPr>
      <w:numPr>
        <w:ilvl w:val="6"/>
        <w:numId w:val="5"/>
      </w:numPr>
    </w:pPr>
  </w:style>
  <w:style w:type="paragraph" w:customStyle="1" w:styleId="Appendix4Number">
    <w:name w:val="Appendix 4 Number"/>
    <w:next w:val="Body4ALG"/>
    <w:uiPriority w:val="34"/>
    <w:qFormat/>
    <w:rsid w:val="0010167E"/>
    <w:pPr>
      <w:numPr>
        <w:ilvl w:val="5"/>
        <w:numId w:val="6"/>
      </w:numPr>
      <w:ind w:left="1815" w:hanging="454"/>
    </w:pPr>
  </w:style>
  <w:style w:type="paragraph" w:customStyle="1" w:styleId="Appendix5Number">
    <w:name w:val="Appendix 5 Number"/>
    <w:next w:val="Body5ALG"/>
    <w:uiPriority w:val="34"/>
    <w:qFormat/>
    <w:rsid w:val="0010167E"/>
    <w:pPr>
      <w:numPr>
        <w:ilvl w:val="6"/>
        <w:numId w:val="6"/>
      </w:numPr>
    </w:pPr>
  </w:style>
  <w:style w:type="table" w:customStyle="1" w:styleId="ALGTable2">
    <w:name w:val="ALG Table 2"/>
    <w:basedOn w:val="ALGTable"/>
    <w:uiPriority w:val="99"/>
    <w:rsid w:val="006D0F28"/>
    <w:pPr>
      <w:jc w:val="both"/>
    </w:pPr>
    <w:tblPr/>
    <w:tblStylePr w:type="firstRow">
      <w:rPr>
        <w:rFonts w:ascii="Tahoma" w:hAnsi="Tahoma"/>
        <w:b/>
        <w:color w:val="2CD5C4" w:themeColor="accent1"/>
        <w:sz w:val="18"/>
      </w:rPr>
      <w:tblPr/>
      <w:tcPr>
        <w:shd w:val="clear" w:color="auto" w:fill="3E3935" w:themeFill="accent4"/>
      </w:tcPr>
    </w:tblStylePr>
  </w:style>
  <w:style w:type="paragraph" w:customStyle="1" w:styleId="Schedule1Heading">
    <w:name w:val="Schedule 1 Heading"/>
    <w:basedOn w:val="Schedule1Number"/>
    <w:next w:val="Schedule2Heading"/>
    <w:uiPriority w:val="29"/>
    <w:qFormat/>
    <w:rsid w:val="00707B6C"/>
    <w:pPr>
      <w:keepNext/>
      <w:jc w:val="left"/>
      <w:outlineLvl w:val="0"/>
    </w:pPr>
    <w:rPr>
      <w:b/>
      <w:caps/>
    </w:rPr>
  </w:style>
  <w:style w:type="paragraph" w:customStyle="1" w:styleId="Schedule2Heading">
    <w:name w:val="Schedule 2 Heading"/>
    <w:basedOn w:val="Schedule2Number"/>
    <w:next w:val="Body2ALG"/>
    <w:uiPriority w:val="29"/>
    <w:qFormat/>
    <w:rsid w:val="00707B6C"/>
    <w:pPr>
      <w:keepNext/>
      <w:jc w:val="left"/>
      <w:outlineLvl w:val="1"/>
    </w:pPr>
    <w:rPr>
      <w:b/>
    </w:rPr>
  </w:style>
  <w:style w:type="paragraph" w:customStyle="1" w:styleId="Schedule3Heading">
    <w:name w:val="Schedule 3 Heading"/>
    <w:basedOn w:val="Schedule3Number"/>
    <w:next w:val="Body3ALG"/>
    <w:uiPriority w:val="29"/>
    <w:qFormat/>
    <w:rsid w:val="00707B6C"/>
    <w:pPr>
      <w:keepNext/>
      <w:jc w:val="left"/>
      <w:outlineLvl w:val="2"/>
    </w:pPr>
    <w:rPr>
      <w:b/>
      <w:i/>
    </w:rPr>
  </w:style>
  <w:style w:type="character" w:customStyle="1" w:styleId="Titre3Car">
    <w:name w:val="Titre 3 Car"/>
    <w:basedOn w:val="Policepardfaut"/>
    <w:link w:val="Titre3"/>
    <w:uiPriority w:val="99"/>
    <w:semiHidden/>
    <w:rsid w:val="000D1C53"/>
    <w:rPr>
      <w:rFonts w:asciiTheme="majorHAnsi" w:eastAsiaTheme="majorEastAsia" w:hAnsiTheme="majorHAnsi" w:cstheme="majorBidi"/>
      <w:b/>
      <w:bCs/>
      <w:color w:val="2CD5C4" w:themeColor="accent1"/>
    </w:rPr>
  </w:style>
  <w:style w:type="table" w:customStyle="1" w:styleId="ALGTable3">
    <w:name w:val="ALG Table 3"/>
    <w:basedOn w:val="ALGTable"/>
    <w:uiPriority w:val="99"/>
    <w:rsid w:val="006D0F28"/>
    <w:pPr>
      <w:jc w:val="both"/>
    </w:pPr>
    <w:tblPr/>
    <w:tblStylePr w:type="firstRow">
      <w:rPr>
        <w:rFonts w:ascii="Arial" w:hAnsi="Arial"/>
        <w:sz w:val="18"/>
      </w:rPr>
      <w:tblPr/>
      <w:tcPr>
        <w:shd w:val="clear" w:color="auto" w:fill="FFFFFF" w:themeFill="background1"/>
      </w:tcPr>
    </w:tblStylePr>
    <w:tblStylePr w:type="firstCol">
      <w:rPr>
        <w:b/>
        <w:i w:val="0"/>
      </w:rPr>
      <w:tblPr/>
      <w:tcPr>
        <w:shd w:val="clear" w:color="auto" w:fill="2CD5C4" w:themeFill="accent1"/>
      </w:tcPr>
    </w:tblStylePr>
    <w:tblStylePr w:type="nwCell">
      <w:tblPr/>
      <w:tcPr>
        <w:shd w:val="clear" w:color="auto" w:fill="2CD5C4" w:themeFill="accent1"/>
      </w:tcPr>
    </w:tblStylePr>
  </w:style>
  <w:style w:type="paragraph" w:customStyle="1" w:styleId="TOCTitle">
    <w:name w:val="TOC Title"/>
    <w:basedOn w:val="BodyALG"/>
    <w:next w:val="BodyALG"/>
    <w:uiPriority w:val="99"/>
    <w:unhideWhenUsed/>
    <w:qFormat/>
    <w:rsid w:val="00904993"/>
    <w:pPr>
      <w:jc w:val="center"/>
    </w:pPr>
    <w:rPr>
      <w:rFonts w:ascii="Arial Bold" w:hAnsi="Arial Bold"/>
      <w:b/>
      <w:caps/>
    </w:rPr>
  </w:style>
  <w:style w:type="paragraph" w:customStyle="1" w:styleId="Singleline">
    <w:name w:val="Singleline"/>
    <w:uiPriority w:val="99"/>
    <w:qFormat/>
    <w:rsid w:val="00293FA7"/>
    <w:pPr>
      <w:spacing w:before="0" w:line="240" w:lineRule="auto"/>
    </w:pPr>
  </w:style>
  <w:style w:type="paragraph" w:customStyle="1" w:styleId="PrecNote1">
    <w:name w:val="PrecNote1"/>
    <w:uiPriority w:val="99"/>
    <w:qFormat/>
    <w:rsid w:val="00640547"/>
    <w:pPr>
      <w:numPr>
        <w:numId w:val="8"/>
      </w:numPr>
    </w:pPr>
    <w:rPr>
      <w:b/>
      <w:i/>
    </w:rPr>
  </w:style>
  <w:style w:type="paragraph" w:customStyle="1" w:styleId="BulletL2">
    <w:name w:val="Bullet L2"/>
    <w:uiPriority w:val="25"/>
    <w:qFormat/>
    <w:rsid w:val="008C74BA"/>
    <w:pPr>
      <w:numPr>
        <w:ilvl w:val="1"/>
        <w:numId w:val="7"/>
      </w:numPr>
    </w:pPr>
  </w:style>
  <w:style w:type="table" w:customStyle="1" w:styleId="ALGTable">
    <w:name w:val="ALG Table"/>
    <w:basedOn w:val="TableauNormal"/>
    <w:uiPriority w:val="99"/>
    <w:rsid w:val="00967917"/>
    <w:pPr>
      <w:spacing w:before="80" w:after="80" w:line="240" w:lineRule="auto"/>
      <w:jc w:val="left"/>
    </w:pPr>
    <w:rPr>
      <w:rFonts w:eastAsia="Batang"/>
      <w:sz w:val="18"/>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sz w:val="18"/>
      </w:rPr>
      <w:tblPr/>
      <w:tcPr>
        <w:shd w:val="clear" w:color="auto" w:fill="2CD5C4"/>
      </w:tcPr>
    </w:tblStylePr>
  </w:style>
  <w:style w:type="paragraph" w:customStyle="1" w:styleId="Schedule4Heading">
    <w:name w:val="Schedule 4 Heading"/>
    <w:basedOn w:val="Schedule4Number"/>
    <w:next w:val="Body4ALG"/>
    <w:uiPriority w:val="29"/>
    <w:qFormat/>
    <w:rsid w:val="00921BAE"/>
    <w:pPr>
      <w:keepNext/>
      <w:ind w:left="1815" w:hanging="454"/>
    </w:pPr>
    <w:rPr>
      <w:i/>
      <w:lang w:val="en-GB"/>
    </w:rPr>
  </w:style>
  <w:style w:type="character" w:styleId="Textedelespacerserv">
    <w:name w:val="Placeholder Text"/>
    <w:basedOn w:val="Policepardfaut"/>
    <w:uiPriority w:val="99"/>
    <w:semiHidden/>
    <w:rsid w:val="00A47FDE"/>
    <w:rPr>
      <w:color w:val="808080"/>
    </w:rPr>
  </w:style>
  <w:style w:type="table" w:customStyle="1" w:styleId="ALGTable4">
    <w:name w:val="ALG Table 4"/>
    <w:basedOn w:val="ALGTable"/>
    <w:uiPriority w:val="99"/>
    <w:rsid w:val="006D0F28"/>
    <w:pPr>
      <w:jc w:val="both"/>
    </w:pPr>
    <w:tblPr/>
    <w:tblStylePr w:type="firstRow">
      <w:rPr>
        <w:rFonts w:ascii="Arial" w:hAnsi="Arial"/>
        <w:sz w:val="18"/>
      </w:rPr>
      <w:tblPr/>
      <w:tcPr>
        <w:shd w:val="clear" w:color="auto" w:fill="FFFFFF" w:themeFill="background1"/>
      </w:tcPr>
    </w:tblStylePr>
    <w:tblStylePr w:type="firstCol">
      <w:rPr>
        <w:b/>
        <w:color w:val="2CD5C4" w:themeColor="accent1"/>
      </w:rPr>
      <w:tblPr/>
      <w:tcPr>
        <w:shd w:val="clear" w:color="auto" w:fill="3E3935" w:themeFill="accent4"/>
      </w:tcPr>
    </w:tblStylePr>
    <w:tblStylePr w:type="nwCell">
      <w:tblPr/>
      <w:tcPr>
        <w:shd w:val="clear" w:color="auto" w:fill="3E3935" w:themeFill="accent4"/>
      </w:tcPr>
    </w:tblStylePr>
  </w:style>
  <w:style w:type="table" w:customStyle="1" w:styleId="ALGTable5">
    <w:name w:val="ALG Table 5"/>
    <w:basedOn w:val="ALGTable"/>
    <w:uiPriority w:val="99"/>
    <w:rsid w:val="006D0F28"/>
    <w:tblPr/>
    <w:tblStylePr w:type="firstRow">
      <w:rPr>
        <w:rFonts w:ascii="Arial" w:hAnsi="Arial"/>
        <w:b/>
        <w:color w:val="3E3935" w:themeColor="accent4"/>
        <w:sz w:val="18"/>
      </w:rPr>
      <w:tblPr/>
      <w:tcPr>
        <w:shd w:val="clear" w:color="auto" w:fill="2CD5C4"/>
      </w:tcPr>
    </w:tblStylePr>
    <w:tblStylePr w:type="firstCol">
      <w:rPr>
        <w:b/>
        <w:color w:val="3E3935" w:themeColor="accent4"/>
      </w:rPr>
      <w:tblPr/>
      <w:tcPr>
        <w:shd w:val="clear" w:color="auto" w:fill="2CD5C4" w:themeFill="accent1"/>
      </w:tcPr>
    </w:tblStylePr>
    <w:tblStylePr w:type="nwCell">
      <w:pPr>
        <w:wordWrap/>
        <w:spacing w:beforeLines="0" w:before="80" w:beforeAutospacing="0" w:afterLines="0" w:after="80" w:afterAutospacing="0" w:line="240" w:lineRule="auto"/>
        <w:jc w:val="both"/>
        <w:outlineLvl w:val="9"/>
      </w:pPr>
      <w:rPr>
        <w:color w:val="2CD5C4" w:themeColor="accent1"/>
      </w:rPr>
    </w:tblStylePr>
  </w:style>
  <w:style w:type="table" w:customStyle="1" w:styleId="ALGTable6">
    <w:name w:val="ALG Table 6"/>
    <w:basedOn w:val="ALGTable"/>
    <w:uiPriority w:val="99"/>
    <w:rsid w:val="006D0F28"/>
    <w:pPr>
      <w:jc w:val="both"/>
    </w:pPr>
    <w:tblPr>
      <w:tblBorders>
        <w:top w:val="single" w:sz="4" w:space="0" w:color="2CD5C4" w:themeColor="accent1"/>
        <w:left w:val="single" w:sz="4" w:space="0" w:color="2CD5C4" w:themeColor="accent1"/>
        <w:bottom w:val="single" w:sz="4" w:space="0" w:color="2CD5C4" w:themeColor="accent1"/>
        <w:right w:val="single" w:sz="4" w:space="0" w:color="2CD5C4" w:themeColor="accent1"/>
        <w:insideH w:val="single" w:sz="4" w:space="0" w:color="2CD5C4" w:themeColor="accent1"/>
        <w:insideV w:val="single" w:sz="4" w:space="0" w:color="2CD5C4" w:themeColor="accent1"/>
      </w:tblBorders>
    </w:tblPr>
    <w:tblStylePr w:type="firstRow">
      <w:rPr>
        <w:rFonts w:ascii="Arial" w:hAnsi="Arial"/>
        <w:b/>
        <w:color w:val="2CD5C4" w:themeColor="accent1"/>
        <w:sz w:val="18"/>
      </w:rPr>
      <w:tblPr/>
      <w:tcPr>
        <w:shd w:val="clear" w:color="auto" w:fill="3E3935" w:themeFill="accent4"/>
      </w:tcPr>
    </w:tblStylePr>
    <w:tblStylePr w:type="firstCol">
      <w:rPr>
        <w:b/>
        <w:color w:val="FFFFFF" w:themeColor="background1"/>
      </w:rPr>
      <w:tblPr/>
      <w:tcPr>
        <w:shd w:val="clear" w:color="auto" w:fill="3E3935" w:themeFill="accent4"/>
      </w:tcPr>
    </w:tblStylePr>
    <w:tblStylePr w:type="nwCell">
      <w:rPr>
        <w:color w:val="3E3935" w:themeColor="accent4"/>
      </w:rPr>
    </w:tblStylePr>
  </w:style>
  <w:style w:type="character" w:styleId="Accentuation">
    <w:name w:val="Emphasis"/>
    <w:basedOn w:val="Policepardfaut"/>
    <w:uiPriority w:val="20"/>
    <w:qFormat/>
    <w:rsid w:val="00B31B1E"/>
    <w:rPr>
      <w:i/>
      <w:iCs/>
    </w:rPr>
  </w:style>
  <w:style w:type="character" w:styleId="Marquedecommentaire">
    <w:name w:val="annotation reference"/>
    <w:basedOn w:val="Policepardfaut"/>
    <w:uiPriority w:val="99"/>
    <w:semiHidden/>
    <w:unhideWhenUsed/>
    <w:rsid w:val="00B31B1E"/>
    <w:rPr>
      <w:sz w:val="16"/>
      <w:szCs w:val="16"/>
    </w:rPr>
  </w:style>
  <w:style w:type="paragraph" w:styleId="Commentaire">
    <w:name w:val="annotation text"/>
    <w:basedOn w:val="Normal"/>
    <w:link w:val="CommentaireCar"/>
    <w:uiPriority w:val="99"/>
    <w:unhideWhenUsed/>
    <w:rsid w:val="00B31B1E"/>
    <w:pPr>
      <w:spacing w:line="240" w:lineRule="auto"/>
    </w:pPr>
    <w:rPr>
      <w:sz w:val="20"/>
      <w:szCs w:val="20"/>
    </w:rPr>
  </w:style>
  <w:style w:type="character" w:customStyle="1" w:styleId="CommentaireCar">
    <w:name w:val="Commentaire Car"/>
    <w:basedOn w:val="Policepardfaut"/>
    <w:link w:val="Commentaire"/>
    <w:uiPriority w:val="99"/>
    <w:rsid w:val="00B31B1E"/>
    <w:rPr>
      <w:sz w:val="20"/>
      <w:szCs w:val="20"/>
    </w:rPr>
  </w:style>
  <w:style w:type="paragraph" w:customStyle="1" w:styleId="DocID">
    <w:name w:val="DocID"/>
    <w:basedOn w:val="Normal"/>
    <w:link w:val="DocIDChar"/>
    <w:rsid w:val="00D63831"/>
    <w:pPr>
      <w:jc w:val="left"/>
    </w:pPr>
    <w:rPr>
      <w:rFonts w:cs="Arial"/>
      <w:sz w:val="16"/>
    </w:rPr>
  </w:style>
  <w:style w:type="character" w:customStyle="1" w:styleId="DocIDChar">
    <w:name w:val="DocID Char"/>
    <w:basedOn w:val="Policepardfaut"/>
    <w:link w:val="DocID"/>
    <w:rsid w:val="00D63831"/>
    <w:rPr>
      <w:rFonts w:cs="Arial"/>
      <w:sz w:val="16"/>
    </w:rPr>
  </w:style>
  <w:style w:type="character" w:styleId="Lienhypertextesuivivisit">
    <w:name w:val="FollowedHyperlink"/>
    <w:basedOn w:val="Policepardfaut"/>
    <w:uiPriority w:val="99"/>
    <w:semiHidden/>
    <w:unhideWhenUsed/>
    <w:rsid w:val="00962676"/>
    <w:rPr>
      <w:color w:val="2CD5C4" w:themeColor="followedHyperlink"/>
      <w:u w:val="single"/>
    </w:rPr>
  </w:style>
  <w:style w:type="paragraph" w:styleId="Sansinterligne">
    <w:name w:val="No Spacing"/>
    <w:link w:val="SansinterligneCar"/>
    <w:uiPriority w:val="1"/>
    <w:qFormat/>
    <w:rsid w:val="00677170"/>
    <w:pPr>
      <w:spacing w:before="0" w:line="240" w:lineRule="auto"/>
      <w:jc w:val="left"/>
    </w:pPr>
    <w:rPr>
      <w:rFonts w:ascii="Flama Semicondensed Light" w:eastAsiaTheme="minorEastAsia" w:hAnsi="Flama Semicondensed Light"/>
      <w:sz w:val="22"/>
      <w:szCs w:val="22"/>
      <w:lang w:val="de-DE" w:eastAsia="de-DE"/>
    </w:rPr>
  </w:style>
  <w:style w:type="character" w:customStyle="1" w:styleId="SansinterligneCar">
    <w:name w:val="Sans interligne Car"/>
    <w:basedOn w:val="Policepardfaut"/>
    <w:link w:val="Sansinterligne"/>
    <w:uiPriority w:val="1"/>
    <w:rsid w:val="00677170"/>
    <w:rPr>
      <w:rFonts w:ascii="Flama Semicondensed Light" w:eastAsiaTheme="minorEastAsia" w:hAnsi="Flama Semicondensed Light"/>
      <w:sz w:val="22"/>
      <w:szCs w:val="22"/>
      <w:lang w:val="de-DE" w:eastAsia="de-DE"/>
    </w:rPr>
  </w:style>
  <w:style w:type="character" w:customStyle="1" w:styleId="UnresolvedMention1">
    <w:name w:val="Unresolved Mention1"/>
    <w:basedOn w:val="Policepardfaut"/>
    <w:uiPriority w:val="99"/>
    <w:semiHidden/>
    <w:unhideWhenUsed/>
    <w:rsid w:val="00D37CE0"/>
    <w:rPr>
      <w:color w:val="605E5C"/>
      <w:shd w:val="clear" w:color="auto" w:fill="E1DFDD"/>
    </w:rPr>
  </w:style>
  <w:style w:type="paragraph" w:styleId="Objetducommentaire">
    <w:name w:val="annotation subject"/>
    <w:basedOn w:val="Commentaire"/>
    <w:next w:val="Commentaire"/>
    <w:link w:val="ObjetducommentaireCar"/>
    <w:uiPriority w:val="99"/>
    <w:semiHidden/>
    <w:unhideWhenUsed/>
    <w:rsid w:val="00E313AE"/>
    <w:rPr>
      <w:b/>
      <w:bCs/>
    </w:rPr>
  </w:style>
  <w:style w:type="character" w:customStyle="1" w:styleId="ObjetducommentaireCar">
    <w:name w:val="Objet du commentaire Car"/>
    <w:basedOn w:val="CommentaireCar"/>
    <w:link w:val="Objetducommentaire"/>
    <w:uiPriority w:val="99"/>
    <w:semiHidden/>
    <w:rsid w:val="00E313AE"/>
    <w:rPr>
      <w:b/>
      <w:bCs/>
      <w:sz w:val="20"/>
      <w:szCs w:val="20"/>
    </w:rPr>
  </w:style>
  <w:style w:type="paragraph" w:styleId="Rvision">
    <w:name w:val="Revision"/>
    <w:hidden/>
    <w:uiPriority w:val="99"/>
    <w:semiHidden/>
    <w:rsid w:val="002B6894"/>
    <w:pPr>
      <w:spacing w:before="0" w:line="240" w:lineRule="auto"/>
      <w:jc w:val="left"/>
    </w:pPr>
  </w:style>
  <w:style w:type="character" w:customStyle="1" w:styleId="Titre4Car">
    <w:name w:val="Titre 4 Car"/>
    <w:basedOn w:val="Policepardfaut"/>
    <w:link w:val="Titre4"/>
    <w:uiPriority w:val="99"/>
    <w:semiHidden/>
    <w:rsid w:val="00332FAC"/>
    <w:rPr>
      <w:rFonts w:asciiTheme="majorHAnsi" w:eastAsiaTheme="majorEastAsia" w:hAnsiTheme="majorHAnsi" w:cstheme="majorBidi"/>
      <w:i/>
      <w:iCs/>
      <w:color w:val="20A093" w:themeColor="accent1" w:themeShade="BF"/>
    </w:rPr>
  </w:style>
  <w:style w:type="character" w:customStyle="1" w:styleId="UnresolvedMention2">
    <w:name w:val="Unresolved Mention2"/>
    <w:basedOn w:val="Policepardfaut"/>
    <w:uiPriority w:val="99"/>
    <w:semiHidden/>
    <w:unhideWhenUsed/>
    <w:rsid w:val="0036716B"/>
    <w:rPr>
      <w:color w:val="605E5C"/>
      <w:shd w:val="clear" w:color="auto" w:fill="E1DFDD"/>
    </w:rPr>
  </w:style>
  <w:style w:type="paragraph" w:styleId="Corpsdetexte">
    <w:name w:val="Body Text"/>
    <w:basedOn w:val="Normal"/>
    <w:link w:val="CorpsdetexteCar"/>
    <w:uiPriority w:val="99"/>
    <w:semiHidden/>
    <w:unhideWhenUsed/>
    <w:rsid w:val="008B72CB"/>
    <w:pPr>
      <w:spacing w:after="120"/>
    </w:pPr>
  </w:style>
  <w:style w:type="character" w:customStyle="1" w:styleId="CorpsdetexteCar">
    <w:name w:val="Corps de texte Car"/>
    <w:basedOn w:val="Policepardfaut"/>
    <w:link w:val="Corpsdetexte"/>
    <w:uiPriority w:val="99"/>
    <w:semiHidden/>
    <w:rsid w:val="008B72CB"/>
  </w:style>
  <w:style w:type="table" w:customStyle="1" w:styleId="TableGrid1">
    <w:name w:val="Table Grid1"/>
    <w:basedOn w:val="TableauNormal"/>
    <w:next w:val="Grilledutableau"/>
    <w:uiPriority w:val="59"/>
    <w:rsid w:val="008B72CB"/>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auNormal"/>
    <w:next w:val="Tableausimple1"/>
    <w:uiPriority w:val="41"/>
    <w:rsid w:val="009F0B94"/>
    <w:pPr>
      <w:spacing w:before="0" w:line="240" w:lineRule="auto"/>
      <w:jc w:val="left"/>
    </w:pPr>
    <w:rPr>
      <w:rFonts w:asciiTheme="minorHAnsi" w:eastAsia="Times New Roman" w:hAnsiTheme="minorHAnsi"/>
      <w:sz w:val="24"/>
      <w:szCs w:val="24"/>
      <w:lang w:val="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eausimple1">
    <w:name w:val="Plain Table 1"/>
    <w:basedOn w:val="TableauNormal"/>
    <w:uiPriority w:val="41"/>
    <w:rsid w:val="009F0B9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62666C"/>
    <w:pPr>
      <w:spacing w:before="100" w:beforeAutospacing="1" w:after="100" w:afterAutospacing="1" w:line="240" w:lineRule="auto"/>
      <w:jc w:val="left"/>
    </w:pPr>
    <w:rPr>
      <w:rFonts w:ascii="Times New Roman" w:eastAsia="Times New Roman" w:hAnsi="Times New Roman" w:cs="Times New Roman"/>
      <w:sz w:val="24"/>
      <w:szCs w:val="24"/>
      <w:lang w:val="nl-NL" w:eastAsia="zh-CN"/>
    </w:rPr>
  </w:style>
  <w:style w:type="paragraph" w:styleId="Liste">
    <w:name w:val="List"/>
    <w:autoRedefine/>
    <w:uiPriority w:val="99"/>
    <w:semiHidden/>
    <w:qFormat/>
    <w:rsid w:val="008A0A7A"/>
    <w:pPr>
      <w:numPr>
        <w:numId w:val="11"/>
      </w:numPr>
      <w:tabs>
        <w:tab w:val="clear" w:pos="680"/>
      </w:tabs>
      <w:spacing w:after="120" w:line="240" w:lineRule="auto"/>
      <w:ind w:left="0" w:firstLine="0"/>
      <w:contextualSpacing/>
      <w:jc w:val="left"/>
    </w:pPr>
    <w:rPr>
      <w:rFonts w:asciiTheme="minorHAnsi" w:eastAsiaTheme="minorEastAsia" w:hAnsiTheme="minorHAnsi"/>
      <w:sz w:val="22"/>
      <w:szCs w:val="24"/>
      <w:lang w:val="en-US"/>
    </w:rPr>
  </w:style>
  <w:style w:type="paragraph" w:customStyle="1" w:styleId="Numberedtitlelevel4">
    <w:name w:val="Numbered title level 4"/>
    <w:basedOn w:val="Normal"/>
    <w:uiPriority w:val="99"/>
    <w:qFormat/>
    <w:rsid w:val="008A0A7A"/>
    <w:pPr>
      <w:numPr>
        <w:numId w:val="10"/>
      </w:numPr>
      <w:spacing w:after="240" w:line="240" w:lineRule="auto"/>
      <w:jc w:val="left"/>
    </w:pPr>
    <w:rPr>
      <w:rFonts w:asciiTheme="minorHAnsi" w:eastAsiaTheme="minorEastAsia" w:hAnsiTheme="minorHAnsi"/>
      <w:color w:val="938D89" w:themeColor="background2"/>
      <w:sz w:val="24"/>
      <w:szCs w:val="24"/>
      <w:lang w:val="en-US"/>
    </w:rPr>
  </w:style>
  <w:style w:type="character" w:customStyle="1" w:styleId="ParagraphedelisteCar">
    <w:name w:val="Paragraphe de liste Car"/>
    <w:aliases w:val="Paragraphe EI Car,Paragraphe de liste1 Car,EC Car,Normal bullet 2 Car,Bullet list Car,List Paragraph1 Car,Numbered List Car,1st level - Bullet List Paragraph Car,Lettre d'introduction Car,Paragrafo elenco Car,List Paragraph11 Car"/>
    <w:basedOn w:val="Policepardfaut"/>
    <w:link w:val="Paragraphedeliste"/>
    <w:uiPriority w:val="1"/>
    <w:qFormat/>
    <w:locked/>
    <w:rsid w:val="008A0A7A"/>
  </w:style>
  <w:style w:type="table" w:customStyle="1" w:styleId="TableGridLight1">
    <w:name w:val="Table Grid Light1"/>
    <w:basedOn w:val="TableauNormal"/>
    <w:next w:val="Grilledetableauclaire"/>
    <w:uiPriority w:val="40"/>
    <w:rsid w:val="008A0A7A"/>
    <w:pPr>
      <w:spacing w:before="0" w:line="240" w:lineRule="auto"/>
      <w:jc w:val="left"/>
    </w:pPr>
    <w:rPr>
      <w:rFonts w:asciiTheme="minorHAnsi" w:eastAsia="Times New Roman" w:hAnsiTheme="minorHAnsi"/>
      <w:sz w:val="24"/>
      <w:szCs w:val="24"/>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lledetableauclaire">
    <w:name w:val="Grid Table Light"/>
    <w:basedOn w:val="TableauNormal"/>
    <w:uiPriority w:val="40"/>
    <w:rsid w:val="008A0A7A"/>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gende">
    <w:name w:val="caption"/>
    <w:basedOn w:val="Normal"/>
    <w:next w:val="Normal"/>
    <w:unhideWhenUsed/>
    <w:qFormat/>
    <w:rsid w:val="002B6F5A"/>
    <w:pPr>
      <w:spacing w:before="0" w:after="200" w:line="240" w:lineRule="auto"/>
      <w:jc w:val="left"/>
    </w:pPr>
    <w:rPr>
      <w:rFonts w:asciiTheme="minorHAnsi" w:hAnsiTheme="minorHAnsi"/>
      <w:b/>
      <w:bCs/>
      <w:color w:val="2CD5C4" w:themeColor="accent1"/>
      <w:sz w:val="18"/>
      <w:szCs w:val="18"/>
      <w:lang w:val="en-GB"/>
    </w:rPr>
  </w:style>
  <w:style w:type="character" w:styleId="Mentionnonrsolue">
    <w:name w:val="Unresolved Mention"/>
    <w:basedOn w:val="Policepardfaut"/>
    <w:uiPriority w:val="99"/>
    <w:semiHidden/>
    <w:unhideWhenUsed/>
    <w:rsid w:val="00C77953"/>
    <w:rPr>
      <w:color w:val="605E5C"/>
      <w:shd w:val="clear" w:color="auto" w:fill="E1DFDD"/>
    </w:rPr>
  </w:style>
  <w:style w:type="paragraph" w:customStyle="1" w:styleId="Default">
    <w:name w:val="Default"/>
    <w:rsid w:val="007409DC"/>
    <w:pPr>
      <w:autoSpaceDE w:val="0"/>
      <w:autoSpaceDN w:val="0"/>
      <w:adjustRightInd w:val="0"/>
      <w:spacing w:before="0" w:line="240" w:lineRule="auto"/>
      <w:jc w:val="left"/>
    </w:pPr>
    <w:rPr>
      <w:rFonts w:eastAsia="Times New Roman" w:cs="Arial"/>
      <w:color w:val="000000"/>
      <w:sz w:val="24"/>
      <w:szCs w:val="24"/>
      <w:lang w:val="en-GB" w:eastAsia="en-IE"/>
    </w:rPr>
  </w:style>
  <w:style w:type="character" w:customStyle="1" w:styleId="BodyALGChar">
    <w:name w:val="Body ALG Char"/>
    <w:basedOn w:val="Policepardfaut"/>
    <w:link w:val="BodyALG"/>
    <w:rsid w:val="00121DB1"/>
  </w:style>
  <w:style w:type="table" w:customStyle="1" w:styleId="LightShading1">
    <w:name w:val="Light Shading1"/>
    <w:basedOn w:val="TableauNormal"/>
    <w:uiPriority w:val="60"/>
    <w:rsid w:val="00A81102"/>
    <w:pPr>
      <w:spacing w:before="0" w:line="240" w:lineRule="auto"/>
      <w:jc w:val="left"/>
    </w:pPr>
    <w:rPr>
      <w:rFonts w:ascii="Calibri" w:eastAsia="Times New Roman" w:hAnsi="Calibri"/>
      <w:color w:val="000000"/>
      <w:sz w:val="24"/>
      <w:szCs w:val="24"/>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94645">
      <w:bodyDiv w:val="1"/>
      <w:marLeft w:val="0"/>
      <w:marRight w:val="0"/>
      <w:marTop w:val="0"/>
      <w:marBottom w:val="0"/>
      <w:divBdr>
        <w:top w:val="none" w:sz="0" w:space="0" w:color="auto"/>
        <w:left w:val="none" w:sz="0" w:space="0" w:color="auto"/>
        <w:bottom w:val="none" w:sz="0" w:space="0" w:color="auto"/>
        <w:right w:val="none" w:sz="0" w:space="0" w:color="auto"/>
      </w:divBdr>
    </w:div>
    <w:div w:id="209147920">
      <w:bodyDiv w:val="1"/>
      <w:marLeft w:val="0"/>
      <w:marRight w:val="0"/>
      <w:marTop w:val="0"/>
      <w:marBottom w:val="0"/>
      <w:divBdr>
        <w:top w:val="none" w:sz="0" w:space="0" w:color="auto"/>
        <w:left w:val="none" w:sz="0" w:space="0" w:color="auto"/>
        <w:bottom w:val="none" w:sz="0" w:space="0" w:color="auto"/>
        <w:right w:val="none" w:sz="0" w:space="0" w:color="auto"/>
      </w:divBdr>
    </w:div>
    <w:div w:id="237132324">
      <w:bodyDiv w:val="1"/>
      <w:marLeft w:val="0"/>
      <w:marRight w:val="0"/>
      <w:marTop w:val="0"/>
      <w:marBottom w:val="0"/>
      <w:divBdr>
        <w:top w:val="none" w:sz="0" w:space="0" w:color="auto"/>
        <w:left w:val="none" w:sz="0" w:space="0" w:color="auto"/>
        <w:bottom w:val="none" w:sz="0" w:space="0" w:color="auto"/>
        <w:right w:val="none" w:sz="0" w:space="0" w:color="auto"/>
      </w:divBdr>
    </w:div>
    <w:div w:id="411699358">
      <w:bodyDiv w:val="1"/>
      <w:marLeft w:val="0"/>
      <w:marRight w:val="0"/>
      <w:marTop w:val="0"/>
      <w:marBottom w:val="0"/>
      <w:divBdr>
        <w:top w:val="none" w:sz="0" w:space="0" w:color="auto"/>
        <w:left w:val="none" w:sz="0" w:space="0" w:color="auto"/>
        <w:bottom w:val="none" w:sz="0" w:space="0" w:color="auto"/>
        <w:right w:val="none" w:sz="0" w:space="0" w:color="auto"/>
      </w:divBdr>
    </w:div>
    <w:div w:id="483548477">
      <w:bodyDiv w:val="1"/>
      <w:marLeft w:val="0"/>
      <w:marRight w:val="0"/>
      <w:marTop w:val="0"/>
      <w:marBottom w:val="0"/>
      <w:divBdr>
        <w:top w:val="none" w:sz="0" w:space="0" w:color="auto"/>
        <w:left w:val="none" w:sz="0" w:space="0" w:color="auto"/>
        <w:bottom w:val="none" w:sz="0" w:space="0" w:color="auto"/>
        <w:right w:val="none" w:sz="0" w:space="0" w:color="auto"/>
      </w:divBdr>
    </w:div>
    <w:div w:id="487599327">
      <w:bodyDiv w:val="1"/>
      <w:marLeft w:val="0"/>
      <w:marRight w:val="0"/>
      <w:marTop w:val="0"/>
      <w:marBottom w:val="0"/>
      <w:divBdr>
        <w:top w:val="none" w:sz="0" w:space="0" w:color="auto"/>
        <w:left w:val="none" w:sz="0" w:space="0" w:color="auto"/>
        <w:bottom w:val="none" w:sz="0" w:space="0" w:color="auto"/>
        <w:right w:val="none" w:sz="0" w:space="0" w:color="auto"/>
      </w:divBdr>
    </w:div>
    <w:div w:id="724640832">
      <w:bodyDiv w:val="1"/>
      <w:marLeft w:val="0"/>
      <w:marRight w:val="0"/>
      <w:marTop w:val="0"/>
      <w:marBottom w:val="0"/>
      <w:divBdr>
        <w:top w:val="none" w:sz="0" w:space="0" w:color="auto"/>
        <w:left w:val="none" w:sz="0" w:space="0" w:color="auto"/>
        <w:bottom w:val="none" w:sz="0" w:space="0" w:color="auto"/>
        <w:right w:val="none" w:sz="0" w:space="0" w:color="auto"/>
      </w:divBdr>
    </w:div>
    <w:div w:id="826552471">
      <w:bodyDiv w:val="1"/>
      <w:marLeft w:val="0"/>
      <w:marRight w:val="0"/>
      <w:marTop w:val="0"/>
      <w:marBottom w:val="0"/>
      <w:divBdr>
        <w:top w:val="none" w:sz="0" w:space="0" w:color="auto"/>
        <w:left w:val="none" w:sz="0" w:space="0" w:color="auto"/>
        <w:bottom w:val="none" w:sz="0" w:space="0" w:color="auto"/>
        <w:right w:val="none" w:sz="0" w:space="0" w:color="auto"/>
      </w:divBdr>
    </w:div>
    <w:div w:id="940257633">
      <w:bodyDiv w:val="1"/>
      <w:marLeft w:val="0"/>
      <w:marRight w:val="0"/>
      <w:marTop w:val="0"/>
      <w:marBottom w:val="0"/>
      <w:divBdr>
        <w:top w:val="none" w:sz="0" w:space="0" w:color="auto"/>
        <w:left w:val="none" w:sz="0" w:space="0" w:color="auto"/>
        <w:bottom w:val="none" w:sz="0" w:space="0" w:color="auto"/>
        <w:right w:val="none" w:sz="0" w:space="0" w:color="auto"/>
      </w:divBdr>
    </w:div>
    <w:div w:id="1060204895">
      <w:bodyDiv w:val="1"/>
      <w:marLeft w:val="0"/>
      <w:marRight w:val="0"/>
      <w:marTop w:val="0"/>
      <w:marBottom w:val="0"/>
      <w:divBdr>
        <w:top w:val="none" w:sz="0" w:space="0" w:color="auto"/>
        <w:left w:val="none" w:sz="0" w:space="0" w:color="auto"/>
        <w:bottom w:val="none" w:sz="0" w:space="0" w:color="auto"/>
        <w:right w:val="none" w:sz="0" w:space="0" w:color="auto"/>
      </w:divBdr>
    </w:div>
    <w:div w:id="1126394103">
      <w:bodyDiv w:val="1"/>
      <w:marLeft w:val="0"/>
      <w:marRight w:val="0"/>
      <w:marTop w:val="0"/>
      <w:marBottom w:val="0"/>
      <w:divBdr>
        <w:top w:val="none" w:sz="0" w:space="0" w:color="auto"/>
        <w:left w:val="none" w:sz="0" w:space="0" w:color="auto"/>
        <w:bottom w:val="none" w:sz="0" w:space="0" w:color="auto"/>
        <w:right w:val="none" w:sz="0" w:space="0" w:color="auto"/>
      </w:divBdr>
    </w:div>
    <w:div w:id="1214927071">
      <w:bodyDiv w:val="1"/>
      <w:marLeft w:val="0"/>
      <w:marRight w:val="0"/>
      <w:marTop w:val="0"/>
      <w:marBottom w:val="0"/>
      <w:divBdr>
        <w:top w:val="none" w:sz="0" w:space="0" w:color="auto"/>
        <w:left w:val="none" w:sz="0" w:space="0" w:color="auto"/>
        <w:bottom w:val="none" w:sz="0" w:space="0" w:color="auto"/>
        <w:right w:val="none" w:sz="0" w:space="0" w:color="auto"/>
      </w:divBdr>
    </w:div>
    <w:div w:id="1294939746">
      <w:bodyDiv w:val="1"/>
      <w:marLeft w:val="0"/>
      <w:marRight w:val="0"/>
      <w:marTop w:val="0"/>
      <w:marBottom w:val="0"/>
      <w:divBdr>
        <w:top w:val="none" w:sz="0" w:space="0" w:color="auto"/>
        <w:left w:val="none" w:sz="0" w:space="0" w:color="auto"/>
        <w:bottom w:val="none" w:sz="0" w:space="0" w:color="auto"/>
        <w:right w:val="none" w:sz="0" w:space="0" w:color="auto"/>
      </w:divBdr>
    </w:div>
    <w:div w:id="1363705240">
      <w:bodyDiv w:val="1"/>
      <w:marLeft w:val="0"/>
      <w:marRight w:val="0"/>
      <w:marTop w:val="0"/>
      <w:marBottom w:val="0"/>
      <w:divBdr>
        <w:top w:val="none" w:sz="0" w:space="0" w:color="auto"/>
        <w:left w:val="none" w:sz="0" w:space="0" w:color="auto"/>
        <w:bottom w:val="none" w:sz="0" w:space="0" w:color="auto"/>
        <w:right w:val="none" w:sz="0" w:space="0" w:color="auto"/>
      </w:divBdr>
    </w:div>
    <w:div w:id="1381369622">
      <w:bodyDiv w:val="1"/>
      <w:marLeft w:val="0"/>
      <w:marRight w:val="0"/>
      <w:marTop w:val="0"/>
      <w:marBottom w:val="0"/>
      <w:divBdr>
        <w:top w:val="none" w:sz="0" w:space="0" w:color="auto"/>
        <w:left w:val="none" w:sz="0" w:space="0" w:color="auto"/>
        <w:bottom w:val="none" w:sz="0" w:space="0" w:color="auto"/>
        <w:right w:val="none" w:sz="0" w:space="0" w:color="auto"/>
      </w:divBdr>
    </w:div>
    <w:div w:id="1456018349">
      <w:bodyDiv w:val="1"/>
      <w:marLeft w:val="0"/>
      <w:marRight w:val="0"/>
      <w:marTop w:val="0"/>
      <w:marBottom w:val="0"/>
      <w:divBdr>
        <w:top w:val="none" w:sz="0" w:space="0" w:color="auto"/>
        <w:left w:val="none" w:sz="0" w:space="0" w:color="auto"/>
        <w:bottom w:val="none" w:sz="0" w:space="0" w:color="auto"/>
        <w:right w:val="none" w:sz="0" w:space="0" w:color="auto"/>
      </w:divBdr>
    </w:div>
    <w:div w:id="1502551254">
      <w:bodyDiv w:val="1"/>
      <w:marLeft w:val="0"/>
      <w:marRight w:val="0"/>
      <w:marTop w:val="0"/>
      <w:marBottom w:val="0"/>
      <w:divBdr>
        <w:top w:val="none" w:sz="0" w:space="0" w:color="auto"/>
        <w:left w:val="none" w:sz="0" w:space="0" w:color="auto"/>
        <w:bottom w:val="none" w:sz="0" w:space="0" w:color="auto"/>
        <w:right w:val="none" w:sz="0" w:space="0" w:color="auto"/>
      </w:divBdr>
    </w:div>
    <w:div w:id="1527207145">
      <w:bodyDiv w:val="1"/>
      <w:marLeft w:val="0"/>
      <w:marRight w:val="0"/>
      <w:marTop w:val="0"/>
      <w:marBottom w:val="0"/>
      <w:divBdr>
        <w:top w:val="none" w:sz="0" w:space="0" w:color="auto"/>
        <w:left w:val="none" w:sz="0" w:space="0" w:color="auto"/>
        <w:bottom w:val="none" w:sz="0" w:space="0" w:color="auto"/>
        <w:right w:val="none" w:sz="0" w:space="0" w:color="auto"/>
      </w:divBdr>
    </w:div>
    <w:div w:id="1542136370">
      <w:bodyDiv w:val="1"/>
      <w:marLeft w:val="0"/>
      <w:marRight w:val="0"/>
      <w:marTop w:val="0"/>
      <w:marBottom w:val="0"/>
      <w:divBdr>
        <w:top w:val="none" w:sz="0" w:space="0" w:color="auto"/>
        <w:left w:val="none" w:sz="0" w:space="0" w:color="auto"/>
        <w:bottom w:val="none" w:sz="0" w:space="0" w:color="auto"/>
        <w:right w:val="none" w:sz="0" w:space="0" w:color="auto"/>
      </w:divBdr>
    </w:div>
    <w:div w:id="1608850755">
      <w:bodyDiv w:val="1"/>
      <w:marLeft w:val="0"/>
      <w:marRight w:val="0"/>
      <w:marTop w:val="0"/>
      <w:marBottom w:val="0"/>
      <w:divBdr>
        <w:top w:val="none" w:sz="0" w:space="0" w:color="auto"/>
        <w:left w:val="none" w:sz="0" w:space="0" w:color="auto"/>
        <w:bottom w:val="none" w:sz="0" w:space="0" w:color="auto"/>
        <w:right w:val="none" w:sz="0" w:space="0" w:color="auto"/>
      </w:divBdr>
    </w:div>
    <w:div w:id="1629311116">
      <w:bodyDiv w:val="1"/>
      <w:marLeft w:val="0"/>
      <w:marRight w:val="0"/>
      <w:marTop w:val="0"/>
      <w:marBottom w:val="0"/>
      <w:divBdr>
        <w:top w:val="none" w:sz="0" w:space="0" w:color="auto"/>
        <w:left w:val="none" w:sz="0" w:space="0" w:color="auto"/>
        <w:bottom w:val="none" w:sz="0" w:space="0" w:color="auto"/>
        <w:right w:val="none" w:sz="0" w:space="0" w:color="auto"/>
      </w:divBdr>
    </w:div>
    <w:div w:id="1819109225">
      <w:bodyDiv w:val="1"/>
      <w:marLeft w:val="0"/>
      <w:marRight w:val="0"/>
      <w:marTop w:val="0"/>
      <w:marBottom w:val="0"/>
      <w:divBdr>
        <w:top w:val="none" w:sz="0" w:space="0" w:color="auto"/>
        <w:left w:val="none" w:sz="0" w:space="0" w:color="auto"/>
        <w:bottom w:val="none" w:sz="0" w:space="0" w:color="auto"/>
        <w:right w:val="none" w:sz="0" w:space="0" w:color="auto"/>
      </w:divBdr>
    </w:div>
    <w:div w:id="1820417618">
      <w:bodyDiv w:val="1"/>
      <w:marLeft w:val="0"/>
      <w:marRight w:val="0"/>
      <w:marTop w:val="0"/>
      <w:marBottom w:val="0"/>
      <w:divBdr>
        <w:top w:val="none" w:sz="0" w:space="0" w:color="auto"/>
        <w:left w:val="none" w:sz="0" w:space="0" w:color="auto"/>
        <w:bottom w:val="none" w:sz="0" w:space="0" w:color="auto"/>
        <w:right w:val="none" w:sz="0" w:space="0" w:color="auto"/>
      </w:divBdr>
    </w:div>
    <w:div w:id="1865247314">
      <w:bodyDiv w:val="1"/>
      <w:marLeft w:val="0"/>
      <w:marRight w:val="0"/>
      <w:marTop w:val="0"/>
      <w:marBottom w:val="0"/>
      <w:divBdr>
        <w:top w:val="none" w:sz="0" w:space="0" w:color="auto"/>
        <w:left w:val="none" w:sz="0" w:space="0" w:color="auto"/>
        <w:bottom w:val="none" w:sz="0" w:space="0" w:color="auto"/>
        <w:right w:val="none" w:sz="0" w:space="0" w:color="auto"/>
      </w:divBdr>
    </w:div>
    <w:div w:id="1891840837">
      <w:bodyDiv w:val="1"/>
      <w:marLeft w:val="0"/>
      <w:marRight w:val="0"/>
      <w:marTop w:val="0"/>
      <w:marBottom w:val="0"/>
      <w:divBdr>
        <w:top w:val="none" w:sz="0" w:space="0" w:color="auto"/>
        <w:left w:val="none" w:sz="0" w:space="0" w:color="auto"/>
        <w:bottom w:val="none" w:sz="0" w:space="0" w:color="auto"/>
        <w:right w:val="none" w:sz="0" w:space="0" w:color="auto"/>
      </w:divBdr>
    </w:div>
    <w:div w:id="1918854634">
      <w:bodyDiv w:val="1"/>
      <w:marLeft w:val="0"/>
      <w:marRight w:val="0"/>
      <w:marTop w:val="0"/>
      <w:marBottom w:val="0"/>
      <w:divBdr>
        <w:top w:val="none" w:sz="0" w:space="0" w:color="auto"/>
        <w:left w:val="none" w:sz="0" w:space="0" w:color="auto"/>
        <w:bottom w:val="none" w:sz="0" w:space="0" w:color="auto"/>
        <w:right w:val="none" w:sz="0" w:space="0" w:color="auto"/>
      </w:divBdr>
    </w:div>
    <w:div w:id="1930701308">
      <w:bodyDiv w:val="1"/>
      <w:marLeft w:val="0"/>
      <w:marRight w:val="0"/>
      <w:marTop w:val="0"/>
      <w:marBottom w:val="0"/>
      <w:divBdr>
        <w:top w:val="none" w:sz="0" w:space="0" w:color="auto"/>
        <w:left w:val="none" w:sz="0" w:space="0" w:color="auto"/>
        <w:bottom w:val="none" w:sz="0" w:space="0" w:color="auto"/>
        <w:right w:val="none" w:sz="0" w:space="0" w:color="auto"/>
      </w:divBdr>
    </w:div>
    <w:div w:id="1977443553">
      <w:bodyDiv w:val="1"/>
      <w:marLeft w:val="0"/>
      <w:marRight w:val="0"/>
      <w:marTop w:val="0"/>
      <w:marBottom w:val="0"/>
      <w:divBdr>
        <w:top w:val="none" w:sz="0" w:space="0" w:color="auto"/>
        <w:left w:val="none" w:sz="0" w:space="0" w:color="auto"/>
        <w:bottom w:val="none" w:sz="0" w:space="0" w:color="auto"/>
        <w:right w:val="none" w:sz="0" w:space="0" w:color="auto"/>
      </w:divBdr>
    </w:div>
    <w:div w:id="21243028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5.png"/><Relationship Id="rId39"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diagramQuickStyle" Target="diagrams/quickStyle1.xml"/><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image" Target="media/image4.svg"/><Relationship Id="rId33" Type="http://schemas.openxmlformats.org/officeDocument/2006/relationships/diagramLayout" Target="diagrams/layout1.xml"/><Relationship Id="rId38" Type="http://schemas.openxmlformats.org/officeDocument/2006/relationships/image" Target="media/image12.svg"/><Relationship Id="rId46"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hyperlink" Target="http://www.HANetf.com" TargetMode="External"/><Relationship Id="rId20" Type="http://schemas.openxmlformats.org/officeDocument/2006/relationships/footer" Target="footer5.xml"/><Relationship Id="rId29" Type="http://schemas.openxmlformats.org/officeDocument/2006/relationships/image" Target="media/image8.svg"/><Relationship Id="rId41" Type="http://schemas.openxmlformats.org/officeDocument/2006/relationships/image" Target="media/image15.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3.png"/><Relationship Id="rId32" Type="http://schemas.openxmlformats.org/officeDocument/2006/relationships/diagramData" Target="diagrams/data1.xm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svg"/><Relationship Id="rId5" Type="http://schemas.openxmlformats.org/officeDocument/2006/relationships/webSettings" Target="webSettings.xml"/><Relationship Id="rId15" Type="http://schemas.openxmlformats.org/officeDocument/2006/relationships/hyperlink" Target="http://www.HANetf.com" TargetMode="External"/><Relationship Id="rId23" Type="http://schemas.openxmlformats.org/officeDocument/2006/relationships/image" Target="media/image2.emf"/><Relationship Id="rId28" Type="http://schemas.openxmlformats.org/officeDocument/2006/relationships/image" Target="media/image7.png"/><Relationship Id="rId36" Type="http://schemas.microsoft.com/office/2007/relationships/diagramDrawing" Target="diagrams/drawing1.xml"/><Relationship Id="rId49" Type="http://schemas.openxmlformats.org/officeDocument/2006/relationships/footer" Target="footer7.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image" Target="media/image10.svg"/><Relationship Id="rId44" Type="http://schemas.openxmlformats.org/officeDocument/2006/relationships/image" Target="media/image18.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www.HANetf.com" TargetMode="External"/><Relationship Id="rId22" Type="http://schemas.openxmlformats.org/officeDocument/2006/relationships/footer" Target="footer6.xml"/><Relationship Id="rId27" Type="http://schemas.openxmlformats.org/officeDocument/2006/relationships/image" Target="media/image6.svg"/><Relationship Id="rId30" Type="http://schemas.openxmlformats.org/officeDocument/2006/relationships/image" Target="media/image9.png"/><Relationship Id="rId35" Type="http://schemas.openxmlformats.org/officeDocument/2006/relationships/diagramColors" Target="diagrams/colors1.xml"/><Relationship Id="rId43" Type="http://schemas.openxmlformats.org/officeDocument/2006/relationships/image" Target="media/image17.svg"/><Relationship Id="rId48" Type="http://schemas.openxmlformats.org/officeDocument/2006/relationships/image" Target="media/image22.svg"/><Relationship Id="rId8" Type="http://schemas.openxmlformats.org/officeDocument/2006/relationships/header" Target="header1.xml"/><Relationship Id="rId51"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2FD7E69-ECFA-4C70-B560-BD652BCA4295}" type="doc">
      <dgm:prSet loTypeId="urn:microsoft.com/office/officeart/2009/3/layout/HorizontalOrganizationChart" loCatId="hierarchy" qsTypeId="urn:microsoft.com/office/officeart/2005/8/quickstyle/simple4" qsCatId="simple" csTypeId="urn:microsoft.com/office/officeart/2005/8/colors/accent3_1" csCatId="accent3" phldr="1"/>
      <dgm:spPr/>
      <dgm:t>
        <a:bodyPr/>
        <a:lstStyle/>
        <a:p>
          <a:endParaRPr lang="en-US"/>
        </a:p>
      </dgm:t>
    </dgm:pt>
    <dgm:pt modelId="{99AD0E90-9ED4-41A7-B2A0-DD2CB57AE2D3}">
      <dgm:prSet phldrT="[Text]" custT="1"/>
      <dgm:spPr>
        <a:xfrm>
          <a:off x="876708" y="395957"/>
          <a:ext cx="1255196" cy="382834"/>
        </a:xfrm>
        <a:prstGeom prst="rect">
          <a:avLst/>
        </a:prstGeom>
        <a:solidFill>
          <a:sysClr val="window" lastClr="FFFFFF">
            <a:lumMod val="85000"/>
          </a:sysClr>
        </a:solidFill>
        <a:ln>
          <a:noFill/>
        </a:ln>
        <a:effectLst/>
      </dgm:spPr>
      <dgm:t>
        <a:bodyPr/>
        <a:lstStyle/>
        <a:p>
          <a:pPr>
            <a:buNone/>
          </a:pPr>
          <a:r>
            <a:rPr lang="en-US" sz="900">
              <a:solidFill>
                <a:sysClr val="windowText" lastClr="000000">
                  <a:hueOff val="0"/>
                  <a:satOff val="0"/>
                  <a:lumOff val="0"/>
                  <a:alphaOff val="0"/>
                </a:sysClr>
              </a:solidFill>
              <a:latin typeface="Calibri" panose="020F0502020204030204"/>
              <a:ea typeface="+mn-ea"/>
              <a:cs typeface="+mn-cs"/>
            </a:rPr>
            <a:t>Investments</a:t>
          </a:r>
        </a:p>
        <a:p>
          <a:pPr>
            <a:buNone/>
          </a:pPr>
          <a:r>
            <a:rPr lang="en-US" sz="900">
              <a:solidFill>
                <a:sysClr val="windowText" lastClr="000000">
                  <a:hueOff val="0"/>
                  <a:satOff val="0"/>
                  <a:lumOff val="0"/>
                  <a:alphaOff val="0"/>
                </a:sysClr>
              </a:solidFill>
              <a:latin typeface="Calibri" panose="020F0502020204030204"/>
              <a:ea typeface="+mn-ea"/>
              <a:cs typeface="+mn-cs"/>
            </a:rPr>
            <a:t>100%</a:t>
          </a:r>
        </a:p>
      </dgm:t>
    </dgm:pt>
    <dgm:pt modelId="{EEB7EF28-5896-42B2-A3B6-D21921A49C97}" type="parTrans" cxnId="{027ECE05-1796-498D-B5D2-2A81071719A3}">
      <dgm:prSet/>
      <dgm:spPr/>
      <dgm:t>
        <a:bodyPr/>
        <a:lstStyle/>
        <a:p>
          <a:endParaRPr lang="en-US"/>
        </a:p>
      </dgm:t>
    </dgm:pt>
    <dgm:pt modelId="{2FFC89C7-397E-4EC8-A787-837301FC3B1D}" type="sibTrans" cxnId="{027ECE05-1796-498D-B5D2-2A81071719A3}">
      <dgm:prSet/>
      <dgm:spPr/>
      <dgm:t>
        <a:bodyPr/>
        <a:lstStyle/>
        <a:p>
          <a:endParaRPr lang="en-GB"/>
        </a:p>
      </dgm:t>
    </dgm:pt>
    <dgm:pt modelId="{68A6FB17-E2CF-4A9E-91DE-90C04A7995CA}">
      <dgm:prSet phldrT="[Text]" custT="1"/>
      <dgm:spPr>
        <a:xfrm>
          <a:off x="2382944" y="791892"/>
          <a:ext cx="1255196" cy="382834"/>
        </a:xfrm>
        <a:prstGeom prst="rect">
          <a:avLst/>
        </a:prstGeom>
        <a:solidFill>
          <a:sysClr val="window" lastClr="FFFFFF">
            <a:lumMod val="85000"/>
          </a:sysClr>
        </a:solidFill>
        <a:ln>
          <a:noFill/>
        </a:ln>
        <a:effectLst/>
      </dgm:spPr>
      <dgm:t>
        <a:bodyPr/>
        <a:lstStyle/>
        <a:p>
          <a:pPr>
            <a:buNone/>
          </a:pPr>
          <a:r>
            <a:rPr lang="en-US" sz="900">
              <a:solidFill>
                <a:sysClr val="windowText" lastClr="000000"/>
              </a:solidFill>
              <a:latin typeface="Calibri" panose="020F0502020204030204"/>
              <a:ea typeface="+mn-ea"/>
              <a:cs typeface="+mn-cs"/>
            </a:rPr>
            <a:t>#2 10%</a:t>
          </a:r>
        </a:p>
      </dgm:t>
    </dgm:pt>
    <dgm:pt modelId="{4F8FD65B-707D-4E8A-ACF6-1D393F8B1364}" type="parTrans" cxnId="{D50424B9-12EE-47D7-B182-B8F6A657FD90}">
      <dgm:prSet/>
      <dgm:spPr>
        <a:xfrm>
          <a:off x="2131905" y="587375"/>
          <a:ext cx="251039" cy="395934"/>
        </a:xfrm>
        <a:custGeom>
          <a:avLst/>
          <a:gdLst/>
          <a:ahLst/>
          <a:cxnLst/>
          <a:rect l="0" t="0" r="0" b="0"/>
          <a:pathLst>
            <a:path>
              <a:moveTo>
                <a:pt x="0" y="0"/>
              </a:moveTo>
              <a:lnTo>
                <a:pt x="83641" y="0"/>
              </a:lnTo>
              <a:lnTo>
                <a:pt x="83641" y="179828"/>
              </a:lnTo>
              <a:lnTo>
                <a:pt x="167282" y="179828"/>
              </a:lnTo>
            </a:path>
          </a:pathLst>
        </a:custGeom>
        <a:noFill/>
        <a:ln w="6350" cap="flat" cmpd="sng" algn="ctr">
          <a:solidFill>
            <a:srgbClr val="F6EE8B">
              <a:shade val="60000"/>
              <a:hueOff val="0"/>
              <a:satOff val="0"/>
              <a:lumOff val="0"/>
              <a:alphaOff val="0"/>
            </a:srgbClr>
          </a:solidFill>
          <a:prstDash val="solid"/>
          <a:miter lim="800000"/>
        </a:ln>
        <a:effectLst/>
      </dgm:spPr>
      <dgm:t>
        <a:bodyPr/>
        <a:lstStyle/>
        <a:p>
          <a:endParaRPr lang="en-US"/>
        </a:p>
      </dgm:t>
    </dgm:pt>
    <dgm:pt modelId="{C7610497-EE0A-49E6-A3BE-08B8EDC0FBED}" type="sibTrans" cxnId="{D50424B9-12EE-47D7-B182-B8F6A657FD90}">
      <dgm:prSet/>
      <dgm:spPr/>
      <dgm:t>
        <a:bodyPr/>
        <a:lstStyle/>
        <a:p>
          <a:endParaRPr lang="en-GB"/>
        </a:p>
      </dgm:t>
    </dgm:pt>
    <dgm:pt modelId="{6515EA1F-6142-455D-B2EF-4835D4BB4A47}">
      <dgm:prSet phldrT="[Text]" custT="1"/>
      <dgm:spPr>
        <a:xfrm>
          <a:off x="2382944" y="22"/>
          <a:ext cx="1255196" cy="634970"/>
        </a:xfrm>
        <a:prstGeom prst="rect">
          <a:avLst/>
        </a:prstGeom>
        <a:solidFill>
          <a:srgbClr val="009900"/>
        </a:solidFill>
        <a:ln>
          <a:noFill/>
        </a:ln>
        <a:effectLst/>
      </dgm:spPr>
      <dgm:t>
        <a:bodyPr/>
        <a:lstStyle/>
        <a:p>
          <a:pPr>
            <a:buNone/>
          </a:pPr>
          <a:r>
            <a:rPr lang="en-US" sz="1000">
              <a:solidFill>
                <a:sysClr val="windowText" lastClr="000000"/>
              </a:solidFill>
              <a:latin typeface="Calibri" panose="020F0502020204030204"/>
              <a:ea typeface="+mn-ea"/>
              <a:cs typeface="+mn-cs"/>
            </a:rPr>
            <a:t> </a:t>
          </a:r>
          <a:r>
            <a:rPr lang="en-US" sz="900">
              <a:solidFill>
                <a:sysClr val="windowText" lastClr="000000"/>
              </a:solidFill>
              <a:latin typeface="Calibri" panose="020F0502020204030204"/>
              <a:ea typeface="+mn-ea"/>
              <a:cs typeface="+mn-cs"/>
            </a:rPr>
            <a:t>#1</a:t>
          </a:r>
          <a:r>
            <a:rPr lang="en-GB" sz="900" b="1">
              <a:solidFill>
                <a:sysClr val="windowText" lastClr="000000">
                  <a:hueOff val="0"/>
                  <a:satOff val="0"/>
                  <a:lumOff val="0"/>
                  <a:alphaOff val="0"/>
                </a:sysClr>
              </a:solidFill>
              <a:latin typeface="Calibri" panose="020F0502020204030204"/>
              <a:ea typeface="+mn-ea"/>
              <a:cs typeface="+mn-cs"/>
            </a:rPr>
            <a:t> </a:t>
          </a:r>
          <a:r>
            <a:rPr lang="en-GB" sz="900" b="0">
              <a:solidFill>
                <a:sysClr val="windowText" lastClr="000000">
                  <a:hueOff val="0"/>
                  <a:satOff val="0"/>
                  <a:lumOff val="0"/>
                  <a:alphaOff val="0"/>
                </a:sysClr>
              </a:solidFill>
              <a:latin typeface="Calibri" panose="020F0502020204030204"/>
              <a:ea typeface="+mn-ea"/>
              <a:cs typeface="+mn-cs"/>
            </a:rPr>
            <a:t>90%</a:t>
          </a:r>
        </a:p>
      </dgm:t>
    </dgm:pt>
    <dgm:pt modelId="{1E2F1981-BED9-4230-9246-096F3B342E11}" type="parTrans" cxnId="{5479E03F-8D20-47AE-B915-AB977B18E1CC}">
      <dgm:prSet/>
      <dgm:spPr>
        <a:xfrm>
          <a:off x="2131905" y="317507"/>
          <a:ext cx="251039" cy="269867"/>
        </a:xfrm>
        <a:custGeom>
          <a:avLst/>
          <a:gdLst/>
          <a:ahLst/>
          <a:cxnLst/>
          <a:rect l="0" t="0" r="0" b="0"/>
          <a:pathLst>
            <a:path>
              <a:moveTo>
                <a:pt x="0" y="179828"/>
              </a:moveTo>
              <a:lnTo>
                <a:pt x="83641" y="179828"/>
              </a:lnTo>
              <a:lnTo>
                <a:pt x="83641" y="0"/>
              </a:lnTo>
              <a:lnTo>
                <a:pt x="167282" y="0"/>
              </a:lnTo>
            </a:path>
          </a:pathLst>
        </a:custGeom>
        <a:noFill/>
        <a:ln w="6350" cap="flat" cmpd="sng" algn="ctr">
          <a:solidFill>
            <a:srgbClr val="F6EE8B">
              <a:shade val="60000"/>
              <a:hueOff val="0"/>
              <a:satOff val="0"/>
              <a:lumOff val="0"/>
              <a:alphaOff val="0"/>
            </a:srgbClr>
          </a:solidFill>
          <a:prstDash val="solid"/>
          <a:miter lim="800000"/>
        </a:ln>
        <a:effectLst/>
      </dgm:spPr>
      <dgm:t>
        <a:bodyPr/>
        <a:lstStyle/>
        <a:p>
          <a:endParaRPr lang="en-US"/>
        </a:p>
      </dgm:t>
    </dgm:pt>
    <dgm:pt modelId="{F0B28F37-B315-49FC-A1EC-BC428E731369}" type="sibTrans" cxnId="{5479E03F-8D20-47AE-B915-AB977B18E1CC}">
      <dgm:prSet/>
      <dgm:spPr/>
      <dgm:t>
        <a:bodyPr/>
        <a:lstStyle/>
        <a:p>
          <a:endParaRPr lang="en-US"/>
        </a:p>
      </dgm:t>
    </dgm:pt>
    <dgm:pt modelId="{5EB9C7DD-C466-4E7F-AAD5-7944FFC10AFD}" type="pres">
      <dgm:prSet presAssocID="{42FD7E69-ECFA-4C70-B560-BD652BCA4295}" presName="hierChild1" presStyleCnt="0">
        <dgm:presLayoutVars>
          <dgm:orgChart val="1"/>
          <dgm:chPref val="1"/>
          <dgm:dir/>
          <dgm:animOne val="branch"/>
          <dgm:animLvl val="lvl"/>
          <dgm:resizeHandles/>
        </dgm:presLayoutVars>
      </dgm:prSet>
      <dgm:spPr/>
    </dgm:pt>
    <dgm:pt modelId="{D897F3CE-DA16-4D02-A05F-920C1C18CB7B}" type="pres">
      <dgm:prSet presAssocID="{99AD0E90-9ED4-41A7-B2A0-DD2CB57AE2D3}" presName="hierRoot1" presStyleCnt="0">
        <dgm:presLayoutVars>
          <dgm:hierBranch val="init"/>
        </dgm:presLayoutVars>
      </dgm:prSet>
      <dgm:spPr/>
    </dgm:pt>
    <dgm:pt modelId="{01E5C407-0D17-43FD-84F5-5113F8AA2573}" type="pres">
      <dgm:prSet presAssocID="{99AD0E90-9ED4-41A7-B2A0-DD2CB57AE2D3}" presName="rootComposite1" presStyleCnt="0"/>
      <dgm:spPr/>
    </dgm:pt>
    <dgm:pt modelId="{BF2153CF-56C5-4B63-AF26-9490B15DFA4F}" type="pres">
      <dgm:prSet presAssocID="{99AD0E90-9ED4-41A7-B2A0-DD2CB57AE2D3}" presName="rootText1" presStyleLbl="node0" presStyleIdx="0" presStyleCnt="1">
        <dgm:presLayoutVars>
          <dgm:chPref val="3"/>
        </dgm:presLayoutVars>
      </dgm:prSet>
      <dgm:spPr/>
    </dgm:pt>
    <dgm:pt modelId="{D86CF308-AAB8-4C47-91D4-0A8565F70547}" type="pres">
      <dgm:prSet presAssocID="{99AD0E90-9ED4-41A7-B2A0-DD2CB57AE2D3}" presName="rootConnector1" presStyleLbl="node1" presStyleIdx="0" presStyleCnt="0"/>
      <dgm:spPr/>
    </dgm:pt>
    <dgm:pt modelId="{76AD6125-64C7-4383-80E4-B36F3ADF4399}" type="pres">
      <dgm:prSet presAssocID="{99AD0E90-9ED4-41A7-B2A0-DD2CB57AE2D3}" presName="hierChild2" presStyleCnt="0"/>
      <dgm:spPr/>
    </dgm:pt>
    <dgm:pt modelId="{EA282787-665B-4D4F-A264-A2E1DB5E187F}" type="pres">
      <dgm:prSet presAssocID="{1E2F1981-BED9-4230-9246-096F3B342E11}" presName="Name64" presStyleLbl="parChTrans1D2" presStyleIdx="0" presStyleCnt="2"/>
      <dgm:spPr/>
    </dgm:pt>
    <dgm:pt modelId="{A4B552FD-9766-4584-8B00-967CDB56742D}" type="pres">
      <dgm:prSet presAssocID="{6515EA1F-6142-455D-B2EF-4835D4BB4A47}" presName="hierRoot2" presStyleCnt="0">
        <dgm:presLayoutVars>
          <dgm:hierBranch val="init"/>
        </dgm:presLayoutVars>
      </dgm:prSet>
      <dgm:spPr/>
    </dgm:pt>
    <dgm:pt modelId="{0F8F5C63-6DEA-4331-A4AF-CA4E3457CAC0}" type="pres">
      <dgm:prSet presAssocID="{6515EA1F-6142-455D-B2EF-4835D4BB4A47}" presName="rootComposite" presStyleCnt="0"/>
      <dgm:spPr/>
    </dgm:pt>
    <dgm:pt modelId="{BD3BAF88-97F0-46F4-AF7C-A396DD664F0D}" type="pres">
      <dgm:prSet presAssocID="{6515EA1F-6142-455D-B2EF-4835D4BB4A47}" presName="rootText" presStyleLbl="node2" presStyleIdx="0" presStyleCnt="2" custScaleY="165860">
        <dgm:presLayoutVars>
          <dgm:chPref val="3"/>
        </dgm:presLayoutVars>
      </dgm:prSet>
      <dgm:spPr/>
    </dgm:pt>
    <dgm:pt modelId="{A1D575D6-1B97-49E3-9270-D063D68EF887}" type="pres">
      <dgm:prSet presAssocID="{6515EA1F-6142-455D-B2EF-4835D4BB4A47}" presName="rootConnector" presStyleLbl="node2" presStyleIdx="0" presStyleCnt="2"/>
      <dgm:spPr/>
    </dgm:pt>
    <dgm:pt modelId="{1E425582-DF9B-4BD4-8644-361C8C8B0DBB}" type="pres">
      <dgm:prSet presAssocID="{6515EA1F-6142-455D-B2EF-4835D4BB4A47}" presName="hierChild4" presStyleCnt="0"/>
      <dgm:spPr/>
    </dgm:pt>
    <dgm:pt modelId="{6272FA48-419C-4320-9F60-B5EFC69157B7}" type="pres">
      <dgm:prSet presAssocID="{6515EA1F-6142-455D-B2EF-4835D4BB4A47}" presName="hierChild5" presStyleCnt="0"/>
      <dgm:spPr/>
    </dgm:pt>
    <dgm:pt modelId="{450D790E-3B76-41A2-90A1-5C4F3AF7870F}" type="pres">
      <dgm:prSet presAssocID="{4F8FD65B-707D-4E8A-ACF6-1D393F8B1364}" presName="Name64" presStyleLbl="parChTrans1D2" presStyleIdx="1" presStyleCnt="2"/>
      <dgm:spPr/>
    </dgm:pt>
    <dgm:pt modelId="{C795CFA2-6425-4CCA-B36E-58EA0234C495}" type="pres">
      <dgm:prSet presAssocID="{68A6FB17-E2CF-4A9E-91DE-90C04A7995CA}" presName="hierRoot2" presStyleCnt="0">
        <dgm:presLayoutVars>
          <dgm:hierBranch val="init"/>
        </dgm:presLayoutVars>
      </dgm:prSet>
      <dgm:spPr/>
    </dgm:pt>
    <dgm:pt modelId="{B05ADB36-1C95-4491-BAEF-FB3CDBA3B7B7}" type="pres">
      <dgm:prSet presAssocID="{68A6FB17-E2CF-4A9E-91DE-90C04A7995CA}" presName="rootComposite" presStyleCnt="0"/>
      <dgm:spPr/>
    </dgm:pt>
    <dgm:pt modelId="{226B17C5-6474-4423-A47F-CFC1D1F36659}" type="pres">
      <dgm:prSet presAssocID="{68A6FB17-E2CF-4A9E-91DE-90C04A7995CA}" presName="rootText" presStyleLbl="node2" presStyleIdx="1" presStyleCnt="2">
        <dgm:presLayoutVars>
          <dgm:chPref val="3"/>
        </dgm:presLayoutVars>
      </dgm:prSet>
      <dgm:spPr/>
    </dgm:pt>
    <dgm:pt modelId="{3A4E0835-0A25-4346-88E1-078BC09B81ED}" type="pres">
      <dgm:prSet presAssocID="{68A6FB17-E2CF-4A9E-91DE-90C04A7995CA}" presName="rootConnector" presStyleLbl="node2" presStyleIdx="1" presStyleCnt="2"/>
      <dgm:spPr/>
    </dgm:pt>
    <dgm:pt modelId="{DAC5C5F9-2127-4D3E-A36C-B5912BA9D8FD}" type="pres">
      <dgm:prSet presAssocID="{68A6FB17-E2CF-4A9E-91DE-90C04A7995CA}" presName="hierChild4" presStyleCnt="0"/>
      <dgm:spPr/>
    </dgm:pt>
    <dgm:pt modelId="{989DB5EF-AA1E-4322-B8B8-210E322B606C}" type="pres">
      <dgm:prSet presAssocID="{68A6FB17-E2CF-4A9E-91DE-90C04A7995CA}" presName="hierChild5" presStyleCnt="0"/>
      <dgm:spPr/>
    </dgm:pt>
    <dgm:pt modelId="{0E2A78DB-55FE-4D30-9E34-687B4D6F7EF6}" type="pres">
      <dgm:prSet presAssocID="{99AD0E90-9ED4-41A7-B2A0-DD2CB57AE2D3}" presName="hierChild3" presStyleCnt="0"/>
      <dgm:spPr/>
    </dgm:pt>
  </dgm:ptLst>
  <dgm:cxnLst>
    <dgm:cxn modelId="{027ECE05-1796-498D-B5D2-2A81071719A3}" srcId="{42FD7E69-ECFA-4C70-B560-BD652BCA4295}" destId="{99AD0E90-9ED4-41A7-B2A0-DD2CB57AE2D3}" srcOrd="0" destOrd="0" parTransId="{EEB7EF28-5896-42B2-A3B6-D21921A49C97}" sibTransId="{2FFC89C7-397E-4EC8-A787-837301FC3B1D}"/>
    <dgm:cxn modelId="{527A4610-21B2-4EBA-9A38-E68F946D14D7}" type="presOf" srcId="{99AD0E90-9ED4-41A7-B2A0-DD2CB57AE2D3}" destId="{D86CF308-AAB8-4C47-91D4-0A8565F70547}" srcOrd="1" destOrd="0" presId="urn:microsoft.com/office/officeart/2009/3/layout/HorizontalOrganizationChart"/>
    <dgm:cxn modelId="{48F7251B-1167-436A-BF61-47D9DE1A0C18}" type="presOf" srcId="{68A6FB17-E2CF-4A9E-91DE-90C04A7995CA}" destId="{3A4E0835-0A25-4346-88E1-078BC09B81ED}" srcOrd="1" destOrd="0" presId="urn:microsoft.com/office/officeart/2009/3/layout/HorizontalOrganizationChart"/>
    <dgm:cxn modelId="{3DC3072F-AF6C-488B-B1E7-1E18F18CD3D4}" type="presOf" srcId="{68A6FB17-E2CF-4A9E-91DE-90C04A7995CA}" destId="{226B17C5-6474-4423-A47F-CFC1D1F36659}" srcOrd="0" destOrd="0" presId="urn:microsoft.com/office/officeart/2009/3/layout/HorizontalOrganizationChart"/>
    <dgm:cxn modelId="{5479E03F-8D20-47AE-B915-AB977B18E1CC}" srcId="{99AD0E90-9ED4-41A7-B2A0-DD2CB57AE2D3}" destId="{6515EA1F-6142-455D-B2EF-4835D4BB4A47}" srcOrd="0" destOrd="0" parTransId="{1E2F1981-BED9-4230-9246-096F3B342E11}" sibTransId="{F0B28F37-B315-49FC-A1EC-BC428E731369}"/>
    <dgm:cxn modelId="{9451BD5D-E27E-4523-9C35-963AD9B1B8B6}" type="presOf" srcId="{6515EA1F-6142-455D-B2EF-4835D4BB4A47}" destId="{BD3BAF88-97F0-46F4-AF7C-A396DD664F0D}" srcOrd="0" destOrd="0" presId="urn:microsoft.com/office/officeart/2009/3/layout/HorizontalOrganizationChart"/>
    <dgm:cxn modelId="{FDA77E64-C9DD-403E-8B85-99A969714133}" type="presOf" srcId="{99AD0E90-9ED4-41A7-B2A0-DD2CB57AE2D3}" destId="{BF2153CF-56C5-4B63-AF26-9490B15DFA4F}" srcOrd="0" destOrd="0" presId="urn:microsoft.com/office/officeart/2009/3/layout/HorizontalOrganizationChart"/>
    <dgm:cxn modelId="{87DAD778-449B-40ED-9102-E3EF410CEB64}" type="presOf" srcId="{6515EA1F-6142-455D-B2EF-4835D4BB4A47}" destId="{A1D575D6-1B97-49E3-9270-D063D68EF887}" srcOrd="1" destOrd="0" presId="urn:microsoft.com/office/officeart/2009/3/layout/HorizontalOrganizationChart"/>
    <dgm:cxn modelId="{7CA9B497-C889-47C3-B33F-40827FF1A611}" type="presOf" srcId="{1E2F1981-BED9-4230-9246-096F3B342E11}" destId="{EA282787-665B-4D4F-A264-A2E1DB5E187F}" srcOrd="0" destOrd="0" presId="urn:microsoft.com/office/officeart/2009/3/layout/HorizontalOrganizationChart"/>
    <dgm:cxn modelId="{BE2D33A7-2EAC-420B-A18F-4E9E947E1863}" type="presOf" srcId="{42FD7E69-ECFA-4C70-B560-BD652BCA4295}" destId="{5EB9C7DD-C466-4E7F-AAD5-7944FFC10AFD}" srcOrd="0" destOrd="0" presId="urn:microsoft.com/office/officeart/2009/3/layout/HorizontalOrganizationChart"/>
    <dgm:cxn modelId="{D50424B9-12EE-47D7-B182-B8F6A657FD90}" srcId="{99AD0E90-9ED4-41A7-B2A0-DD2CB57AE2D3}" destId="{68A6FB17-E2CF-4A9E-91DE-90C04A7995CA}" srcOrd="1" destOrd="0" parTransId="{4F8FD65B-707D-4E8A-ACF6-1D393F8B1364}" sibTransId="{C7610497-EE0A-49E6-A3BE-08B8EDC0FBED}"/>
    <dgm:cxn modelId="{F6B194EB-B87D-4E90-8EFE-0327CB62A57D}" type="presOf" srcId="{4F8FD65B-707D-4E8A-ACF6-1D393F8B1364}" destId="{450D790E-3B76-41A2-90A1-5C4F3AF7870F}" srcOrd="0" destOrd="0" presId="urn:microsoft.com/office/officeart/2009/3/layout/HorizontalOrganizationChart"/>
    <dgm:cxn modelId="{57A95A4C-305E-4794-9ABB-1B54DDF51815}" type="presParOf" srcId="{5EB9C7DD-C466-4E7F-AAD5-7944FFC10AFD}" destId="{D897F3CE-DA16-4D02-A05F-920C1C18CB7B}" srcOrd="0" destOrd="0" presId="urn:microsoft.com/office/officeart/2009/3/layout/HorizontalOrganizationChart"/>
    <dgm:cxn modelId="{524BDD26-A956-456C-A20B-CB676193FF10}" type="presParOf" srcId="{D897F3CE-DA16-4D02-A05F-920C1C18CB7B}" destId="{01E5C407-0D17-43FD-84F5-5113F8AA2573}" srcOrd="0" destOrd="0" presId="urn:microsoft.com/office/officeart/2009/3/layout/HorizontalOrganizationChart"/>
    <dgm:cxn modelId="{DB5E1A7D-A219-4962-B0C6-822E82F8028B}" type="presParOf" srcId="{01E5C407-0D17-43FD-84F5-5113F8AA2573}" destId="{BF2153CF-56C5-4B63-AF26-9490B15DFA4F}" srcOrd="0" destOrd="0" presId="urn:microsoft.com/office/officeart/2009/3/layout/HorizontalOrganizationChart"/>
    <dgm:cxn modelId="{CED71401-0A1C-4E8A-B47C-2943273E950C}" type="presParOf" srcId="{01E5C407-0D17-43FD-84F5-5113F8AA2573}" destId="{D86CF308-AAB8-4C47-91D4-0A8565F70547}" srcOrd="1" destOrd="0" presId="urn:microsoft.com/office/officeart/2009/3/layout/HorizontalOrganizationChart"/>
    <dgm:cxn modelId="{B71C1FF3-1CFF-4F5B-834A-A96F41791781}" type="presParOf" srcId="{D897F3CE-DA16-4D02-A05F-920C1C18CB7B}" destId="{76AD6125-64C7-4383-80E4-B36F3ADF4399}" srcOrd="1" destOrd="0" presId="urn:microsoft.com/office/officeart/2009/3/layout/HorizontalOrganizationChart"/>
    <dgm:cxn modelId="{102A8DD2-09FF-4511-B3E5-4BC008EA3C12}" type="presParOf" srcId="{76AD6125-64C7-4383-80E4-B36F3ADF4399}" destId="{EA282787-665B-4D4F-A264-A2E1DB5E187F}" srcOrd="0" destOrd="0" presId="urn:microsoft.com/office/officeart/2009/3/layout/HorizontalOrganizationChart"/>
    <dgm:cxn modelId="{A7E506D8-05DC-4D66-8AB6-AF51B7F199F6}" type="presParOf" srcId="{76AD6125-64C7-4383-80E4-B36F3ADF4399}" destId="{A4B552FD-9766-4584-8B00-967CDB56742D}" srcOrd="1" destOrd="0" presId="urn:microsoft.com/office/officeart/2009/3/layout/HorizontalOrganizationChart"/>
    <dgm:cxn modelId="{0CAA31E5-0D28-4BA5-8318-E44722E731C0}" type="presParOf" srcId="{A4B552FD-9766-4584-8B00-967CDB56742D}" destId="{0F8F5C63-6DEA-4331-A4AF-CA4E3457CAC0}" srcOrd="0" destOrd="0" presId="urn:microsoft.com/office/officeart/2009/3/layout/HorizontalOrganizationChart"/>
    <dgm:cxn modelId="{4AA2CE25-AA49-412A-AB07-E749C7BEA64B}" type="presParOf" srcId="{0F8F5C63-6DEA-4331-A4AF-CA4E3457CAC0}" destId="{BD3BAF88-97F0-46F4-AF7C-A396DD664F0D}" srcOrd="0" destOrd="0" presId="urn:microsoft.com/office/officeart/2009/3/layout/HorizontalOrganizationChart"/>
    <dgm:cxn modelId="{CFBD9D3B-78F6-4580-8C52-A7193DE5E570}" type="presParOf" srcId="{0F8F5C63-6DEA-4331-A4AF-CA4E3457CAC0}" destId="{A1D575D6-1B97-49E3-9270-D063D68EF887}" srcOrd="1" destOrd="0" presId="urn:microsoft.com/office/officeart/2009/3/layout/HorizontalOrganizationChart"/>
    <dgm:cxn modelId="{87CE4A42-D028-4341-A529-AFD7FFC83DF8}" type="presParOf" srcId="{A4B552FD-9766-4584-8B00-967CDB56742D}" destId="{1E425582-DF9B-4BD4-8644-361C8C8B0DBB}" srcOrd="1" destOrd="0" presId="urn:microsoft.com/office/officeart/2009/3/layout/HorizontalOrganizationChart"/>
    <dgm:cxn modelId="{04B6E12D-6996-4667-A163-1B39D199FE31}" type="presParOf" srcId="{A4B552FD-9766-4584-8B00-967CDB56742D}" destId="{6272FA48-419C-4320-9F60-B5EFC69157B7}" srcOrd="2" destOrd="0" presId="urn:microsoft.com/office/officeart/2009/3/layout/HorizontalOrganizationChart"/>
    <dgm:cxn modelId="{308028A4-0096-4312-B002-AD33AD45D08D}" type="presParOf" srcId="{76AD6125-64C7-4383-80E4-B36F3ADF4399}" destId="{450D790E-3B76-41A2-90A1-5C4F3AF7870F}" srcOrd="2" destOrd="0" presId="urn:microsoft.com/office/officeart/2009/3/layout/HorizontalOrganizationChart"/>
    <dgm:cxn modelId="{BE342A45-7872-4D1D-B3BF-990EC33A4AD4}" type="presParOf" srcId="{76AD6125-64C7-4383-80E4-B36F3ADF4399}" destId="{C795CFA2-6425-4CCA-B36E-58EA0234C495}" srcOrd="3" destOrd="0" presId="urn:microsoft.com/office/officeart/2009/3/layout/HorizontalOrganizationChart"/>
    <dgm:cxn modelId="{06CF4D0B-8364-4817-88FE-EBAACBA4DAE5}" type="presParOf" srcId="{C795CFA2-6425-4CCA-B36E-58EA0234C495}" destId="{B05ADB36-1C95-4491-BAEF-FB3CDBA3B7B7}" srcOrd="0" destOrd="0" presId="urn:microsoft.com/office/officeart/2009/3/layout/HorizontalOrganizationChart"/>
    <dgm:cxn modelId="{E474ED93-1CD5-4929-B938-07BB17B36BF5}" type="presParOf" srcId="{B05ADB36-1C95-4491-BAEF-FB3CDBA3B7B7}" destId="{226B17C5-6474-4423-A47F-CFC1D1F36659}" srcOrd="0" destOrd="0" presId="urn:microsoft.com/office/officeart/2009/3/layout/HorizontalOrganizationChart"/>
    <dgm:cxn modelId="{04CF19CA-ECAC-4E1D-B558-03F157F29F30}" type="presParOf" srcId="{B05ADB36-1C95-4491-BAEF-FB3CDBA3B7B7}" destId="{3A4E0835-0A25-4346-88E1-078BC09B81ED}" srcOrd="1" destOrd="0" presId="urn:microsoft.com/office/officeart/2009/3/layout/HorizontalOrganizationChart"/>
    <dgm:cxn modelId="{76C4A202-BAF2-43B6-851F-993216428698}" type="presParOf" srcId="{C795CFA2-6425-4CCA-B36E-58EA0234C495}" destId="{DAC5C5F9-2127-4D3E-A36C-B5912BA9D8FD}" srcOrd="1" destOrd="0" presId="urn:microsoft.com/office/officeart/2009/3/layout/HorizontalOrganizationChart"/>
    <dgm:cxn modelId="{251800A5-4E3C-4631-B82F-11E69ACFE375}" type="presParOf" srcId="{C795CFA2-6425-4CCA-B36E-58EA0234C495}" destId="{989DB5EF-AA1E-4322-B8B8-210E322B606C}" srcOrd="2" destOrd="0" presId="urn:microsoft.com/office/officeart/2009/3/layout/HorizontalOrganizationChart"/>
    <dgm:cxn modelId="{A0D8D1F5-0694-4E0C-99A8-EB7548C89283}" type="presParOf" srcId="{D897F3CE-DA16-4D02-A05F-920C1C18CB7B}" destId="{0E2A78DB-55FE-4D30-9E34-687B4D6F7EF6}" srcOrd="2" destOrd="0" presId="urn:microsoft.com/office/officeart/2009/3/layout/HorizontalOrganizationChart"/>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0D790E-3B76-41A2-90A1-5C4F3AF7870F}">
      <dsp:nvSpPr>
        <dsp:cNvPr id="0" name=""/>
        <dsp:cNvSpPr/>
      </dsp:nvSpPr>
      <dsp:spPr>
        <a:xfrm>
          <a:off x="2131905" y="587375"/>
          <a:ext cx="251039" cy="395934"/>
        </a:xfrm>
        <a:custGeom>
          <a:avLst/>
          <a:gdLst/>
          <a:ahLst/>
          <a:cxnLst/>
          <a:rect l="0" t="0" r="0" b="0"/>
          <a:pathLst>
            <a:path>
              <a:moveTo>
                <a:pt x="0" y="0"/>
              </a:moveTo>
              <a:lnTo>
                <a:pt x="83641" y="0"/>
              </a:lnTo>
              <a:lnTo>
                <a:pt x="83641" y="179828"/>
              </a:lnTo>
              <a:lnTo>
                <a:pt x="167282" y="179828"/>
              </a:lnTo>
            </a:path>
          </a:pathLst>
        </a:custGeom>
        <a:noFill/>
        <a:ln w="6350" cap="flat" cmpd="sng" algn="ctr">
          <a:solidFill>
            <a:srgbClr val="F6EE8B">
              <a:shade val="60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EA282787-665B-4D4F-A264-A2E1DB5E187F}">
      <dsp:nvSpPr>
        <dsp:cNvPr id="0" name=""/>
        <dsp:cNvSpPr/>
      </dsp:nvSpPr>
      <dsp:spPr>
        <a:xfrm>
          <a:off x="2131905" y="317507"/>
          <a:ext cx="251039" cy="269867"/>
        </a:xfrm>
        <a:custGeom>
          <a:avLst/>
          <a:gdLst/>
          <a:ahLst/>
          <a:cxnLst/>
          <a:rect l="0" t="0" r="0" b="0"/>
          <a:pathLst>
            <a:path>
              <a:moveTo>
                <a:pt x="0" y="179828"/>
              </a:moveTo>
              <a:lnTo>
                <a:pt x="83641" y="179828"/>
              </a:lnTo>
              <a:lnTo>
                <a:pt x="83641" y="0"/>
              </a:lnTo>
              <a:lnTo>
                <a:pt x="167282" y="0"/>
              </a:lnTo>
            </a:path>
          </a:pathLst>
        </a:custGeom>
        <a:noFill/>
        <a:ln w="6350" cap="flat" cmpd="sng" algn="ctr">
          <a:solidFill>
            <a:srgbClr val="F6EE8B">
              <a:shade val="60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BF2153CF-56C5-4B63-AF26-9490B15DFA4F}">
      <dsp:nvSpPr>
        <dsp:cNvPr id="0" name=""/>
        <dsp:cNvSpPr/>
      </dsp:nvSpPr>
      <dsp:spPr>
        <a:xfrm>
          <a:off x="876708" y="395957"/>
          <a:ext cx="1255196" cy="382834"/>
        </a:xfrm>
        <a:prstGeom prst="rect">
          <a:avLst/>
        </a:prstGeom>
        <a:solidFill>
          <a:sysClr val="window" lastClr="FFFFFF">
            <a:lumMod val="85000"/>
          </a:sysClr>
        </a:soli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Investments</a:t>
          </a:r>
        </a:p>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100%</a:t>
          </a:r>
        </a:p>
      </dsp:txBody>
      <dsp:txXfrm>
        <a:off x="876708" y="395957"/>
        <a:ext cx="1255196" cy="382834"/>
      </dsp:txXfrm>
    </dsp:sp>
    <dsp:sp modelId="{BD3BAF88-97F0-46F4-AF7C-A396DD664F0D}">
      <dsp:nvSpPr>
        <dsp:cNvPr id="0" name=""/>
        <dsp:cNvSpPr/>
      </dsp:nvSpPr>
      <dsp:spPr>
        <a:xfrm>
          <a:off x="2382944" y="22"/>
          <a:ext cx="1255196" cy="634970"/>
        </a:xfrm>
        <a:prstGeom prst="rect">
          <a:avLst/>
        </a:prstGeom>
        <a:solidFill>
          <a:srgbClr val="009900"/>
        </a:soli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solidFill>
              <a:latin typeface="Calibri" panose="020F0502020204030204"/>
              <a:ea typeface="+mn-ea"/>
              <a:cs typeface="+mn-cs"/>
            </a:rPr>
            <a:t> </a:t>
          </a:r>
          <a:r>
            <a:rPr lang="en-US" sz="900" kern="1200">
              <a:solidFill>
                <a:sysClr val="windowText" lastClr="000000"/>
              </a:solidFill>
              <a:latin typeface="Calibri" panose="020F0502020204030204"/>
              <a:ea typeface="+mn-ea"/>
              <a:cs typeface="+mn-cs"/>
            </a:rPr>
            <a:t>#1</a:t>
          </a:r>
          <a:r>
            <a:rPr lang="en-GB" sz="900" b="1" kern="1200">
              <a:solidFill>
                <a:sysClr val="windowText" lastClr="000000">
                  <a:hueOff val="0"/>
                  <a:satOff val="0"/>
                  <a:lumOff val="0"/>
                  <a:alphaOff val="0"/>
                </a:sysClr>
              </a:solidFill>
              <a:latin typeface="Calibri" panose="020F0502020204030204"/>
              <a:ea typeface="+mn-ea"/>
              <a:cs typeface="+mn-cs"/>
            </a:rPr>
            <a:t> </a:t>
          </a:r>
          <a:r>
            <a:rPr lang="en-GB" sz="900" b="0" kern="1200">
              <a:solidFill>
                <a:sysClr val="windowText" lastClr="000000">
                  <a:hueOff val="0"/>
                  <a:satOff val="0"/>
                  <a:lumOff val="0"/>
                  <a:alphaOff val="0"/>
                </a:sysClr>
              </a:solidFill>
              <a:latin typeface="Calibri" panose="020F0502020204030204"/>
              <a:ea typeface="+mn-ea"/>
              <a:cs typeface="+mn-cs"/>
            </a:rPr>
            <a:t>90%</a:t>
          </a:r>
        </a:p>
      </dsp:txBody>
      <dsp:txXfrm>
        <a:off x="2382944" y="22"/>
        <a:ext cx="1255196" cy="634970"/>
      </dsp:txXfrm>
    </dsp:sp>
    <dsp:sp modelId="{226B17C5-6474-4423-A47F-CFC1D1F36659}">
      <dsp:nvSpPr>
        <dsp:cNvPr id="0" name=""/>
        <dsp:cNvSpPr/>
      </dsp:nvSpPr>
      <dsp:spPr>
        <a:xfrm>
          <a:off x="2382944" y="791892"/>
          <a:ext cx="1255196" cy="382834"/>
        </a:xfrm>
        <a:prstGeom prst="rect">
          <a:avLst/>
        </a:prstGeom>
        <a:solidFill>
          <a:sysClr val="window" lastClr="FFFFFF">
            <a:lumMod val="85000"/>
          </a:sysClr>
        </a:soli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solidFill>
              <a:latin typeface="Calibri" panose="020F0502020204030204"/>
              <a:ea typeface="+mn-ea"/>
              <a:cs typeface="+mn-cs"/>
            </a:rPr>
            <a:t>#2 10%</a:t>
          </a:r>
        </a:p>
      </dsp:txBody>
      <dsp:txXfrm>
        <a:off x="2382944" y="791892"/>
        <a:ext cx="1255196" cy="382834"/>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5FCFFC3A6584023A98A3C90AD2DCA3F"/>
        <w:category>
          <w:name w:val="General"/>
          <w:gallery w:val="placeholder"/>
        </w:category>
        <w:types>
          <w:type w:val="bbPlcHdr"/>
        </w:types>
        <w:behaviors>
          <w:behavior w:val="content"/>
        </w:behaviors>
        <w:guid w:val="{DF3259F9-C3A4-4466-8663-A7A5537AF888}"/>
      </w:docPartPr>
      <w:docPartBody>
        <w:p w:rsidR="004D399D" w:rsidRDefault="004D399D"/>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Flama Semicondensed Light">
    <w:altName w:val="Calibri"/>
    <w:charset w:val="00"/>
    <w:family w:val="auto"/>
    <w:pitch w:val="variable"/>
    <w:sig w:usb0="A00000AF" w:usb1="4000207B" w:usb2="00000000" w:usb3="00000000" w:csb0="0000008B" w:csb1="00000000"/>
  </w:font>
  <w:font w:name="Lucida Sans">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FDC"/>
    <w:rsid w:val="00011751"/>
    <w:rsid w:val="00022317"/>
    <w:rsid w:val="000235E9"/>
    <w:rsid w:val="00033C18"/>
    <w:rsid w:val="00043128"/>
    <w:rsid w:val="00070D78"/>
    <w:rsid w:val="00075E74"/>
    <w:rsid w:val="000A3EF6"/>
    <w:rsid w:val="000A5318"/>
    <w:rsid w:val="000A73B6"/>
    <w:rsid w:val="000A7C11"/>
    <w:rsid w:val="000B2625"/>
    <w:rsid w:val="000C4359"/>
    <w:rsid w:val="000E0ABA"/>
    <w:rsid w:val="000F5B52"/>
    <w:rsid w:val="000F7276"/>
    <w:rsid w:val="00114FCE"/>
    <w:rsid w:val="0013005A"/>
    <w:rsid w:val="00130355"/>
    <w:rsid w:val="001408E1"/>
    <w:rsid w:val="00144DBA"/>
    <w:rsid w:val="0014712E"/>
    <w:rsid w:val="00177BD0"/>
    <w:rsid w:val="00182879"/>
    <w:rsid w:val="001845F0"/>
    <w:rsid w:val="0018714A"/>
    <w:rsid w:val="001A1011"/>
    <w:rsid w:val="001A23BB"/>
    <w:rsid w:val="001C05E7"/>
    <w:rsid w:val="001D0E45"/>
    <w:rsid w:val="001D37F7"/>
    <w:rsid w:val="001F4DFC"/>
    <w:rsid w:val="002061BF"/>
    <w:rsid w:val="00241284"/>
    <w:rsid w:val="00241A3C"/>
    <w:rsid w:val="00254071"/>
    <w:rsid w:val="00290F7B"/>
    <w:rsid w:val="002C4861"/>
    <w:rsid w:val="002D23FD"/>
    <w:rsid w:val="002E0003"/>
    <w:rsid w:val="002E0F8B"/>
    <w:rsid w:val="002E5391"/>
    <w:rsid w:val="00303F39"/>
    <w:rsid w:val="003064EA"/>
    <w:rsid w:val="00307C9E"/>
    <w:rsid w:val="0032220D"/>
    <w:rsid w:val="0032622A"/>
    <w:rsid w:val="00331B3F"/>
    <w:rsid w:val="00347DB7"/>
    <w:rsid w:val="00377C62"/>
    <w:rsid w:val="00382196"/>
    <w:rsid w:val="00384799"/>
    <w:rsid w:val="0038639C"/>
    <w:rsid w:val="00392FD6"/>
    <w:rsid w:val="003D00CD"/>
    <w:rsid w:val="003D3857"/>
    <w:rsid w:val="003F3436"/>
    <w:rsid w:val="003F4A7C"/>
    <w:rsid w:val="004064A6"/>
    <w:rsid w:val="0042283A"/>
    <w:rsid w:val="004247D5"/>
    <w:rsid w:val="00460092"/>
    <w:rsid w:val="00492C7F"/>
    <w:rsid w:val="004A55EB"/>
    <w:rsid w:val="004C1436"/>
    <w:rsid w:val="004C36E9"/>
    <w:rsid w:val="004C6F66"/>
    <w:rsid w:val="004D399D"/>
    <w:rsid w:val="004E43D3"/>
    <w:rsid w:val="004E74AA"/>
    <w:rsid w:val="004F5D7D"/>
    <w:rsid w:val="00506C81"/>
    <w:rsid w:val="00511A06"/>
    <w:rsid w:val="00526EB4"/>
    <w:rsid w:val="00552550"/>
    <w:rsid w:val="005624F6"/>
    <w:rsid w:val="005649C6"/>
    <w:rsid w:val="00584B16"/>
    <w:rsid w:val="00593B02"/>
    <w:rsid w:val="00596034"/>
    <w:rsid w:val="005B6AB7"/>
    <w:rsid w:val="005D0F38"/>
    <w:rsid w:val="005D42E3"/>
    <w:rsid w:val="005E009E"/>
    <w:rsid w:val="005E0189"/>
    <w:rsid w:val="005E0E73"/>
    <w:rsid w:val="00600FDC"/>
    <w:rsid w:val="006178DE"/>
    <w:rsid w:val="0062145F"/>
    <w:rsid w:val="00653359"/>
    <w:rsid w:val="0069080F"/>
    <w:rsid w:val="00692F8A"/>
    <w:rsid w:val="006B48EF"/>
    <w:rsid w:val="006C4E45"/>
    <w:rsid w:val="006D376B"/>
    <w:rsid w:val="00711C4C"/>
    <w:rsid w:val="007138BC"/>
    <w:rsid w:val="00726E24"/>
    <w:rsid w:val="00743006"/>
    <w:rsid w:val="0074639D"/>
    <w:rsid w:val="00755374"/>
    <w:rsid w:val="007602B7"/>
    <w:rsid w:val="00776FF0"/>
    <w:rsid w:val="00781E38"/>
    <w:rsid w:val="00793D6A"/>
    <w:rsid w:val="007A4A35"/>
    <w:rsid w:val="007B1605"/>
    <w:rsid w:val="007B537C"/>
    <w:rsid w:val="007B5DD0"/>
    <w:rsid w:val="007D5FC1"/>
    <w:rsid w:val="007E7397"/>
    <w:rsid w:val="00803C52"/>
    <w:rsid w:val="00805711"/>
    <w:rsid w:val="00807B82"/>
    <w:rsid w:val="008259B0"/>
    <w:rsid w:val="0083557D"/>
    <w:rsid w:val="008365BC"/>
    <w:rsid w:val="008535A6"/>
    <w:rsid w:val="0086045E"/>
    <w:rsid w:val="00866A37"/>
    <w:rsid w:val="008819F9"/>
    <w:rsid w:val="00893B31"/>
    <w:rsid w:val="008A5164"/>
    <w:rsid w:val="008A6F0B"/>
    <w:rsid w:val="008B1FB1"/>
    <w:rsid w:val="008B30C3"/>
    <w:rsid w:val="008C0D44"/>
    <w:rsid w:val="008C3571"/>
    <w:rsid w:val="008D5394"/>
    <w:rsid w:val="008E1DDC"/>
    <w:rsid w:val="00901A50"/>
    <w:rsid w:val="00907FE4"/>
    <w:rsid w:val="00914F66"/>
    <w:rsid w:val="00932F8F"/>
    <w:rsid w:val="00934C2F"/>
    <w:rsid w:val="00957FFC"/>
    <w:rsid w:val="00960DB6"/>
    <w:rsid w:val="00973ACE"/>
    <w:rsid w:val="00976F0E"/>
    <w:rsid w:val="00980B9A"/>
    <w:rsid w:val="00990162"/>
    <w:rsid w:val="0099098A"/>
    <w:rsid w:val="009A0296"/>
    <w:rsid w:val="00A01953"/>
    <w:rsid w:val="00A1467B"/>
    <w:rsid w:val="00A41B06"/>
    <w:rsid w:val="00A450A3"/>
    <w:rsid w:val="00A52FFC"/>
    <w:rsid w:val="00A7329E"/>
    <w:rsid w:val="00A74100"/>
    <w:rsid w:val="00A811B6"/>
    <w:rsid w:val="00A8400D"/>
    <w:rsid w:val="00A9008B"/>
    <w:rsid w:val="00AD1648"/>
    <w:rsid w:val="00AE02C9"/>
    <w:rsid w:val="00AF1117"/>
    <w:rsid w:val="00B05E86"/>
    <w:rsid w:val="00B14C2C"/>
    <w:rsid w:val="00B20F5C"/>
    <w:rsid w:val="00B232E6"/>
    <w:rsid w:val="00B23B47"/>
    <w:rsid w:val="00B30968"/>
    <w:rsid w:val="00B41F3E"/>
    <w:rsid w:val="00B637D5"/>
    <w:rsid w:val="00B762BC"/>
    <w:rsid w:val="00B8117A"/>
    <w:rsid w:val="00B9410F"/>
    <w:rsid w:val="00BA4482"/>
    <w:rsid w:val="00BA4FC0"/>
    <w:rsid w:val="00BB1FEA"/>
    <w:rsid w:val="00BB33D2"/>
    <w:rsid w:val="00BB7CE3"/>
    <w:rsid w:val="00BC1A6F"/>
    <w:rsid w:val="00BE6364"/>
    <w:rsid w:val="00C052FA"/>
    <w:rsid w:val="00C1404C"/>
    <w:rsid w:val="00C46A2F"/>
    <w:rsid w:val="00C50E1C"/>
    <w:rsid w:val="00C52822"/>
    <w:rsid w:val="00C5686E"/>
    <w:rsid w:val="00C57C22"/>
    <w:rsid w:val="00C70ACF"/>
    <w:rsid w:val="00C74203"/>
    <w:rsid w:val="00C77E45"/>
    <w:rsid w:val="00C904BA"/>
    <w:rsid w:val="00C94B99"/>
    <w:rsid w:val="00CA1061"/>
    <w:rsid w:val="00CA6810"/>
    <w:rsid w:val="00CB3D8A"/>
    <w:rsid w:val="00CB501F"/>
    <w:rsid w:val="00CD4C14"/>
    <w:rsid w:val="00CD5FED"/>
    <w:rsid w:val="00CE78F3"/>
    <w:rsid w:val="00D01D0A"/>
    <w:rsid w:val="00D0483F"/>
    <w:rsid w:val="00D31B10"/>
    <w:rsid w:val="00D763E7"/>
    <w:rsid w:val="00DC2A7A"/>
    <w:rsid w:val="00E10D39"/>
    <w:rsid w:val="00E1434F"/>
    <w:rsid w:val="00E46CEE"/>
    <w:rsid w:val="00E504B5"/>
    <w:rsid w:val="00E55E1E"/>
    <w:rsid w:val="00E56AAE"/>
    <w:rsid w:val="00E60DEC"/>
    <w:rsid w:val="00E666B1"/>
    <w:rsid w:val="00E7660A"/>
    <w:rsid w:val="00E802C3"/>
    <w:rsid w:val="00E82F3A"/>
    <w:rsid w:val="00EA2E6D"/>
    <w:rsid w:val="00ED4859"/>
    <w:rsid w:val="00EE66AB"/>
    <w:rsid w:val="00EF08C9"/>
    <w:rsid w:val="00F0640E"/>
    <w:rsid w:val="00F30E2E"/>
    <w:rsid w:val="00F46ADB"/>
    <w:rsid w:val="00F636C3"/>
    <w:rsid w:val="00F74B68"/>
    <w:rsid w:val="00F868EB"/>
    <w:rsid w:val="00F96A55"/>
    <w:rsid w:val="00FA1014"/>
    <w:rsid w:val="00FA3AE1"/>
    <w:rsid w:val="00FB7CBB"/>
    <w:rsid w:val="00FC3885"/>
    <w:rsid w:val="00FE1608"/>
    <w:rsid w:val="00FE3A10"/>
    <w:rsid w:val="00FE5F9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FDC"/>
    <w:rPr>
      <w:rFonts w:cs="Times New Roman"/>
      <w:sz w:val="3276"/>
      <w:szCs w:val="327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4C143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ALG Brand Colours">
      <a:dk1>
        <a:sysClr val="windowText" lastClr="000000"/>
      </a:dk1>
      <a:lt1>
        <a:srgbClr val="FFFFFF"/>
      </a:lt1>
      <a:dk2>
        <a:srgbClr val="3E3935"/>
      </a:dk2>
      <a:lt2>
        <a:srgbClr val="938D89"/>
      </a:lt2>
      <a:accent1>
        <a:srgbClr val="2CD5C4"/>
      </a:accent1>
      <a:accent2>
        <a:srgbClr val="9FD8D1"/>
      </a:accent2>
      <a:accent3>
        <a:srgbClr val="157C6E"/>
      </a:accent3>
      <a:accent4>
        <a:srgbClr val="3E3935"/>
      </a:accent4>
      <a:accent5>
        <a:srgbClr val="78716C"/>
      </a:accent5>
      <a:accent6>
        <a:srgbClr val="C6C2C0"/>
      </a:accent6>
      <a:hlink>
        <a:srgbClr val="2CD5C4"/>
      </a:hlink>
      <a:folHlink>
        <a:srgbClr val="2CD5C4"/>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F7532FB0-1E10-4E82-99EC-0E2C8B2A4B2D}">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9589</Words>
  <Characters>52744</Characters>
  <Application>Microsoft Office Word</Application>
  <DocSecurity>0</DocSecurity>
  <Lines>439</Lines>
  <Paragraphs>124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ODDO BHF</Company>
  <LinksUpToDate>false</LinksUpToDate>
  <CharactersWithSpaces>62209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PERNET Valentin</dc:creator>
  <cp:lastModifiedBy>Sarah-Louise Butler</cp:lastModifiedBy>
  <cp:revision>13</cp:revision>
  <dcterms:created xsi:type="dcterms:W3CDTF">2025-07-17T14:08:00Z</dcterms:created>
  <dcterms:modified xsi:type="dcterms:W3CDTF">2025-07-22T19:53:00Z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#77737890v10&lt;MAIN&gt;</vt:lpwstr>
  </property>
</Properties>
</file>