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rPr>
          <w:rFonts w:hint="eastAsia"/>
        </w:rPr>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F6C6C">
        <w:t>underly a long hist</w:t>
      </w:r>
      <w:r w:rsidR="004F6C6C" w:rsidRPr="00502E13">
        <w:t xml:space="preserve">ory of </w:t>
      </w:r>
      <w:r w:rsidR="004A24FB" w:rsidRPr="00502E13">
        <w:t>linguists posit</w:t>
      </w:r>
      <w:r w:rsidR="004F6C6C" w:rsidRPr="00502E13">
        <w:t>s</w:t>
      </w:r>
      <w:r w:rsidR="004A24FB" w:rsidRPr="00502E13">
        <w:t xml:space="preserve"> abstract categories such as voiceless and sonorant</w:t>
      </w:r>
      <w:r w:rsidR="004F6C6C" w:rsidRPr="00502E13">
        <w:t>, dating back to Chomsky and Halle (1968)</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502E13" w:rsidRPr="00502E13">
        <w:rPr>
          <w:highlight w:val="yellow"/>
        </w:rPr>
        <w:t>Bybee book</w:t>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w:t>
      </w:r>
      <w:r w:rsidR="008A31D1">
        <w:t xml:space="preserve"> frequently-occurring phrases</w:t>
      </w:r>
      <w:r w:rsidR="00217AFF">
        <w:t xml:space="preserve"> </w:t>
      </w:r>
      <w:r w:rsidR="00217AFF" w:rsidRPr="00217AFF">
        <w:rPr>
          <w:i/>
        </w:rPr>
        <w:t>I’m going to</w:t>
      </w:r>
      <w:r w:rsidR="00217AFF">
        <w:t xml:space="preserve"> and </w:t>
      </w:r>
      <w:r w:rsidR="00217AFF" w:rsidRPr="00217AFF">
        <w:rPr>
          <w:i/>
        </w:rPr>
        <w:t>I don’t know</w:t>
      </w:r>
      <w:r w:rsidR="00217AFF">
        <w:t xml:space="preserve"> as </w:t>
      </w:r>
      <w:r w:rsidR="008A31D1">
        <w:t>[</w:t>
      </w:r>
      <w:proofErr w:type="spellStart"/>
      <w:r w:rsidR="008A31D1">
        <w:rPr>
          <w:rFonts w:ascii="Lucida Sans Unicode" w:hAnsi="Lucida Sans Unicode" w:cs="Lucida Sans Unicode"/>
        </w:rPr>
        <w:t>aɪmə</w:t>
      </w:r>
      <w:proofErr w:type="spellEnd"/>
      <w:r w:rsidR="008A31D1">
        <w:t xml:space="preserve">] and </w:t>
      </w:r>
      <w:r w:rsidR="00217AFF">
        <w:t>[</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5B3462">
      <w:pPr>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Speakers us their </w:t>
      </w:r>
      <w:r w:rsidR="00CD7C96" w:rsidRPr="00B53D4E">
        <w:lastRenderedPageBreak/>
        <w:t>emergent linguistic knowledge to infer the relative probability of a word given the context. Highly predictable words need less phonetic cues to accurately process than less predictable words.</w:t>
      </w:r>
      <w:r w:rsidR="0075158F">
        <w:t xml:space="preserve">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w:t>
      </w:r>
      <w:proofErr w:type="spellStart"/>
      <w:r w:rsidR="005B3462">
        <w:t>nb</w:t>
      </w:r>
      <w:proofErr w:type="spellEnd"/>
      <w:r w:rsidR="005B3462">
        <w:t xml:space="preserve">/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are as follows. </w:t>
      </w:r>
      <w:r w:rsidR="00A70187" w:rsidRPr="00A70187">
        <w:rPr>
          <w:highlight w:val="yellow"/>
        </w:rPr>
        <w:t xml:space="preserve">Ibbotson and </w:t>
      </w:r>
      <w:proofErr w:type="spellStart"/>
      <w:r w:rsidR="00A70187" w:rsidRPr="00A70187">
        <w:rPr>
          <w:highlight w:val="yellow"/>
        </w:rPr>
        <w:t>Tomasello</w:t>
      </w:r>
      <w:proofErr w:type="spellEnd"/>
      <w:r w:rsidR="00A70187" w:rsidRPr="00A70187">
        <w:rPr>
          <w:highlight w:val="yellow"/>
        </w:rPr>
        <w:t xml:space="preserve"> (2016: 74)</w:t>
      </w:r>
      <w:r w:rsidR="00A70187">
        <w:t xml:space="preserve"> claim that “the notion of universal grammar is plain wrong” </w:t>
      </w:r>
      <w:r w:rsidR="00A70187">
        <w:t>while</w:t>
      </w:r>
      <w:r w:rsidR="00A70187">
        <w:t xml:space="preserve"> </w:t>
      </w:r>
      <w:r w:rsidR="00A70187" w:rsidRPr="00A70187">
        <w:rPr>
          <w:highlight w:val="yellow"/>
        </w:rPr>
        <w:t>Villavicencio (2020)</w:t>
      </w:r>
      <w:r w:rsidR="00A70187">
        <w:t xml:space="preserve"> presents the study of universal grammar as pseudoscience. </w:t>
      </w:r>
      <w:r w:rsidR="00A70187" w:rsidRPr="00A70187">
        <w:rPr>
          <w:highlight w:val="yellow"/>
        </w:rPr>
        <w:t>Lin (2017)</w:t>
      </w:r>
      <w:r w:rsidR="00A70187">
        <w:t xml:space="preserve"> claims to refute universal grammar, which, he argues, is “deeply problematic,” but </w:t>
      </w:r>
      <w:r w:rsidR="00A70187" w:rsidRPr="00A70187">
        <w:rPr>
          <w:highlight w:val="yellow"/>
        </w:rPr>
        <w:t>Wu (2020)</w:t>
      </w:r>
      <w:r w:rsidR="00A70187">
        <w:t xml:space="preserve"> refutes the refutation.</w:t>
      </w:r>
    </w:p>
    <w:p w:rsidR="00A70187" w:rsidRPr="00A70187" w:rsidRDefault="00A70187" w:rsidP="00A70187">
      <w:pPr>
        <w:pStyle w:val="mparaindent"/>
        <w:rPr>
          <w:rFonts w:hint="eastAsia"/>
        </w:rPr>
      </w:pPr>
      <w:r>
        <w:t xml:space="preserve">Relevant to this study, others advocate </w:t>
      </w:r>
      <w:proofErr w:type="gramStart"/>
      <w:r>
        <w:t>an</w:t>
      </w:r>
      <w:proofErr w:type="gramEnd"/>
      <w:r>
        <w:t xml:space="preserve"> mixed approach</w:t>
      </w:r>
      <w:r w:rsidR="001426D5">
        <w:t xml:space="preserve"> (Guy 2012 #143, O’Grady 2015)</w:t>
      </w:r>
      <w:r>
        <w:t xml:space="preserve">. </w:t>
      </w:r>
    </w:p>
    <w:p w:rsidR="005B3462" w:rsidRDefault="005B3462" w:rsidP="00B53D4E">
      <w:pPr>
        <w:pStyle w:val="mparaindent"/>
      </w:pPr>
    </w:p>
    <w:p w:rsidR="005B3462" w:rsidRDefault="005B3462" w:rsidP="00B53D4E">
      <w:pPr>
        <w:pStyle w:val="mparaindent"/>
      </w:pPr>
    </w:p>
    <w:p w:rsidR="005B3462" w:rsidRDefault="005B3462" w:rsidP="00B53D4E">
      <w:pPr>
        <w:pStyle w:val="mparaindent"/>
        <w:rPr>
          <w:rFonts w:hint="eastAsia"/>
        </w:rPr>
      </w:pPr>
    </w:p>
    <w:p w:rsidR="00412FEA" w:rsidRPr="00B53D4E" w:rsidRDefault="00412FEA" w:rsidP="00412FEA">
      <w:pPr>
        <w:pStyle w:val="msubsection"/>
      </w:pPr>
      <w:r>
        <w:rPr>
          <w:rFonts w:hint="eastAsia"/>
        </w:rPr>
        <w:t>1</w:t>
      </w:r>
      <w:r>
        <w:t>.1</w:t>
      </w:r>
      <w:r>
        <w:tab/>
        <w:t>Nasal substitution</w:t>
      </w:r>
    </w:p>
    <w:p w:rsidR="00D30615" w:rsidRDefault="00063AD1" w:rsidP="00B53D4E">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 xml:space="preserve">Nasal substitution refers to the synchronic process of replacing a non-nasal moraic syllable with the moraic nasal. Nasal </w:t>
      </w:r>
      <w:r w:rsidR="00BB3B68">
        <w:rPr>
          <w:rFonts w:hint="eastAsia"/>
        </w:rPr>
        <w:t>substitution</w:t>
      </w:r>
      <w:r w:rsidR="00D30615">
        <w:t xml:space="preserve"> occurs both in standard Japanese and vernacular Japanese. One example of nasal </w:t>
      </w:r>
      <w:r w:rsidR="00BD795B">
        <w:t>subst</w:t>
      </w:r>
      <w:r w:rsidR="00E87B8B">
        <w:t>it</w:t>
      </w:r>
      <w:r w:rsidR="004A24FB">
        <w:t>ution</w:t>
      </w:r>
      <w:r w:rsidR="00BD795B">
        <w:t xml:space="preserve"> </w:t>
      </w:r>
      <w:r w:rsidR="00D30615">
        <w:t xml:space="preserve">in </w:t>
      </w:r>
      <w:r w:rsidR="00BB4EF0">
        <w:t>S</w:t>
      </w:r>
      <w:r w:rsidR="00BB4EF0">
        <w:rPr>
          <w:rFonts w:hint="eastAsia"/>
        </w:rPr>
        <w:t>tandard</w:t>
      </w:r>
      <w:r w:rsidR="00D30615">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xml:space="preserve">). Intensification occurs as a moraic consonant infix /C/ between the first and second </w:t>
      </w:r>
      <w:r w:rsidR="00BD795B">
        <w:lastRenderedPageBreak/>
        <w:t>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 xml:space="preserve">Yoshizumi, </w:t>
      </w:r>
      <w:r w:rsidR="00675DA6" w:rsidRPr="00675DA6">
        <w:rPr>
          <w:noProof/>
        </w:rPr>
        <w:lastRenderedPageBreak/>
        <w:t>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2A50A2">
      <w:pPr>
        <w:pStyle w:val="mexline1"/>
        <w:tabs>
          <w:tab w:val="left" w:pos="2835"/>
          <w:tab w:val="left" w:pos="4253"/>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2A50A2">
      <w:pPr>
        <w:pStyle w:val="mexline2"/>
        <w:tabs>
          <w:tab w:val="left" w:pos="2835"/>
          <w:tab w:val="left" w:pos="4253"/>
          <w:tab w:val="left" w:pos="5670"/>
          <w:tab w:val="left" w:pos="6663"/>
        </w:tabs>
      </w:pPr>
      <w:r>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r>
      <w:proofErr w:type="spellStart"/>
      <w:r w:rsidRPr="007F1E5C">
        <w:rPr>
          <w:i/>
        </w:rPr>
        <w:t>kirokarorii</w:t>
      </w:r>
      <w:proofErr w:type="spellEnd"/>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003BBA" w:rsidRPr="007F1E5C" w:rsidRDefault="00003BBA" w:rsidP="00003BBA">
      <w:pPr>
        <w:pStyle w:val="mexline3"/>
      </w:pPr>
      <w:r>
        <w:tab/>
        <w:t>‘This has 425 kilocalories!’</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003BBA" w:rsidRPr="00874F97" w:rsidRDefault="00003BBA" w:rsidP="00003BBA">
      <w:pPr>
        <w:pStyle w:val="mexline3"/>
      </w:pPr>
      <w:r>
        <w:lastRenderedPageBreak/>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r w:rsidR="00604720">
        <w:t>neg-</w:t>
      </w:r>
      <w:r w:rsidR="00604720" w:rsidRPr="00604720">
        <w:rPr>
          <w:smallCaps/>
        </w:rPr>
        <w:t>adv</w:t>
      </w:r>
      <w:r w:rsidR="00604720">
        <w:tab/>
        <w:t>become</w:t>
      </w:r>
      <w:r w:rsidR="00604720">
        <w:tab/>
      </w:r>
      <w:r w:rsidR="00604720" w:rsidRPr="00604720">
        <w:rPr>
          <w:smallCaps/>
        </w:rPr>
        <w:t>dm</w:t>
      </w:r>
    </w:p>
    <w:p w:rsidR="00604720" w:rsidRDefault="00604720" w:rsidP="00604720">
      <w:pPr>
        <w:pStyle w:val="mexline3"/>
      </w:pPr>
      <w:r>
        <w:lastRenderedPageBreak/>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similar to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proofErr w:type="spellStart"/>
      <w:r w:rsidR="00181F52" w:rsidRPr="00181F52">
        <w:rPr>
          <w:i/>
        </w:rPr>
        <w:t>nen</w:t>
      </w:r>
      <w:proofErr w:type="spellEnd"/>
      <w:r w:rsidR="00181F52">
        <w:t xml:space="preserve">, </w:t>
      </w:r>
      <w:r w:rsidR="00CB1DFB">
        <w:rPr>
          <w:i/>
        </w:rPr>
        <w:t>non</w:t>
      </w:r>
      <w:r w:rsidR="00CB1DFB">
        <w:t xml:space="preserve">, </w:t>
      </w:r>
      <w:r w:rsidR="00181F52">
        <w:t>etc.) and a copula (</w:t>
      </w:r>
      <w:r w:rsidR="00181F52" w:rsidRPr="00181F52">
        <w:rPr>
          <w:i/>
        </w:rPr>
        <w:t>da</w:t>
      </w:r>
      <w:r w:rsidR="00181F52">
        <w:t xml:space="preserve">, </w:t>
      </w:r>
      <w:proofErr w:type="spellStart"/>
      <w:r w:rsidR="004C0ED0" w:rsidRPr="004C0ED0">
        <w:rPr>
          <w:i/>
        </w:rPr>
        <w:t>daro</w:t>
      </w:r>
      <w:proofErr w:type="spellEnd"/>
      <w:r w:rsidR="004C0ED0">
        <w:t xml:space="preserve">, </w:t>
      </w:r>
      <w:proofErr w:type="spellStart"/>
      <w:r w:rsidR="00181F52" w:rsidRPr="00181F52">
        <w:rPr>
          <w:i/>
        </w:rPr>
        <w:t>ya</w:t>
      </w:r>
      <w:proofErr w:type="spellEnd"/>
      <w:r w:rsidR="00181F52">
        <w:t xml:space="preserve">, </w:t>
      </w:r>
      <w:proofErr w:type="spellStart"/>
      <w:r w:rsidR="00181F52" w:rsidRPr="00181F52">
        <w:rPr>
          <w:i/>
        </w:rPr>
        <w:t>yan</w:t>
      </w:r>
      <w:proofErr w:type="spellEnd"/>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F43D43">
        <w:rPr>
          <w:highlight w:val="yellow"/>
        </w:rPr>
        <w:t>(Clopper and Turnbull, 2018 already in references)</w:t>
      </w:r>
      <w:r w:rsidR="00871A4A" w:rsidRPr="00651A0F">
        <w:t xml:space="preserve">. 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F43D43">
        <w:rPr>
          <w:highlight w:val="yellow"/>
        </w:rPr>
        <w:t>(</w:t>
      </w:r>
      <w:proofErr w:type="spellStart"/>
      <w:r w:rsidR="00F43D43">
        <w:rPr>
          <w:highlight w:val="yellow"/>
        </w:rPr>
        <w:t>Jurafsky</w:t>
      </w:r>
      <w:proofErr w:type="spellEnd"/>
      <w:r w:rsidR="00F43D43">
        <w:rPr>
          <w:highlight w:val="yellow"/>
        </w:rPr>
        <w:t xml:space="preserve">… see last page; </w:t>
      </w:r>
      <w:r w:rsidR="00651A0F">
        <w:rPr>
          <w:highlight w:val="yellow"/>
        </w:rPr>
        <w:t>Pavlik 2017 already in references</w:t>
      </w:r>
      <w:r w:rsidR="00F43D43" w:rsidRPr="00651A0F">
        <w:t>)</w:t>
      </w:r>
      <w:r w:rsidR="00871A4A" w:rsidRPr="00651A0F">
        <w:t>.</w:t>
      </w:r>
      <w:r w:rsidR="00651A0F">
        <w:t xml:space="preserve"> The pattern seen Table 1 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lastRenderedPageBreak/>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w:t>
            </w:r>
            <w:proofErr w:type="spellStart"/>
            <w:r w:rsidRPr="00181F52">
              <w:rPr>
                <w:i/>
              </w:rPr>
              <w:t>daro</w:t>
            </w:r>
            <w:proofErr w:type="spellEnd"/>
            <w:r w:rsidRPr="00181F52">
              <w:t>,</w:t>
            </w:r>
            <w:r>
              <w:t xml:space="preserve"> </w:t>
            </w:r>
            <w:proofErr w:type="spellStart"/>
            <w:r>
              <w:t>etc</w:t>
            </w:r>
            <w:proofErr w:type="spellEnd"/>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w:t>
            </w:r>
            <w:proofErr w:type="spellStart"/>
            <w:r w:rsidRPr="004C0ED0">
              <w:rPr>
                <w:i/>
              </w:rPr>
              <w:t>ya</w:t>
            </w:r>
            <w:proofErr w:type="spellEnd"/>
            <w:r>
              <w:t xml:space="preserve">, </w:t>
            </w:r>
            <w:r w:rsidRPr="004C0ED0">
              <w:rPr>
                <w:i/>
              </w:rPr>
              <w:t>n-</w:t>
            </w:r>
            <w:proofErr w:type="spellStart"/>
            <w:r w:rsidRPr="004C0ED0">
              <w:rPr>
                <w:i/>
              </w:rPr>
              <w:t>yatte</w:t>
            </w:r>
            <w:proofErr w:type="spellEnd"/>
            <w:r>
              <w:t xml:space="preserve">, </w:t>
            </w:r>
            <w:r w:rsidRPr="004C0ED0">
              <w:rPr>
                <w:i/>
              </w:rPr>
              <w:t>n</w:t>
            </w:r>
            <w:r>
              <w:t>-</w:t>
            </w:r>
            <w:proofErr w:type="spellStart"/>
            <w:r w:rsidRPr="004C0ED0">
              <w:rPr>
                <w:i/>
              </w:rPr>
              <w:t>yaro</w:t>
            </w:r>
            <w:proofErr w:type="spellEnd"/>
            <w:r>
              <w:t xml:space="preserve">, </w:t>
            </w:r>
            <w:r w:rsidRPr="004C0ED0">
              <w:rPr>
                <w:i/>
              </w:rPr>
              <w:t>n-</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proofErr w:type="spellStart"/>
            <w:r w:rsidRPr="004C0ED0">
              <w:rPr>
                <w:i/>
              </w:rPr>
              <w:t>ya</w:t>
            </w:r>
            <w:proofErr w:type="spellEnd"/>
            <w:r>
              <w:t xml:space="preserve">, </w:t>
            </w:r>
            <w:r w:rsidRPr="004C0ED0">
              <w:rPr>
                <w:i/>
              </w:rPr>
              <w:t>ne</w:t>
            </w:r>
            <w:r>
              <w:t>-</w:t>
            </w:r>
            <w:proofErr w:type="spellStart"/>
            <w:r w:rsidRPr="004C0ED0">
              <w:rPr>
                <w:i/>
              </w:rPr>
              <w:t>yatte</w:t>
            </w:r>
            <w:proofErr w:type="spellEnd"/>
            <w:r>
              <w:t xml:space="preserve">, </w:t>
            </w:r>
            <w:r w:rsidRPr="004C0ED0">
              <w:rPr>
                <w:i/>
              </w:rPr>
              <w:t>ne</w:t>
            </w:r>
            <w:r>
              <w:t>-</w:t>
            </w:r>
            <w:proofErr w:type="spellStart"/>
            <w:r w:rsidRPr="004C0ED0">
              <w:rPr>
                <w:i/>
              </w:rPr>
              <w:t>yaro</w:t>
            </w:r>
            <w:proofErr w:type="spellEnd"/>
            <w:r>
              <w:t xml:space="preserve">, </w:t>
            </w:r>
            <w:r w:rsidRPr="004C0ED0">
              <w:rPr>
                <w:i/>
              </w:rPr>
              <w:t>ne</w:t>
            </w:r>
            <w:r>
              <w:t>-</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proofErr w:type="spellStart"/>
            <w:r w:rsidRPr="00181F52">
              <w:rPr>
                <w:i/>
              </w:rPr>
              <w:t>nen</w:t>
            </w:r>
            <w:proofErr w:type="spellEnd"/>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proofErr w:type="spellStart"/>
            <w:r w:rsidRPr="004C0ED0">
              <w:rPr>
                <w:rFonts w:hint="eastAsia"/>
                <w:i/>
              </w:rPr>
              <w:t>n</w:t>
            </w:r>
            <w:r w:rsidRPr="004C0ED0">
              <w:rPr>
                <w:i/>
              </w:rPr>
              <w:t>en</w:t>
            </w:r>
            <w:r>
              <w:t>-</w:t>
            </w:r>
            <w:r w:rsidRPr="004C0ED0">
              <w:rPr>
                <w:i/>
              </w:rPr>
              <w:t>ya</w:t>
            </w:r>
            <w:proofErr w:type="spellEnd"/>
            <w:r>
              <w:t xml:space="preserve">, </w:t>
            </w:r>
            <w:proofErr w:type="spellStart"/>
            <w:r w:rsidRPr="004C0ED0">
              <w:rPr>
                <w:i/>
              </w:rPr>
              <w:t>nen</w:t>
            </w:r>
            <w:r>
              <w:t>-</w:t>
            </w:r>
            <w:r w:rsidRPr="004C0ED0">
              <w:rPr>
                <w:i/>
              </w:rPr>
              <w:t>yatte</w:t>
            </w:r>
            <w:proofErr w:type="spellEnd"/>
            <w:r>
              <w:t xml:space="preserve">, </w:t>
            </w:r>
            <w:proofErr w:type="spellStart"/>
            <w:r w:rsidRPr="004C0ED0">
              <w:rPr>
                <w:i/>
              </w:rPr>
              <w:t>nen</w:t>
            </w:r>
            <w:r>
              <w:t>-</w:t>
            </w:r>
            <w:r w:rsidRPr="004C0ED0">
              <w:rPr>
                <w:i/>
              </w:rPr>
              <w:t>yaro</w:t>
            </w:r>
            <w:proofErr w:type="spellEnd"/>
            <w:r>
              <w:t xml:space="preserve">, </w:t>
            </w:r>
            <w:proofErr w:type="spellStart"/>
            <w:r w:rsidRPr="004C0ED0">
              <w:rPr>
                <w:i/>
              </w:rPr>
              <w:t>nen</w:t>
            </w:r>
            <w:r>
              <w:t>-</w:t>
            </w:r>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w:t>
            </w:r>
            <w:proofErr w:type="spellStart"/>
            <w:r>
              <w:rPr>
                <w:i/>
              </w:rPr>
              <w:t>ya</w:t>
            </w:r>
            <w:proofErr w:type="spellEnd"/>
            <w:r w:rsidRPr="00CB1DFB">
              <w:t>,</w:t>
            </w:r>
            <w:r>
              <w:rPr>
                <w:i/>
              </w:rPr>
              <w:t xml:space="preserve"> no-</w:t>
            </w:r>
            <w:proofErr w:type="spellStart"/>
            <w:r>
              <w:rPr>
                <w:i/>
              </w:rPr>
              <w:t>yatte</w:t>
            </w:r>
            <w:proofErr w:type="spellEnd"/>
            <w:r w:rsidRPr="00CB1DFB">
              <w:t>,</w:t>
            </w:r>
            <w:r>
              <w:rPr>
                <w:i/>
              </w:rPr>
              <w:t xml:space="preserve"> no-</w:t>
            </w:r>
            <w:proofErr w:type="spellStart"/>
            <w:r>
              <w:rPr>
                <w:i/>
              </w:rPr>
              <w:t>yaro</w:t>
            </w:r>
            <w:proofErr w:type="spellEnd"/>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412FEA">
        <w:t xml:space="preserve">Wen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t>(</w:t>
      </w:r>
      <w:bookmarkStart w:id="7" w:name="example_8"/>
      <w:r>
        <w:fldChar w:fldCharType="begin"/>
      </w:r>
      <w:r>
        <w:instrText xml:space="preserve"> AUTONUM  </w:instrText>
      </w:r>
      <w:r>
        <w:fldChar w:fldCharType="end"/>
      </w:r>
      <w:bookmarkEnd w:id="7"/>
      <w:r>
        <w:t>)</w:t>
      </w:r>
      <w:r w:rsidR="006B571C">
        <w:tab/>
      </w:r>
      <w:proofErr w:type="spellStart"/>
      <w:r w:rsidR="006B571C" w:rsidRPr="006B571C">
        <w:rPr>
          <w:rFonts w:hint="eastAsia"/>
          <w:i/>
        </w:rPr>
        <w:t>o</w:t>
      </w:r>
      <w:r w:rsidR="006B571C" w:rsidRPr="006B571C">
        <w:rPr>
          <w:i/>
        </w:rPr>
        <w:t>re</w:t>
      </w:r>
      <w:proofErr w:type="spellEnd"/>
      <w:r w:rsidR="006B571C" w:rsidRPr="006B571C">
        <w:rPr>
          <w:i/>
        </w:rPr>
        <w:tab/>
      </w:r>
      <w:proofErr w:type="spellStart"/>
      <w:r w:rsidR="006B571C" w:rsidRPr="006B571C">
        <w:rPr>
          <w:i/>
        </w:rPr>
        <w:t>Oo</w:t>
      </w:r>
      <w:r w:rsidR="00DA6D1D">
        <w:rPr>
          <w:rFonts w:hint="eastAsia"/>
          <w:i/>
        </w:rPr>
        <w:t>z</w:t>
      </w:r>
      <w:r w:rsidR="006B571C" w:rsidRPr="006B571C">
        <w:rPr>
          <w:i/>
        </w:rPr>
        <w:t>i.kooen-ni</w:t>
      </w:r>
      <w:proofErr w:type="spellEnd"/>
      <w:r w:rsidR="006B571C" w:rsidRPr="006B571C">
        <w:rPr>
          <w:i/>
        </w:rPr>
        <w:tab/>
        <w:t>sun-de</w:t>
      </w:r>
      <w:r w:rsidR="006B571C" w:rsidRPr="00C91D14">
        <w:rPr>
          <w:i/>
          <w:u w:val="single"/>
        </w:rPr>
        <w:t>n</w:t>
      </w:r>
      <w:r w:rsidR="006B571C" w:rsidRPr="006B571C">
        <w:rPr>
          <w:i/>
        </w:rPr>
        <w:tab/>
      </w:r>
      <w:proofErr w:type="spellStart"/>
      <w:r w:rsidR="006B571C" w:rsidRPr="006B571C">
        <w:rPr>
          <w:i/>
        </w:rPr>
        <w:t>kedo</w:t>
      </w:r>
      <w:proofErr w:type="spellEnd"/>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t>omo-</w:t>
      </w:r>
      <w:proofErr w:type="spellStart"/>
      <w:proofErr w:type="gramStart"/>
      <w:r w:rsidRPr="007F1E5C">
        <w:rPr>
          <w:i/>
        </w:rPr>
        <w:t>tte.n</w:t>
      </w:r>
      <w:proofErr w:type="spellEnd"/>
      <w:proofErr w:type="gramEnd"/>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41182D" w:rsidRDefault="0041182D" w:rsidP="0041182D">
      <w:pPr>
        <w:pStyle w:val="mexline1"/>
        <w:tabs>
          <w:tab w:val="left" w:pos="1560"/>
          <w:tab w:val="left" w:pos="2552"/>
          <w:tab w:val="left" w:pos="3119"/>
          <w:tab w:val="left" w:pos="6663"/>
        </w:tabs>
      </w:pPr>
      <w:r>
        <w:tab/>
      </w:r>
      <w:proofErr w:type="spellStart"/>
      <w:r w:rsidRPr="0041182D">
        <w:rPr>
          <w:rFonts w:hint="eastAsia"/>
          <w:i/>
        </w:rPr>
        <w:t>k</w:t>
      </w:r>
      <w:r w:rsidRPr="0041182D">
        <w:rPr>
          <w:i/>
        </w:rPr>
        <w:t>omban</w:t>
      </w:r>
      <w:proofErr w:type="spellEnd"/>
      <w:r w:rsidRPr="0041182D">
        <w:rPr>
          <w:i/>
        </w:rPr>
        <w:tab/>
      </w:r>
      <w:proofErr w:type="spellStart"/>
      <w:r w:rsidRPr="0041182D">
        <w:rPr>
          <w:i/>
        </w:rPr>
        <w:t>ma</w:t>
      </w:r>
      <w:r>
        <w:rPr>
          <w:i/>
        </w:rPr>
        <w:t>a</w:t>
      </w:r>
      <w:r w:rsidRPr="0041182D">
        <w:rPr>
          <w:i/>
        </w:rPr>
        <w:t>jan</w:t>
      </w:r>
      <w:proofErr w:type="spellEnd"/>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proofErr w:type="gramStart"/>
      <w:r>
        <w:rPr>
          <w:rFonts w:hint="eastAsia"/>
        </w:rPr>
        <w:t>t</w:t>
      </w:r>
      <w:r>
        <w:t>onight</w:t>
      </w:r>
      <w:proofErr w:type="gramEnd"/>
      <w:r>
        <w:tab/>
        <w:t>mahjong</w:t>
      </w:r>
      <w:r>
        <w:tab/>
        <w:t>do</w:t>
      </w:r>
      <w:r>
        <w:tab/>
      </w:r>
      <w:proofErr w:type="spellStart"/>
      <w:r w:rsidRPr="0041182D">
        <w:rPr>
          <w:smallCaps/>
        </w:rPr>
        <w:t>sfp</w:t>
      </w:r>
      <w:proofErr w:type="spellEnd"/>
    </w:p>
    <w:p w:rsidR="0041182D" w:rsidRDefault="0041182D" w:rsidP="0041182D">
      <w:pPr>
        <w:pStyle w:val="mexline3"/>
      </w:pPr>
      <w:r>
        <w:tab/>
        <w:t>‘</w:t>
      </w:r>
      <w:proofErr w:type="gramStart"/>
      <w:r>
        <w:t>Tonight</w:t>
      </w:r>
      <w:proofErr w:type="gramEnd"/>
      <w:r>
        <w:t xml:space="preserve">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lastRenderedPageBreak/>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t>omo-tte.</w:t>
      </w:r>
      <w:r w:rsidR="007F1E5C" w:rsidRPr="00694F5A">
        <w:rPr>
          <w:rFonts w:hint="eastAsia"/>
          <w:i/>
          <w:u w:val="single"/>
        </w:rPr>
        <w:t>ru</w:t>
      </w:r>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proofErr w:type="spellStart"/>
      <w:r w:rsidRPr="0041182D">
        <w:rPr>
          <w:i/>
        </w:rPr>
        <w:t>sororo</w:t>
      </w:r>
      <w:proofErr w:type="spellEnd"/>
      <w:r w:rsidRPr="0041182D">
        <w:rPr>
          <w:i/>
        </w:rPr>
        <w:tab/>
      </w:r>
      <w:proofErr w:type="spellStart"/>
      <w:r w:rsidRPr="0041182D">
        <w:rPr>
          <w:i/>
        </w:rPr>
        <w:t>kekkon</w:t>
      </w:r>
      <w:proofErr w:type="spellEnd"/>
      <w:r w:rsidRPr="0041182D">
        <w:rPr>
          <w:i/>
        </w:rPr>
        <w:tab/>
      </w:r>
      <w:proofErr w:type="spellStart"/>
      <w:r w:rsidRPr="0041182D">
        <w:rPr>
          <w:i/>
        </w:rPr>
        <w:t>su</w:t>
      </w:r>
      <w:r w:rsidRPr="0041182D">
        <w:rPr>
          <w:i/>
          <w:u w:val="single"/>
        </w:rPr>
        <w:t>ru</w:t>
      </w:r>
      <w:proofErr w:type="spellEnd"/>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proofErr w:type="spellStart"/>
      <w:r w:rsidRPr="0041182D">
        <w:rPr>
          <w:smallCaps/>
        </w:rPr>
        <w:t>sfp</w:t>
      </w:r>
      <w:proofErr w:type="spellEnd"/>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w:t>
      </w:r>
      <w:proofErr w:type="spellStart"/>
      <w:r w:rsidRPr="00397A61">
        <w:t>the</w:t>
      </w:r>
      <w:proofErr w:type="spellEnd"/>
      <w:r w:rsidRPr="00397A61">
        <w:t xml:space="preserv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Kyoto University Graduate School of Informatics &amp; Nihon Telegraph and Telephone Corporation, 2013</w:t>
      </w:r>
      <w:r w:rsidR="00397A61">
        <w:fldChar w:fldCharType="end"/>
      </w:r>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vernacular past-tense suffix variant -</w:t>
      </w:r>
      <w:r w:rsidR="001372D5" w:rsidRPr="001372D5">
        <w:rPr>
          <w:i/>
        </w:rPr>
        <w:t>ten</w:t>
      </w:r>
      <w:r w:rsidR="001372D5">
        <w:t xml:space="preserve"> (standard form -</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w:t>
      </w:r>
      <w:r w:rsidR="001A6274">
        <w:lastRenderedPageBreak/>
        <w:t xml:space="preserve">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In order to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lastRenderedPageBreak/>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proofErr w:type="spellStart"/>
      <w:r w:rsidR="00397A61" w:rsidRPr="007947B5">
        <w:rPr>
          <w:i/>
        </w:rPr>
        <w:t>ya</w:t>
      </w:r>
      <w:proofErr w:type="spellEnd"/>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proofErr w:type="spellStart"/>
      <w:r w:rsidR="00397A61" w:rsidRPr="007947B5">
        <w:rPr>
          <w:i/>
        </w:rPr>
        <w:t>t</w:t>
      </w:r>
      <w:r w:rsidRPr="007947B5">
        <w:rPr>
          <w:i/>
        </w:rPr>
        <w:t>abe-nai</w:t>
      </w:r>
      <w:proofErr w:type="spellEnd"/>
      <w:r>
        <w:t xml:space="preserve"> vs. </w:t>
      </w:r>
      <w:proofErr w:type="spellStart"/>
      <w:r w:rsidRPr="007947B5">
        <w:rPr>
          <w:i/>
        </w:rPr>
        <w:t>tabe</w:t>
      </w:r>
      <w:proofErr w:type="spellEnd"/>
      <w:r w:rsidRPr="007947B5">
        <w:rPr>
          <w:i/>
        </w:rPr>
        <w:t>-hen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proofErr w:type="spellStart"/>
      <w:r w:rsidR="00397A61" w:rsidRPr="007947B5">
        <w:rPr>
          <w:i/>
        </w:rPr>
        <w:t>iru</w:t>
      </w:r>
      <w:proofErr w:type="spellEnd"/>
      <w:r w:rsidR="00397A61">
        <w:t xml:space="preserve"> vs. </w:t>
      </w:r>
      <w:proofErr w:type="spellStart"/>
      <w:r w:rsidR="00397A61" w:rsidRPr="007947B5">
        <w:rPr>
          <w:i/>
        </w:rPr>
        <w:t>oru</w:t>
      </w:r>
      <w:proofErr w:type="spellEnd"/>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proofErr w:type="spellStart"/>
      <w:r w:rsidRPr="007947B5">
        <w:rPr>
          <w:i/>
        </w:rPr>
        <w:t>yo</w:t>
      </w:r>
      <w:proofErr w:type="spellEnd"/>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proofErr w:type="spellStart"/>
      <w:r w:rsidRPr="007947B5">
        <w:rPr>
          <w:i/>
        </w:rPr>
        <w:t>erai</w:t>
      </w:r>
      <w:proofErr w:type="spellEnd"/>
      <w:r>
        <w:t xml:space="preserve"> vs. </w:t>
      </w:r>
      <w:proofErr w:type="spellStart"/>
      <w:r w:rsidRPr="007947B5">
        <w:rPr>
          <w:i/>
        </w:rPr>
        <w:t>kekko</w:t>
      </w:r>
      <w:proofErr w:type="spellEnd"/>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proofErr w:type="spellStart"/>
      <w:r w:rsidRPr="007947B5">
        <w:rPr>
          <w:i/>
        </w:rPr>
        <w:t>ee</w:t>
      </w:r>
      <w:proofErr w:type="spellEnd"/>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t>Linguistic factors</w:t>
      </w:r>
    </w:p>
    <w:p w:rsidR="006D4B69" w:rsidRPr="008B4218" w:rsidRDefault="00A7710C" w:rsidP="008B4218">
      <w:pPr>
        <w:pStyle w:val="msubsubsection"/>
      </w:pPr>
      <w:r>
        <w:t>2</w:t>
      </w:r>
      <w:r w:rsidR="008B4218" w:rsidRPr="008B4218">
        <w:t>.4.1</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8B2830">
        <w:t xml:space="preserve">main </w:t>
      </w:r>
      <w:r>
        <w:t xml:space="preserve">verb root, or there may be intervening morphemes between the </w:t>
      </w:r>
      <w:r w:rsidR="008B2830">
        <w:t xml:space="preserve">main </w:t>
      </w:r>
      <w:r>
        <w:t xml:space="preserve">verb root and the </w:t>
      </w:r>
      <w:r w:rsidR="008B2830">
        <w:t xml:space="preserve">target. We coded the former as adjacent and the latter and non-adjacent. Targets occurring at the end of compound verbs such as </w:t>
      </w:r>
      <w:proofErr w:type="spellStart"/>
      <w:r w:rsidR="008B2830" w:rsidRPr="008B2830">
        <w:rPr>
          <w:i/>
        </w:rPr>
        <w:t>furi-kaeru</w:t>
      </w:r>
      <w:proofErr w:type="spellEnd"/>
      <w:r w:rsidR="008B2830">
        <w:t xml:space="preserve"> ‘look back’ were coded as adjacent. Targets occurring at the end of auxiliary verbs following the infinitive </w:t>
      </w:r>
      <w:r w:rsidR="008B2830" w:rsidRPr="008B2830">
        <w:rPr>
          <w:i/>
        </w:rPr>
        <w:t>-</w:t>
      </w:r>
      <w:proofErr w:type="spellStart"/>
      <w:r w:rsidR="008B2830" w:rsidRPr="008B2830">
        <w:rPr>
          <w:i/>
        </w:rPr>
        <w:t>te</w:t>
      </w:r>
      <w:proofErr w:type="spellEnd"/>
      <w:r w:rsidR="008B2830">
        <w:t xml:space="preserve"> were coded as non-adjacent. In </w:t>
      </w:r>
      <w:r w:rsidR="005E5AD9">
        <w:t>spoken Japanese</w:t>
      </w:r>
      <w:r w:rsidR="008B2830">
        <w:t xml:space="preserve">, the vowel of </w:t>
      </w:r>
      <w:r w:rsidR="008B2830" w:rsidRPr="008B2830">
        <w:rPr>
          <w:i/>
        </w:rPr>
        <w:t>-</w:t>
      </w:r>
      <w:proofErr w:type="spellStart"/>
      <w:r w:rsidR="008B2830" w:rsidRPr="008B2830">
        <w:rPr>
          <w:i/>
        </w:rPr>
        <w:t>te</w:t>
      </w:r>
      <w:proofErr w:type="spellEnd"/>
      <w:r w:rsidR="008B2830">
        <w:t xml:space="preserve"> morpheme often coalesces with the following vowel, obscuring the morphological boundary between the main verb and the </w:t>
      </w:r>
      <w:r w:rsidR="00C81B43">
        <w:t>auxiliary</w:t>
      </w:r>
      <w:r w:rsidR="008B2830">
        <w:t xml:space="preserve"> verb.</w:t>
      </w:r>
      <w:r w:rsidR="005E5AD9">
        <w:t xml:space="preserve"> 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naru</w:t>
      </w:r>
      <w:proofErr w:type="spellEnd"/>
      <w:r w:rsidRPr="005D1916">
        <w:rPr>
          <w:i/>
        </w:rPr>
        <w:tab/>
      </w:r>
      <w:proofErr w:type="spellStart"/>
      <w:r w:rsidRPr="005D1916">
        <w:rPr>
          <w:i/>
        </w:rPr>
        <w:t>nen</w:t>
      </w:r>
      <w:proofErr w:type="spellEnd"/>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1" w:name="example_12"/>
      <w:r w:rsidR="002D0BCA">
        <w:fldChar w:fldCharType="begin"/>
      </w:r>
      <w:r w:rsidR="002D0BCA">
        <w:instrText xml:space="preserve"> AUTONUM  </w:instrText>
      </w:r>
      <w:r w:rsidR="002D0BCA">
        <w:fldChar w:fldCharType="end"/>
      </w:r>
      <w:bookmarkEnd w:id="11"/>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lastRenderedPageBreak/>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proofErr w:type="spellStart"/>
      <w:r w:rsidR="008B538A" w:rsidRPr="00EC0147">
        <w:rPr>
          <w:i/>
        </w:rPr>
        <w:t>ue-wa</w:t>
      </w:r>
      <w:proofErr w:type="spellEnd"/>
      <w:r w:rsidR="008B538A" w:rsidRPr="00EC0147">
        <w:rPr>
          <w:i/>
        </w:rPr>
        <w:tab/>
      </w:r>
      <w:proofErr w:type="spellStart"/>
      <w:r w:rsidR="008B538A" w:rsidRPr="00EC0147">
        <w:rPr>
          <w:i/>
        </w:rPr>
        <w:t>hikooki</w:t>
      </w:r>
      <w:proofErr w:type="spellEnd"/>
      <w:r w:rsidR="008B538A" w:rsidRPr="00EC0147">
        <w:rPr>
          <w:i/>
        </w:rPr>
        <w:tab/>
        <w:t>ton-den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pPr>
      <w:r>
        <w:tab/>
      </w:r>
      <w:r w:rsidR="00CD678C">
        <w:t>‘There are bomber airplanes flying above us.’</w:t>
      </w:r>
    </w:p>
    <w:p w:rsidR="00ED520A" w:rsidRPr="008B4218" w:rsidRDefault="00A7710C" w:rsidP="00ED520A">
      <w:pPr>
        <w:pStyle w:val="msubsubsection"/>
      </w:pPr>
      <w:r>
        <w:t>2</w:t>
      </w:r>
      <w:bookmarkStart w:id="12" w:name="_GoBack"/>
      <w:bookmarkEnd w:id="12"/>
      <w:r w:rsidR="00ED520A" w:rsidRPr="008B4218">
        <w:t>.4.1</w:t>
      </w:r>
      <w:r w:rsidR="00ED520A" w:rsidRPr="008B4218">
        <w:tab/>
      </w:r>
      <w:r w:rsidR="00ED520A">
        <w:t>Part of speech of following word</w:t>
      </w:r>
    </w:p>
    <w:p w:rsidR="00ED520A" w:rsidRPr="00ED520A" w:rsidRDefault="00ED520A" w:rsidP="00ED520A">
      <w:pPr>
        <w:pStyle w:val="mparanoindent"/>
      </w:pPr>
      <w:r>
        <w:rPr>
          <w:rFonts w:hint="eastAsia"/>
        </w:rPr>
        <w:t>T</w:t>
      </w:r>
      <w:r>
        <w:t xml:space="preserve">he traditional context for nasal substitution is a particle that begins with either /n/ or /d/. Thus, we coded the word following the nasal substitution target for its part of speech according to the categories listed in </w:t>
      </w:r>
      <w:proofErr w:type="gramStart"/>
      <w:r>
        <w:t>Table .</w:t>
      </w:r>
      <w:proofErr w:type="gramEnd"/>
      <w:r>
        <w:t xml:space="preserve"> </w:t>
      </w:r>
    </w:p>
    <w:p w:rsidR="00ED520A" w:rsidRDefault="00ED520A" w:rsidP="00ED520A">
      <w:pPr>
        <w:jc w:val="left"/>
      </w:pPr>
    </w:p>
    <w:tbl>
      <w:tblPr>
        <w:tblStyle w:val="ad"/>
        <w:tblW w:w="0" w:type="auto"/>
        <w:tblLook w:val="04A0" w:firstRow="1" w:lastRow="0" w:firstColumn="1" w:lastColumn="0" w:noHBand="0" w:noVBand="1"/>
      </w:tblPr>
      <w:tblGrid>
        <w:gridCol w:w="4247"/>
        <w:gridCol w:w="4247"/>
      </w:tblGrid>
      <w:tr w:rsidR="00ED520A" w:rsidTr="00ED520A">
        <w:tc>
          <w:tcPr>
            <w:tcW w:w="4247" w:type="dxa"/>
          </w:tcPr>
          <w:p w:rsidR="00ED520A" w:rsidRDefault="00ED520A" w:rsidP="00ED520A">
            <w:pPr>
              <w:jc w:val="left"/>
            </w:pPr>
            <w:r>
              <w:rPr>
                <w:rFonts w:hint="eastAsia"/>
              </w:rPr>
              <w:t>C</w:t>
            </w:r>
            <w:r>
              <w:t>ategory</w:t>
            </w:r>
          </w:p>
        </w:tc>
        <w:tc>
          <w:tcPr>
            <w:tcW w:w="4247" w:type="dxa"/>
          </w:tcPr>
          <w:p w:rsidR="00ED520A" w:rsidRDefault="00ED520A" w:rsidP="00ED520A">
            <w:pPr>
              <w:jc w:val="left"/>
            </w:pPr>
            <w:r>
              <w:rPr>
                <w:rFonts w:hint="eastAsia"/>
              </w:rPr>
              <w:t>E</w:t>
            </w:r>
            <w:r>
              <w:t>xample words</w:t>
            </w:r>
          </w:p>
        </w:tc>
      </w:tr>
      <w:tr w:rsidR="00ED520A" w:rsidTr="00ED520A">
        <w:tc>
          <w:tcPr>
            <w:tcW w:w="4247" w:type="dxa"/>
          </w:tcPr>
          <w:p w:rsidR="00ED520A" w:rsidRDefault="00ED520A" w:rsidP="00ED520A">
            <w:pPr>
              <w:jc w:val="left"/>
            </w:pPr>
            <w:r>
              <w:t>case marker</w:t>
            </w:r>
          </w:p>
        </w:tc>
        <w:tc>
          <w:tcPr>
            <w:tcW w:w="4247" w:type="dxa"/>
          </w:tcPr>
          <w:p w:rsidR="00ED520A" w:rsidRDefault="00AF683E" w:rsidP="00ED520A">
            <w:pPr>
              <w:jc w:val="left"/>
            </w:pPr>
            <w:proofErr w:type="spellStart"/>
            <w:r>
              <w:t>ga</w:t>
            </w:r>
            <w:proofErr w:type="spellEnd"/>
            <w:r>
              <w:t xml:space="preserve">, </w:t>
            </w:r>
            <w:proofErr w:type="spellStart"/>
            <w:r>
              <w:t>m</w:t>
            </w:r>
            <w:r w:rsidR="006A4FD9">
              <w:t>o</w:t>
            </w:r>
            <w:proofErr w:type="spellEnd"/>
            <w:r>
              <w:t xml:space="preserve">, </w:t>
            </w:r>
            <w:proofErr w:type="spellStart"/>
            <w:r w:rsidR="00E23A3F">
              <w:rPr>
                <w:rFonts w:hint="eastAsia"/>
              </w:rPr>
              <w:t>y</w:t>
            </w:r>
            <w:r w:rsidR="00E23A3F">
              <w:t>ori</w:t>
            </w:r>
            <w:proofErr w:type="spellEnd"/>
          </w:p>
        </w:tc>
      </w:tr>
      <w:tr w:rsidR="00ED520A" w:rsidTr="00ED520A">
        <w:tc>
          <w:tcPr>
            <w:tcW w:w="4247" w:type="dxa"/>
          </w:tcPr>
          <w:p w:rsidR="00ED520A" w:rsidRDefault="00ED520A" w:rsidP="00ED520A">
            <w:pPr>
              <w:jc w:val="left"/>
            </w:pPr>
            <w:r>
              <w:t>discourse marker</w:t>
            </w:r>
            <w:r w:rsidR="00AF683E">
              <w:t>s, discourse phrases</w:t>
            </w:r>
          </w:p>
        </w:tc>
        <w:tc>
          <w:tcPr>
            <w:tcW w:w="4247" w:type="dxa"/>
          </w:tcPr>
          <w:p w:rsidR="00ED520A" w:rsidRDefault="00AF683E" w:rsidP="00ED520A">
            <w:pPr>
              <w:jc w:val="left"/>
            </w:pPr>
            <w:proofErr w:type="spellStart"/>
            <w:r>
              <w:t>kedo</w:t>
            </w:r>
            <w:proofErr w:type="spellEnd"/>
            <w:r>
              <w:t xml:space="preserve">, </w:t>
            </w:r>
            <w:r>
              <w:rPr>
                <w:rFonts w:hint="eastAsia"/>
              </w:rPr>
              <w:t>n</w:t>
            </w:r>
            <w:r>
              <w:t>-</w:t>
            </w:r>
            <w:proofErr w:type="spellStart"/>
            <w:r>
              <w:t>ya</w:t>
            </w:r>
            <w:proofErr w:type="spellEnd"/>
            <w:r>
              <w:t>, n-</w:t>
            </w:r>
            <w:proofErr w:type="spellStart"/>
            <w:r>
              <w:t>tyau</w:t>
            </w:r>
            <w:proofErr w:type="spellEnd"/>
          </w:p>
        </w:tc>
      </w:tr>
      <w:tr w:rsidR="00ED520A" w:rsidTr="00ED520A">
        <w:tc>
          <w:tcPr>
            <w:tcW w:w="4247" w:type="dxa"/>
          </w:tcPr>
          <w:p w:rsidR="00ED520A" w:rsidRDefault="00ED520A" w:rsidP="00ED520A">
            <w:pPr>
              <w:jc w:val="left"/>
            </w:pPr>
            <w:r>
              <w:t>nominalizer</w:t>
            </w:r>
          </w:p>
        </w:tc>
        <w:tc>
          <w:tcPr>
            <w:tcW w:w="4247" w:type="dxa"/>
          </w:tcPr>
          <w:p w:rsidR="00ED520A" w:rsidRDefault="00AF683E" w:rsidP="00ED520A">
            <w:pPr>
              <w:jc w:val="left"/>
            </w:pPr>
            <w:r>
              <w:t>No, non, n</w:t>
            </w:r>
          </w:p>
        </w:tc>
      </w:tr>
      <w:tr w:rsidR="00ED520A" w:rsidTr="00ED520A">
        <w:tc>
          <w:tcPr>
            <w:tcW w:w="4247" w:type="dxa"/>
          </w:tcPr>
          <w:p w:rsidR="00ED520A" w:rsidRDefault="00ED520A" w:rsidP="00ED520A">
            <w:pPr>
              <w:jc w:val="left"/>
            </w:pPr>
            <w:r>
              <w:t>noun</w:t>
            </w:r>
          </w:p>
        </w:tc>
        <w:tc>
          <w:tcPr>
            <w:tcW w:w="4247" w:type="dxa"/>
          </w:tcPr>
          <w:p w:rsidR="00ED520A" w:rsidRDefault="00ED520A" w:rsidP="00ED520A">
            <w:pPr>
              <w:jc w:val="left"/>
            </w:pPr>
          </w:p>
        </w:tc>
      </w:tr>
      <w:tr w:rsidR="00ED520A" w:rsidTr="00ED520A">
        <w:tc>
          <w:tcPr>
            <w:tcW w:w="4247" w:type="dxa"/>
          </w:tcPr>
          <w:p w:rsidR="00ED520A" w:rsidRDefault="00ED520A" w:rsidP="00ED520A">
            <w:pPr>
              <w:jc w:val="left"/>
            </w:pPr>
            <w:r>
              <w:t>other grammatical</w:t>
            </w:r>
          </w:p>
        </w:tc>
        <w:tc>
          <w:tcPr>
            <w:tcW w:w="4247" w:type="dxa"/>
          </w:tcPr>
          <w:p w:rsidR="00ED520A" w:rsidRDefault="00ED520A" w:rsidP="00ED520A">
            <w:pPr>
              <w:jc w:val="left"/>
            </w:pPr>
          </w:p>
        </w:tc>
      </w:tr>
      <w:tr w:rsidR="00ED520A" w:rsidTr="00ED520A">
        <w:tc>
          <w:tcPr>
            <w:tcW w:w="4247" w:type="dxa"/>
          </w:tcPr>
          <w:p w:rsidR="00ED520A" w:rsidRDefault="00ED520A" w:rsidP="00ED520A">
            <w:pPr>
              <w:jc w:val="left"/>
            </w:pPr>
            <w:r>
              <w:t>other lexical</w:t>
            </w:r>
          </w:p>
        </w:tc>
        <w:tc>
          <w:tcPr>
            <w:tcW w:w="4247" w:type="dxa"/>
          </w:tcPr>
          <w:p w:rsidR="00ED520A" w:rsidRDefault="00ED520A" w:rsidP="00ED520A">
            <w:pPr>
              <w:jc w:val="left"/>
            </w:pPr>
          </w:p>
        </w:tc>
      </w:tr>
      <w:tr w:rsidR="00ED520A" w:rsidTr="00ED520A">
        <w:tc>
          <w:tcPr>
            <w:tcW w:w="4247" w:type="dxa"/>
          </w:tcPr>
          <w:p w:rsidR="00ED520A" w:rsidRDefault="00ED520A" w:rsidP="00ED520A">
            <w:pPr>
              <w:jc w:val="left"/>
            </w:pPr>
            <w:r>
              <w:t>pause</w:t>
            </w:r>
          </w:p>
        </w:tc>
        <w:tc>
          <w:tcPr>
            <w:tcW w:w="4247" w:type="dxa"/>
          </w:tcPr>
          <w:p w:rsidR="00ED520A" w:rsidRDefault="00AF683E" w:rsidP="00ED520A">
            <w:pPr>
              <w:jc w:val="left"/>
            </w:pPr>
            <w:r>
              <w:rPr>
                <w:rFonts w:hint="eastAsia"/>
              </w:rPr>
              <w:t>-</w:t>
            </w:r>
            <w:r>
              <w:t>-</w:t>
            </w:r>
          </w:p>
        </w:tc>
      </w:tr>
      <w:tr w:rsidR="00ED520A" w:rsidRPr="00AF683E" w:rsidTr="00ED520A">
        <w:tc>
          <w:tcPr>
            <w:tcW w:w="4247" w:type="dxa"/>
          </w:tcPr>
          <w:p w:rsidR="00ED520A" w:rsidRDefault="00ED520A" w:rsidP="00ED520A">
            <w:pPr>
              <w:jc w:val="left"/>
            </w:pPr>
            <w:r>
              <w:t>sentence-final particle</w:t>
            </w:r>
          </w:p>
        </w:tc>
        <w:tc>
          <w:tcPr>
            <w:tcW w:w="4247" w:type="dxa"/>
          </w:tcPr>
          <w:p w:rsidR="00ED520A" w:rsidRDefault="00AF683E" w:rsidP="00ED520A">
            <w:pPr>
              <w:jc w:val="left"/>
            </w:pPr>
            <w:r>
              <w:t xml:space="preserve">De, Na, </w:t>
            </w:r>
            <w:proofErr w:type="spellStart"/>
            <w:r>
              <w:t>nen</w:t>
            </w:r>
            <w:proofErr w:type="spellEnd"/>
            <w:r>
              <w:t xml:space="preserve">, </w:t>
            </w:r>
            <w:proofErr w:type="spellStart"/>
            <w:r>
              <w:t>yo</w:t>
            </w:r>
            <w:proofErr w:type="spellEnd"/>
            <w:r>
              <w:t>, zo</w:t>
            </w:r>
          </w:p>
        </w:tc>
      </w:tr>
    </w:tbl>
    <w:p w:rsidR="00ED520A" w:rsidRDefault="00ED520A" w:rsidP="00ED520A">
      <w:pPr>
        <w:jc w:val="left"/>
      </w:pPr>
    </w:p>
    <w:p w:rsidR="00ED520A" w:rsidRDefault="00ED520A"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F32B1C" w:rsidRDefault="00F32B1C" w:rsidP="00CA57C9">
      <w:r>
        <w:t>Age</w:t>
      </w:r>
    </w:p>
    <w:p w:rsidR="00F32B1C" w:rsidRDefault="00F32B1C" w:rsidP="00CA57C9">
      <w:r>
        <w:t>Gender</w:t>
      </w:r>
    </w:p>
    <w:p w:rsidR="00F32B1C" w:rsidRDefault="00C17E8B" w:rsidP="00CA57C9">
      <w:r>
        <w:t>Speech Style</w:t>
      </w:r>
    </w:p>
    <w:p w:rsidR="00C17E8B" w:rsidRDefault="00C17E8B">
      <w:pPr>
        <w:widowControl/>
        <w:jc w:val="left"/>
      </w:pPr>
    </w:p>
    <w:p w:rsidR="00C17E8B" w:rsidRDefault="00EC0147">
      <w:pPr>
        <w:widowControl/>
        <w:jc w:val="left"/>
      </w:pPr>
      <w:r>
        <w:t>Location</w:t>
      </w:r>
    </w:p>
    <w:p w:rsidR="00C17E8B" w:rsidRDefault="00C17E8B">
      <w:pPr>
        <w:widowControl/>
        <w:jc w:val="left"/>
      </w:pPr>
      <w:r>
        <w:rPr>
          <w:rFonts w:hint="eastAsia"/>
        </w:rPr>
        <w:t>T</w:t>
      </w:r>
      <w:r>
        <w:t>rigger Word POS</w:t>
      </w:r>
    </w:p>
    <w:p w:rsidR="00C17E8B" w:rsidRDefault="00C17E8B">
      <w:pPr>
        <w:widowControl/>
        <w:jc w:val="left"/>
      </w:pPr>
      <w:r>
        <w:rPr>
          <w:rFonts w:hint="eastAsia"/>
        </w:rPr>
        <w:t>T</w:t>
      </w:r>
      <w:r>
        <w:t>rigger Sound Nasality</w:t>
      </w:r>
    </w:p>
    <w:p w:rsidR="00C17E8B" w:rsidRDefault="00C17E8B">
      <w:pPr>
        <w:widowControl/>
        <w:jc w:val="left"/>
      </w:pPr>
      <w:r>
        <w:rPr>
          <w:rFonts w:hint="eastAsia"/>
        </w:rPr>
        <w:t>T</w:t>
      </w:r>
      <w:r>
        <w:t>rigger Sound Voicing</w:t>
      </w:r>
    </w:p>
    <w:p w:rsidR="00147490" w:rsidRDefault="00147490" w:rsidP="00147490">
      <w:pPr>
        <w:widowControl/>
        <w:jc w:val="left"/>
      </w:pPr>
    </w:p>
    <w:p w:rsidR="00147490" w:rsidRDefault="00147490" w:rsidP="00147490">
      <w:pPr>
        <w:widowControl/>
        <w:jc w:val="left"/>
      </w:pPr>
      <w:r>
        <w:t xml:space="preserve">Target </w:t>
      </w:r>
      <w:r>
        <w:rPr>
          <w:rFonts w:hint="eastAsia"/>
        </w:rPr>
        <w:t>W</w:t>
      </w:r>
      <w:r>
        <w:t>ord Frequency</w:t>
      </w:r>
    </w:p>
    <w:p w:rsidR="00147490" w:rsidRDefault="00147490" w:rsidP="00147490">
      <w:pPr>
        <w:widowControl/>
        <w:jc w:val="left"/>
      </w:pPr>
      <w:r>
        <w:rPr>
          <w:rFonts w:hint="eastAsia"/>
        </w:rPr>
        <w:lastRenderedPageBreak/>
        <w:t>P</w:t>
      </w:r>
      <w:r>
        <w:t>hrase Frequency</w:t>
      </w:r>
    </w:p>
    <w:p w:rsidR="00C17E8B" w:rsidRDefault="00C17E8B">
      <w:pPr>
        <w:widowControl/>
        <w:jc w:val="left"/>
      </w:pPr>
    </w:p>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3C026B"/>
    <w:p w:rsidR="00CF497E" w:rsidRDefault="00CF497E" w:rsidP="003C026B"/>
    <w:p w:rsidR="00CF497E" w:rsidRDefault="00CF497E" w:rsidP="00CF497E">
      <w:pPr>
        <w:ind w:firstLineChars="202" w:firstLine="424"/>
      </w:pPr>
      <w:r>
        <w:t xml:space="preserve">The moraic nasal, along with the moraic obstruent, are the only consonants that occur in coda position, contribute to the moraic weight of the syllable, and assimilates place of articulation to the following consonant </w:t>
      </w:r>
      <w:r w:rsidRPr="00CB718A">
        <w:t>(</w:t>
      </w:r>
      <w:r w:rsidRPr="00CB718A">
        <w:fldChar w:fldCharType="begin"/>
      </w:r>
      <w:r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Pr="00CB718A">
        <w:fldChar w:fldCharType="separate"/>
      </w:r>
      <w:r w:rsidRPr="00CB718A">
        <w:rPr>
          <w:noProof/>
        </w:rPr>
        <w:t>Kubozono, 2015</w:t>
      </w:r>
      <w:r w:rsidRPr="00CB718A">
        <w:fldChar w:fldCharType="end"/>
      </w:r>
      <w:r w:rsidRPr="00CB718A">
        <w:t>: 9-10).</w:t>
      </w:r>
      <w:r>
        <w:t xml:space="preserve"> </w:t>
      </w:r>
    </w:p>
    <w:p w:rsidR="00CF497E" w:rsidRPr="00CF497E" w:rsidRDefault="00CF497E" w:rsidP="003C026B"/>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3D23AE" w:rsidRPr="003D23AE" w:rsidRDefault="00CB718A" w:rsidP="003D23AE">
      <w:pPr>
        <w:pStyle w:val="EndNoteBibliography"/>
        <w:ind w:left="720" w:hanging="720"/>
      </w:pPr>
      <w:r>
        <w:fldChar w:fldCharType="begin"/>
      </w:r>
      <w:r>
        <w:instrText xml:space="preserve"> ADDIN EN.REFLIST </w:instrText>
      </w:r>
      <w:r>
        <w:fldChar w:fldCharType="separate"/>
      </w:r>
      <w:r w:rsidR="003D23AE" w:rsidRPr="003D23AE">
        <w:t xml:space="preserve">Beckner, C., Blythe, R., Bybee, J., Christiansen, M. H., Croft, W., Ellis, N. C., . . . Schoenemann, T. (2009). Language is a complex adaptive system: Position paper. </w:t>
      </w:r>
      <w:r w:rsidR="003D23AE" w:rsidRPr="003D23AE">
        <w:rPr>
          <w:i/>
        </w:rPr>
        <w:t>Language Learning, 59</w:t>
      </w:r>
      <w:r w:rsidR="003D23AE" w:rsidRPr="003D23AE">
        <w:t>(Suppl. 1), 1-26. doi:10.1111/j.1467-9922.2009.00533.x</w:t>
      </w:r>
    </w:p>
    <w:p w:rsidR="003D23AE" w:rsidRPr="003D23AE" w:rsidRDefault="003D23AE" w:rsidP="003D23AE">
      <w:pPr>
        <w:pStyle w:val="EndNoteBibliography"/>
        <w:ind w:left="720" w:hanging="720"/>
      </w:pPr>
      <w:r w:rsidRPr="003D23AE">
        <w:t xml:space="preserve">Bybee, J. (2010). </w:t>
      </w:r>
      <w:r w:rsidRPr="003D23AE">
        <w:rPr>
          <w:i/>
        </w:rPr>
        <w:t>Language, usage and cognition</w:t>
      </w:r>
      <w:r w:rsidRPr="003D23AE">
        <w:t>. Cambridge, England: Cambridge University Press.</w:t>
      </w:r>
    </w:p>
    <w:p w:rsidR="003D23AE" w:rsidRPr="003D23AE" w:rsidRDefault="003D23AE" w:rsidP="003D23AE">
      <w:pPr>
        <w:pStyle w:val="EndNoteBibliography"/>
        <w:ind w:left="720" w:hanging="720"/>
      </w:pPr>
      <w:r w:rsidRPr="003D23AE">
        <w:t xml:space="preserve">Bybee, J., &amp; Scheibman, J. (1999). The Effect of usage on degrees of constituency: The reduction of don't in English. </w:t>
      </w:r>
      <w:r w:rsidRPr="003D23AE">
        <w:rPr>
          <w:i/>
        </w:rPr>
        <w:t>Linguistics, 37</w:t>
      </w:r>
      <w:r w:rsidRPr="003D23AE">
        <w:t xml:space="preserve">(4), 575-596. </w:t>
      </w:r>
    </w:p>
    <w:p w:rsidR="003D23AE" w:rsidRPr="003D23AE" w:rsidRDefault="003D23AE" w:rsidP="003D23AE">
      <w:pPr>
        <w:pStyle w:val="EndNoteBibliography"/>
        <w:ind w:left="720" w:hanging="720"/>
      </w:pPr>
      <w:r w:rsidRPr="003D23AE">
        <w:t xml:space="preserve">Clopper, C. G., &amp; Turnbull, R. (2018). Exploring variation in phonetic reduction: Linguistic, social, and cognitive factors. In F. Cangemi, M. Clayards, O. Niebuhr, B. Schuppler, &amp; M. Zellers (Eds.), </w:t>
      </w:r>
      <w:r w:rsidRPr="003D23AE">
        <w:rPr>
          <w:i/>
        </w:rPr>
        <w:t>Rethinking Reduction</w:t>
      </w:r>
      <w:r w:rsidRPr="003D23AE">
        <w:t xml:space="preserve"> (pp. 25–72). Berlin/Munich/Boston: De Gruyter Mouton.</w:t>
      </w:r>
    </w:p>
    <w:p w:rsidR="003D23AE" w:rsidRPr="003D23AE" w:rsidRDefault="003D23AE" w:rsidP="003D23AE">
      <w:pPr>
        <w:pStyle w:val="EndNoteBibliography"/>
        <w:ind w:left="720" w:hanging="720"/>
      </w:pPr>
      <w:r w:rsidRPr="003D23AE">
        <w:t xml:space="preserve">Ernestus, M. (2014). Acoustic reduction and the roles of abstractions and exemplars in speech processing. </w:t>
      </w:r>
      <w:r w:rsidRPr="003D23AE">
        <w:rPr>
          <w:i/>
        </w:rPr>
        <w:t>Lingua, 142</w:t>
      </w:r>
      <w:r w:rsidRPr="003D23AE">
        <w:t>, 27-41. doi:</w:t>
      </w:r>
      <w:hyperlink r:id="rId8" w:history="1">
        <w:r w:rsidRPr="003D23AE">
          <w:rPr>
            <w:rStyle w:val="a7"/>
          </w:rPr>
          <w:t>http://dx.doi.org/10.1016/j.lingua.2012.12.006</w:t>
        </w:r>
      </w:hyperlink>
    </w:p>
    <w:p w:rsidR="003D23AE" w:rsidRPr="003D23AE" w:rsidRDefault="003D23AE" w:rsidP="003D23AE">
      <w:pPr>
        <w:pStyle w:val="EndNoteBibliography"/>
        <w:ind w:left="720" w:hanging="720"/>
      </w:pPr>
      <w:r w:rsidRPr="003D23AE">
        <w:t xml:space="preserve">Fasold, R. W. (1972). </w:t>
      </w:r>
      <w:r w:rsidRPr="003D23AE">
        <w:rPr>
          <w:i/>
        </w:rPr>
        <w:t>Tense marking in Black English: A linguistic and social analysis</w:t>
      </w:r>
      <w:r w:rsidRPr="003D23AE">
        <w:t>. Arlington, VA: Center for Applied Linguistics.</w:t>
      </w:r>
    </w:p>
    <w:p w:rsidR="003D23AE" w:rsidRPr="003D23AE" w:rsidRDefault="003D23AE" w:rsidP="003D23AE">
      <w:pPr>
        <w:pStyle w:val="EndNoteBibliography"/>
        <w:ind w:left="720" w:hanging="720"/>
      </w:pPr>
      <w:r w:rsidRPr="003D23AE">
        <w:t xml:space="preserve">Fujii, N., &amp; Ono, T. (2000). The occurrence and non-occurrence of the Japanese direct object marker o in conversation. </w:t>
      </w:r>
      <w:r w:rsidRPr="003D23AE">
        <w:rPr>
          <w:i/>
        </w:rPr>
        <w:t>Studies in Language, 24</w:t>
      </w:r>
      <w:r w:rsidRPr="003D23AE">
        <w:t>(1), 1-39. doi:10.1075/sl.24.1.02fuj</w:t>
      </w:r>
    </w:p>
    <w:p w:rsidR="003D23AE" w:rsidRPr="003D23AE" w:rsidRDefault="003D23AE" w:rsidP="003D23AE">
      <w:pPr>
        <w:pStyle w:val="EndNoteBibliography"/>
        <w:ind w:left="720" w:hanging="720"/>
      </w:pPr>
      <w:r w:rsidRPr="003D23AE">
        <w:t xml:space="preserve">Heffernan, K., &amp; Hiratuka, Y. (2017). Morphological relative frequency impedes the use of stylistic variants: Evidence from a corpus of vernacular Japanese. </w:t>
      </w:r>
      <w:r w:rsidRPr="003D23AE">
        <w:rPr>
          <w:i/>
        </w:rPr>
        <w:t>Asia Pacific Language Variation 3</w:t>
      </w:r>
      <w:r w:rsidRPr="003D23AE">
        <w:t>(2), 200-231. doi:10.1075/aplv.16009.hef</w:t>
      </w:r>
    </w:p>
    <w:p w:rsidR="003D23AE" w:rsidRPr="003D23AE" w:rsidRDefault="003D23AE" w:rsidP="003D23AE">
      <w:pPr>
        <w:pStyle w:val="EndNoteBibliography"/>
        <w:ind w:left="720" w:hanging="720"/>
      </w:pPr>
      <w:r w:rsidRPr="003D23AE">
        <w:t xml:space="preserve">Heffernan, K., Imanishi, Y., &amp; Honda, M. (2018). Showcasing the interaction of generative and emergent linguistic knowledge with case marker omission in spoken Japanese. </w:t>
      </w:r>
      <w:r w:rsidRPr="003D23AE">
        <w:rPr>
          <w:i/>
        </w:rPr>
        <w:t>Glossa: A journal of general linguistics, 3</w:t>
      </w:r>
      <w:r w:rsidRPr="003D23AE">
        <w:t>(1), 72. 71-24. doi:10.5334/gjgl.500</w:t>
      </w:r>
    </w:p>
    <w:p w:rsidR="003D23AE" w:rsidRPr="003D23AE" w:rsidRDefault="003D23AE" w:rsidP="003D23AE">
      <w:pPr>
        <w:pStyle w:val="EndNoteBibliography"/>
        <w:ind w:left="720" w:hanging="720"/>
      </w:pPr>
      <w:r w:rsidRPr="003D23AE">
        <w:t xml:space="preserve">Hirayama, T. (1997). </w:t>
      </w:r>
      <w:r w:rsidRPr="003D23AE">
        <w:rPr>
          <w:i/>
        </w:rPr>
        <w:t xml:space="preserve">Oosaka no kotoba </w:t>
      </w:r>
      <w:r w:rsidRPr="003D23AE">
        <w:t>[The language of Osaka]. Tokyo: Meijishoin.</w:t>
      </w:r>
    </w:p>
    <w:p w:rsidR="003D23AE" w:rsidRPr="003D23AE" w:rsidRDefault="003D23AE" w:rsidP="003D23AE">
      <w:pPr>
        <w:pStyle w:val="EndNoteBibliography"/>
        <w:ind w:left="720" w:hanging="720"/>
      </w:pPr>
      <w:r w:rsidRPr="003D23AE">
        <w:t xml:space="preserve">Jaeger, T. F., &amp; Buz, E. (2017). Signal reduction and linguistic encoding. In E. M. Fernández &amp; H. S. Cairns (Eds.), </w:t>
      </w:r>
      <w:r w:rsidRPr="003D23AE">
        <w:rPr>
          <w:i/>
        </w:rPr>
        <w:t>The Handbook of Psycholinguistics</w:t>
      </w:r>
      <w:r w:rsidRPr="003D23AE">
        <w:t xml:space="preserve"> (pp. 38-81). Oxford: Wiley Blackwell.</w:t>
      </w:r>
    </w:p>
    <w:p w:rsidR="003D23AE" w:rsidRPr="003D23AE" w:rsidRDefault="003D23AE" w:rsidP="003D23AE">
      <w:pPr>
        <w:pStyle w:val="EndNoteBibliography"/>
        <w:ind w:left="720" w:hanging="720"/>
      </w:pPr>
      <w:r w:rsidRPr="003D23AE">
        <w:t xml:space="preserve">Kubozono, H. (2015). Introduction to Japanese phonetics and phonology. In H. Kubozono (Ed.), </w:t>
      </w:r>
      <w:r w:rsidRPr="003D23AE">
        <w:rPr>
          <w:i/>
        </w:rPr>
        <w:t>Handbook of Japanese Phonetics and Phonology</w:t>
      </w:r>
      <w:r w:rsidRPr="003D23AE">
        <w:t xml:space="preserve"> (pp. 1-41). Berlin/Boston/Munich: De Gruyter Mouton.</w:t>
      </w:r>
    </w:p>
    <w:p w:rsidR="003D23AE" w:rsidRPr="003D23AE" w:rsidRDefault="003D23AE" w:rsidP="003D23AE">
      <w:pPr>
        <w:pStyle w:val="EndNoteBibliography"/>
        <w:ind w:left="720" w:hanging="720"/>
      </w:pPr>
      <w:r w:rsidRPr="003D23AE">
        <w:t xml:space="preserve">Kyoto University Graduate School of Informatics, &amp; Nihon Telegraph and Telephone Corporation. (2013). MeCab (Version 0.996). Retrieved from </w:t>
      </w:r>
      <w:hyperlink r:id="rId9" w:history="1">
        <w:r w:rsidRPr="003D23AE">
          <w:rPr>
            <w:rStyle w:val="a7"/>
          </w:rPr>
          <w:t>http://taku910.github.io/mecab/</w:t>
        </w:r>
      </w:hyperlink>
    </w:p>
    <w:p w:rsidR="003D23AE" w:rsidRPr="003D23AE" w:rsidRDefault="003D23AE" w:rsidP="003D23AE">
      <w:pPr>
        <w:pStyle w:val="EndNoteBibliography"/>
        <w:ind w:left="720" w:hanging="720"/>
      </w:pPr>
      <w:r w:rsidRPr="003D23AE">
        <w:t xml:space="preserve">MacWhinney, B., &amp; O'Grady, W. (Eds.). (2015). </w:t>
      </w:r>
      <w:r w:rsidRPr="003D23AE">
        <w:rPr>
          <w:i/>
        </w:rPr>
        <w:t>The handbook of language emergence</w:t>
      </w:r>
      <w:r w:rsidRPr="003D23AE">
        <w:t xml:space="preserve">. </w:t>
      </w:r>
      <w:r w:rsidRPr="003D23AE">
        <w:lastRenderedPageBreak/>
        <w:t>Hoboken, NJ: Wiley-Blackwell.</w:t>
      </w:r>
    </w:p>
    <w:p w:rsidR="003D23AE" w:rsidRPr="003D23AE" w:rsidRDefault="003D23AE" w:rsidP="003D23AE">
      <w:pPr>
        <w:pStyle w:val="EndNoteBibliography"/>
        <w:ind w:left="720" w:hanging="720"/>
      </w:pPr>
      <w:r w:rsidRPr="003D23AE">
        <w:t xml:space="preserve">Pavlík, R. (2017). Some new ways of modeling t/d deletion in English. </w:t>
      </w:r>
      <w:r w:rsidRPr="003D23AE">
        <w:rPr>
          <w:i/>
        </w:rPr>
        <w:t>Journal of English Linguistics, 45</w:t>
      </w:r>
      <w:r w:rsidRPr="003D23AE">
        <w:t>(3), 195-228. doi:10.1177/0075424217712358</w:t>
      </w:r>
    </w:p>
    <w:p w:rsidR="003D23AE" w:rsidRPr="003D23AE" w:rsidRDefault="003D23AE" w:rsidP="003D23AE">
      <w:pPr>
        <w:pStyle w:val="EndNoteBibliography"/>
        <w:ind w:left="720" w:hanging="720"/>
      </w:pPr>
      <w:r w:rsidRPr="003D23AE">
        <w:t xml:space="preserve">Tagliamonte, S. A. (2006). </w:t>
      </w:r>
      <w:r w:rsidRPr="003D23AE">
        <w:rPr>
          <w:i/>
        </w:rPr>
        <w:t>Analysing sociolinguistic variation</w:t>
      </w:r>
      <w:r w:rsidRPr="003D23AE">
        <w:t>. Cambridge, UK: Cambridge University Press.</w:t>
      </w:r>
    </w:p>
    <w:p w:rsidR="003D23AE" w:rsidRPr="003D23AE" w:rsidRDefault="003D23AE" w:rsidP="003D23AE">
      <w:pPr>
        <w:pStyle w:val="EndNoteBibliography"/>
        <w:ind w:left="720" w:hanging="720"/>
      </w:pPr>
      <w:r w:rsidRPr="003D23AE">
        <w:t xml:space="preserve">Turnbull, R. (2018). Patterns of probabilistic segment deletion/reduction in English and Japanese. </w:t>
      </w:r>
      <w:r w:rsidRPr="003D23AE">
        <w:rPr>
          <w:i/>
        </w:rPr>
        <w:t>Linguistics Vanguard, 4</w:t>
      </w:r>
      <w:r w:rsidRPr="003D23AE">
        <w:t>(s2:20170033), 1-14. doi:10.1515/lingvan-2017-0033</w:t>
      </w:r>
    </w:p>
    <w:p w:rsidR="003D23AE" w:rsidRPr="003D23AE" w:rsidRDefault="003D23AE" w:rsidP="003D23AE">
      <w:pPr>
        <w:pStyle w:val="EndNoteBibliography"/>
        <w:ind w:left="720" w:hanging="720"/>
      </w:pPr>
      <w:r w:rsidRPr="003D23AE">
        <w:t xml:space="preserve">Turnbull , R., Seyfarth, S., Hume, E., &amp; Jaeger, T. F. (2018). Nasal place assimilation trades off inferrability of both target and trigger words. </w:t>
      </w:r>
      <w:r w:rsidRPr="003D23AE">
        <w:rPr>
          <w:i/>
        </w:rPr>
        <w:t>Laboratory Phonology, 9</w:t>
      </w:r>
      <w:r w:rsidRPr="003D23AE">
        <w:t>(1:15), 1-27. doi:10.5334/labphon.119</w:t>
      </w:r>
    </w:p>
    <w:p w:rsidR="003D23AE" w:rsidRPr="003D23AE" w:rsidRDefault="003D23AE" w:rsidP="003D23AE">
      <w:pPr>
        <w:pStyle w:val="EndNoteBibliography"/>
        <w:ind w:left="720" w:hanging="720"/>
      </w:pPr>
      <w:r w:rsidRPr="003D23AE">
        <w:t xml:space="preserve">Yoshizumi, Y. (2016). </w:t>
      </w:r>
      <w:r w:rsidRPr="003D23AE">
        <w:rPr>
          <w:i/>
        </w:rPr>
        <w:t>A Canadian perspective on Japanese-English language contact.</w:t>
      </w:r>
      <w:r w:rsidRPr="003D23AE">
        <w:t xml:space="preserve"> (dissertation dissertation), University of Ottawa, Ottawa, Canada.   </w:t>
      </w:r>
    </w:p>
    <w:p w:rsidR="00F43D43" w:rsidRDefault="00CB718A" w:rsidP="00D879EA">
      <w:r>
        <w:fldChar w:fldCharType="end"/>
      </w:r>
    </w:p>
    <w:p w:rsidR="00F43D43" w:rsidRDefault="00F43D43">
      <w:pPr>
        <w:widowControl/>
        <w:jc w:val="left"/>
      </w:pPr>
      <w:r>
        <w:br w:type="page"/>
      </w:r>
    </w:p>
    <w:p w:rsidR="004F6C6C" w:rsidRDefault="004F6C6C" w:rsidP="004F6C6C">
      <w:pPr>
        <w:pStyle w:val="mparanoindent"/>
      </w:pPr>
      <w:r>
        <w:lastRenderedPageBreak/>
        <w:t>Add to Endnote:</w:t>
      </w:r>
    </w:p>
    <w:p w:rsidR="004F6C6C" w:rsidRDefault="004F6C6C" w:rsidP="004F6C6C">
      <w:pPr>
        <w:pStyle w:val="mparanoindent"/>
      </w:pPr>
    </w:p>
    <w:p w:rsidR="004F6C6C" w:rsidRDefault="004F6C6C" w:rsidP="004F6C6C">
      <w:pPr>
        <w:pStyle w:val="mparanoindent"/>
      </w:pPr>
      <w:r w:rsidRPr="004F6C6C">
        <w:t>Chomsky, Noam</w:t>
      </w:r>
    </w:p>
    <w:p w:rsidR="004F6C6C" w:rsidRDefault="004F6C6C" w:rsidP="004F6C6C">
      <w:pPr>
        <w:pStyle w:val="mparanoindent"/>
      </w:pPr>
      <w:r>
        <w:t>H</w:t>
      </w:r>
      <w:r w:rsidRPr="004F6C6C">
        <w:t>alle, Morris</w:t>
      </w:r>
    </w:p>
    <w:p w:rsidR="004F6C6C" w:rsidRDefault="004F6C6C" w:rsidP="004F6C6C">
      <w:pPr>
        <w:pStyle w:val="mparanoindent"/>
      </w:pPr>
      <w:r w:rsidRPr="004F6C6C">
        <w:t>1968</w:t>
      </w:r>
    </w:p>
    <w:p w:rsidR="004F6C6C" w:rsidRDefault="004F6C6C" w:rsidP="004F6C6C">
      <w:pPr>
        <w:pStyle w:val="mparanoindent"/>
      </w:pPr>
      <w:r w:rsidRPr="004F6C6C">
        <w:t>The Sound Pattern of English</w:t>
      </w:r>
    </w:p>
    <w:p w:rsidR="004F6C6C" w:rsidRDefault="004F6C6C" w:rsidP="004F6C6C">
      <w:pPr>
        <w:pStyle w:val="mparanoindent"/>
      </w:pPr>
      <w:r w:rsidRPr="004F6C6C">
        <w:t>New York</w:t>
      </w:r>
    </w:p>
    <w:p w:rsidR="004F6C6C" w:rsidRDefault="004F6C6C" w:rsidP="004F6C6C">
      <w:pPr>
        <w:pStyle w:val="mparanoindent"/>
      </w:pPr>
      <w:r w:rsidRPr="004F6C6C">
        <w:t>Harper &amp; Row</w:t>
      </w:r>
    </w:p>
    <w:p w:rsidR="004F6C6C" w:rsidRDefault="004F6C6C" w:rsidP="004F6C6C">
      <w:pPr>
        <w:pStyle w:val="mparanoindent"/>
      </w:pPr>
    </w:p>
    <w:p w:rsidR="004F6C6C" w:rsidRDefault="004F6C6C" w:rsidP="004F6C6C">
      <w:pPr>
        <w:pStyle w:val="mparanoindent"/>
      </w:pPr>
    </w:p>
    <w:p w:rsidR="00F43D43" w:rsidRDefault="00F43D43" w:rsidP="004F6C6C">
      <w:pPr>
        <w:pStyle w:val="mparanoindent"/>
      </w:pPr>
      <w:proofErr w:type="spellStart"/>
      <w:r>
        <w:t>Jurafsky</w:t>
      </w:r>
      <w:proofErr w:type="spellEnd"/>
      <w:r w:rsidR="004F6C6C">
        <w:t>,</w:t>
      </w:r>
      <w:r w:rsidR="004F6C6C" w:rsidRPr="004F6C6C">
        <w:t xml:space="preserve"> </w:t>
      </w:r>
      <w:r w:rsidR="004F6C6C">
        <w:t>Daniel</w:t>
      </w:r>
    </w:p>
    <w:p w:rsidR="00F43D43" w:rsidRDefault="00F43D43" w:rsidP="004F6C6C">
      <w:pPr>
        <w:pStyle w:val="mparanoindent"/>
      </w:pPr>
      <w:r>
        <w:t>Bell</w:t>
      </w:r>
      <w:r w:rsidR="004F6C6C">
        <w:t>,</w:t>
      </w:r>
      <w:r w:rsidR="004F6C6C" w:rsidRPr="004F6C6C">
        <w:t xml:space="preserve"> </w:t>
      </w:r>
      <w:r w:rsidR="004F6C6C">
        <w:t>Alan</w:t>
      </w:r>
    </w:p>
    <w:p w:rsidR="00F43D43" w:rsidRDefault="00F43D43" w:rsidP="004F6C6C">
      <w:pPr>
        <w:pStyle w:val="mparanoindent"/>
      </w:pPr>
      <w:r>
        <w:t>Gregory</w:t>
      </w:r>
      <w:r w:rsidR="004F6C6C">
        <w:t>,</w:t>
      </w:r>
      <w:r w:rsidR="004F6C6C" w:rsidRPr="004F6C6C">
        <w:t xml:space="preserve"> </w:t>
      </w:r>
      <w:r w:rsidR="004F6C6C">
        <w:t>Michelle</w:t>
      </w:r>
    </w:p>
    <w:p w:rsidR="00F43D43" w:rsidRDefault="00F43D43" w:rsidP="004F6C6C">
      <w:pPr>
        <w:pStyle w:val="mparanoindent"/>
      </w:pPr>
      <w:r>
        <w:t>Raymond</w:t>
      </w:r>
      <w:r w:rsidR="004F6C6C">
        <w:t>,</w:t>
      </w:r>
      <w:r w:rsidR="004F6C6C" w:rsidRPr="004F6C6C">
        <w:t xml:space="preserve"> </w:t>
      </w:r>
      <w:r w:rsidR="004F6C6C">
        <w:t>William D.</w:t>
      </w:r>
    </w:p>
    <w:p w:rsidR="00F43D43" w:rsidRDefault="00F43D43" w:rsidP="004F6C6C">
      <w:pPr>
        <w:pStyle w:val="mparanoindent"/>
      </w:pPr>
      <w:r>
        <w:t>2000</w:t>
      </w:r>
    </w:p>
    <w:p w:rsidR="00F43D43" w:rsidRDefault="00F43D43" w:rsidP="004F6C6C">
      <w:pPr>
        <w:pStyle w:val="mparanoindent"/>
      </w:pPr>
      <w:r>
        <w:t>Probabilistic relations between words: Evidence from reduction in lexical production</w:t>
      </w:r>
    </w:p>
    <w:p w:rsidR="00F43D43" w:rsidRDefault="00F43D43" w:rsidP="004F6C6C">
      <w:pPr>
        <w:pStyle w:val="mparanoindent"/>
      </w:pPr>
      <w:r>
        <w:t>Bybee, Joan</w:t>
      </w:r>
    </w:p>
    <w:p w:rsidR="00F43D43" w:rsidRDefault="004F6C6C" w:rsidP="004F6C6C">
      <w:pPr>
        <w:pStyle w:val="mparanoindent"/>
      </w:pPr>
      <w:r>
        <w:t xml:space="preserve">Hopper, </w:t>
      </w:r>
      <w:r w:rsidR="00F43D43">
        <w:t xml:space="preserve">Paul </w:t>
      </w:r>
    </w:p>
    <w:p w:rsidR="00F43D43" w:rsidRDefault="00F43D43" w:rsidP="004F6C6C">
      <w:pPr>
        <w:pStyle w:val="mparanoindent"/>
      </w:pPr>
      <w:r>
        <w:t>(eds.)</w:t>
      </w:r>
    </w:p>
    <w:p w:rsidR="00F43D43" w:rsidRDefault="00F43D43" w:rsidP="004F6C6C">
      <w:pPr>
        <w:pStyle w:val="mparanoindent"/>
      </w:pPr>
      <w:r>
        <w:t>Frequency and the emergence of linguistic structure</w:t>
      </w:r>
    </w:p>
    <w:p w:rsidR="00F43D43" w:rsidRDefault="00F43D43" w:rsidP="004F6C6C">
      <w:pPr>
        <w:pStyle w:val="mparanoindent"/>
      </w:pPr>
      <w:r>
        <w:t>229-254</w:t>
      </w:r>
    </w:p>
    <w:p w:rsidR="00F43D43" w:rsidRDefault="00F43D43" w:rsidP="004F6C6C">
      <w:pPr>
        <w:pStyle w:val="mparanoindent"/>
      </w:pPr>
      <w:r>
        <w:t>Amsterdam</w:t>
      </w:r>
    </w:p>
    <w:p w:rsidR="00FB0617" w:rsidRDefault="00F43D43" w:rsidP="004F6C6C">
      <w:pPr>
        <w:pStyle w:val="mparanoindent"/>
      </w:pPr>
      <w:r>
        <w:t>John Benjamins</w:t>
      </w:r>
    </w:p>
    <w:p w:rsidR="00FB0617" w:rsidRDefault="00FB0617">
      <w:pPr>
        <w:widowControl/>
        <w:jc w:val="left"/>
        <w:rPr>
          <w:sz w:val="22"/>
        </w:rPr>
      </w:pPr>
      <w:r>
        <w:br w:type="page"/>
      </w:r>
    </w:p>
    <w:p w:rsidR="00FB0617" w:rsidRDefault="00FB0617" w:rsidP="00FB0617">
      <w:pPr>
        <w:pStyle w:val="mparanoindent"/>
      </w:pPr>
      <w:r>
        <w:lastRenderedPageBreak/>
        <w:t>Francis Y. Lin,</w:t>
      </w:r>
    </w:p>
    <w:p w:rsidR="00FB0617" w:rsidRDefault="00FB0617" w:rsidP="00FB0617">
      <w:pPr>
        <w:pStyle w:val="mparanoindent"/>
      </w:pPr>
      <w:r>
        <w:t>A refutation of universal grammar,</w:t>
      </w:r>
    </w:p>
    <w:p w:rsidR="00FB0617" w:rsidRDefault="00FB0617" w:rsidP="00FB0617">
      <w:pPr>
        <w:pStyle w:val="mparanoindent"/>
      </w:pPr>
      <w:r>
        <w:t>Lingua,</w:t>
      </w:r>
    </w:p>
    <w:p w:rsidR="00FB0617" w:rsidRDefault="00FB0617" w:rsidP="00FB0617">
      <w:pPr>
        <w:pStyle w:val="mparanoindent"/>
      </w:pPr>
      <w:r>
        <w:t>Volume 193,</w:t>
      </w:r>
    </w:p>
    <w:p w:rsidR="00FB0617" w:rsidRDefault="00FB0617" w:rsidP="00FB0617">
      <w:pPr>
        <w:pStyle w:val="mparanoindent"/>
      </w:pPr>
      <w:r>
        <w:t>2017,</w:t>
      </w:r>
    </w:p>
    <w:p w:rsidR="00FB0617" w:rsidRDefault="00FB0617" w:rsidP="00FB0617">
      <w:pPr>
        <w:pStyle w:val="mparanoindent"/>
      </w:pPr>
      <w:r>
        <w:t>Pages 1-22,</w:t>
      </w:r>
    </w:p>
    <w:p w:rsidR="00FB0617" w:rsidRDefault="00FB0617" w:rsidP="00FB0617">
      <w:pPr>
        <w:pStyle w:val="mparanoindent"/>
      </w:pPr>
      <w:r>
        <w:t>ISSN 0024-3841,</w:t>
      </w:r>
    </w:p>
    <w:p w:rsidR="00FB0617" w:rsidRDefault="00FB0617" w:rsidP="00FB0617">
      <w:pPr>
        <w:pStyle w:val="mparanoindent"/>
      </w:pPr>
      <w:r>
        <w:t>https://doi.org/10.1016/j.lingua.2017.04.003.</w:t>
      </w:r>
    </w:p>
    <w:p w:rsidR="00FB0617" w:rsidRDefault="00FB0617" w:rsidP="00FB0617">
      <w:pPr>
        <w:pStyle w:val="mparanoindent"/>
      </w:pPr>
      <w:r>
        <w:t>(http://www.sciencedirect.com/science/article/pii/S002438411730147X)</w:t>
      </w:r>
    </w:p>
    <w:p w:rsidR="00FB0617" w:rsidRDefault="00FB0617" w:rsidP="00FB0617">
      <w:pPr>
        <w:pStyle w:val="mparanoindent"/>
      </w:pPr>
      <w:r>
        <w:t>Abstract: This paper offers a refutation of Chomsky's Universal Grammar (UG) from a novel perspective. It comprises a central part, clarifications and comparisons. The central part starts with an examination of Chomsky's research method and then argues that the method is seriously flawed and that it cannot lead to the discovery of any innate universals of language. In the clarifications part, a number of questions that could be raised concerning the central part of the refutation are presented and answered. The answers to these questions help to make clearer why UG is deeply problematic, and thus consolidate the central part of the refutation. The comparisons part discusses some representative critiques of UG by other scholars, shows their inadequacies, and thus further highlights the value of the present critique.</w:t>
      </w:r>
    </w:p>
    <w:p w:rsidR="00FB0617" w:rsidRDefault="00FB0617" w:rsidP="00FB0617">
      <w:pPr>
        <w:pStyle w:val="mparanoindent"/>
      </w:pPr>
      <w:r>
        <w:t>Keywords: Universal grammar; Refutation; Research method; Scientific theory; Falsifiability</w:t>
      </w:r>
    </w:p>
    <w:p w:rsidR="00FB0617" w:rsidRDefault="00FB0617">
      <w:pPr>
        <w:widowControl/>
        <w:jc w:val="left"/>
        <w:rPr>
          <w:sz w:val="22"/>
        </w:rPr>
      </w:pPr>
      <w:r>
        <w:br w:type="page"/>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lastRenderedPageBreak/>
        <w:t>%0 Generic</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%A Villavicencio, Marcos</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%D 2020</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%F pittphilsci:16777</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%K Demarcation Problem · Pseudoscience · Psychoanalysis · Evolutionary psychology · Universal grammar · String theory</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%T Four Examples of Pseudoscience</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%U http://philsci-archive.pitt.edu/16777/</w:t>
      </w:r>
    </w:p>
    <w:p w:rsidR="00FB0617" w:rsidRPr="00FB0617" w:rsidRDefault="00FB0617" w:rsidP="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FB0617">
        <w:rPr>
          <w:rFonts w:ascii="ＭＳ ゴシック" w:eastAsia="ＭＳ ゴシック" w:hAnsi="ＭＳ ゴシック" w:cs="ＭＳ ゴシック"/>
          <w:color w:val="000000"/>
          <w:kern w:val="0"/>
          <w:sz w:val="24"/>
          <w:szCs w:val="24"/>
        </w:rPr>
        <w:t xml:space="preserve">%X A relevant issue in the philosophy of science is the demarcation problem: how to distinguish science from nonscience, and, more specifically, science from pseudoscience. Sometimes, the demarcation problem is debated from a very general perspective, proposing demarcation criteria to separate science from pseudoscience, but without discussing any specific field in detail. This article aims to focus the demarcation problem on particular disciplines or theories. After considering a set of demarcation criteria, four </w:t>
      </w:r>
      <w:proofErr w:type="spellStart"/>
      <w:r w:rsidRPr="00FB0617">
        <w:rPr>
          <w:rFonts w:ascii="ＭＳ ゴシック" w:eastAsia="ＭＳ ゴシック" w:hAnsi="ＭＳ ゴシック" w:cs="ＭＳ ゴシック"/>
          <w:color w:val="000000"/>
          <w:kern w:val="0"/>
          <w:sz w:val="24"/>
          <w:szCs w:val="24"/>
        </w:rPr>
        <w:t>pseudosciences</w:t>
      </w:r>
      <w:proofErr w:type="spellEnd"/>
      <w:r w:rsidRPr="00FB0617">
        <w:rPr>
          <w:rFonts w:ascii="ＭＳ ゴシック" w:eastAsia="ＭＳ ゴシック" w:hAnsi="ＭＳ ゴシック" w:cs="ＭＳ ゴシック"/>
          <w:color w:val="000000"/>
          <w:kern w:val="0"/>
          <w:sz w:val="24"/>
          <w:szCs w:val="24"/>
        </w:rPr>
        <w:t xml:space="preserve"> are examined: psychoanalysis, speculative evolutionary psychology, universal grammar, and string theory. It is concluded that these theoretical frameworks do not meet the requirements to be considered genuinely scientific.</w:t>
      </w:r>
    </w:p>
    <w:p w:rsidR="003C7AEC" w:rsidRDefault="003C7AEC">
      <w:pPr>
        <w:widowControl/>
        <w:jc w:val="left"/>
        <w:rPr>
          <w:sz w:val="22"/>
        </w:rPr>
      </w:pPr>
      <w:r>
        <w:br w:type="page"/>
      </w:r>
    </w:p>
    <w:p w:rsidR="0058350F" w:rsidRDefault="003C7AEC" w:rsidP="00FB0617">
      <w:pPr>
        <w:pStyle w:val="mparanoindent"/>
      </w:pPr>
      <w:r w:rsidRPr="003C7AEC">
        <w:lastRenderedPageBreak/>
        <w:t>Wu, T</w:t>
      </w:r>
      <w:r>
        <w:t>ong</w:t>
      </w:r>
      <w:r w:rsidRPr="003C7AEC">
        <w:t>. (2020). A refutation of “a refutation of universal grammar”</w:t>
      </w:r>
      <w:r>
        <w:t xml:space="preserve"> </w:t>
      </w:r>
      <w:r w:rsidRPr="003C7AEC">
        <w:t xml:space="preserve">(Lin, f. 2017. Lingua 193. 1–22.), Poznan Studies in Contemporary Linguistics, 56(1), 169-205. </w:t>
      </w:r>
      <w:proofErr w:type="spellStart"/>
      <w:r w:rsidRPr="003C7AEC">
        <w:t>doi</w:t>
      </w:r>
      <w:proofErr w:type="spellEnd"/>
      <w:r w:rsidRPr="003C7AEC">
        <w:t xml:space="preserve">: </w:t>
      </w:r>
      <w:hyperlink r:id="rId10" w:history="1">
        <w:r w:rsidRPr="00C81292">
          <w:rPr>
            <w:rStyle w:val="a7"/>
          </w:rPr>
          <w:t>https://doi.org/10.1515/psicl-2020-0005</w:t>
        </w:r>
      </w:hyperlink>
    </w:p>
    <w:p w:rsidR="003C7AEC" w:rsidRDefault="003C7AEC" w:rsidP="00FB0617">
      <w:pPr>
        <w:pStyle w:val="mparanoindent"/>
      </w:pPr>
    </w:p>
    <w:p w:rsidR="003C7AEC" w:rsidRDefault="003C7AEC" w:rsidP="00FB0617">
      <w:pPr>
        <w:pStyle w:val="mparanoindent"/>
      </w:pPr>
    </w:p>
    <w:p w:rsidR="003C7AEC" w:rsidRDefault="003C7AEC" w:rsidP="003C7AEC">
      <w:pPr>
        <w:jc w:val="left"/>
      </w:pPr>
      <w:r>
        <w:t>I</w:t>
      </w:r>
      <w:r w:rsidRPr="003C7AEC">
        <w:t xml:space="preserve">bbotson, Paul &amp; Michael </w:t>
      </w:r>
      <w:proofErr w:type="spellStart"/>
      <w:r w:rsidRPr="003C7AEC">
        <w:t>Tomasello</w:t>
      </w:r>
      <w:proofErr w:type="spellEnd"/>
      <w:r w:rsidRPr="003C7AEC">
        <w:t xml:space="preserve">. 2016. Evidence rebuts Chomsky’s theory of language learning. Scientific American 315. 70–75. DOI: </w:t>
      </w:r>
      <w:hyperlink r:id="rId11" w:history="1">
        <w:r w:rsidRPr="00C81292">
          <w:rPr>
            <w:rStyle w:val="a7"/>
          </w:rPr>
          <w:t>https://doi.org/10.1038/scientificamerican1116-70</w:t>
        </w:r>
      </w:hyperlink>
    </w:p>
    <w:p w:rsidR="003C7AEC" w:rsidRDefault="003C7AEC" w:rsidP="003C7AEC">
      <w:pPr>
        <w:jc w:val="left"/>
      </w:pPr>
    </w:p>
    <w:p w:rsidR="003C7AEC" w:rsidRDefault="003C7AEC" w:rsidP="003C7AEC">
      <w:pPr>
        <w:jc w:val="left"/>
      </w:pPr>
    </w:p>
    <w:sectPr w:rsidR="003C7AE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25C" w:rsidRDefault="0058425C" w:rsidP="0058350F">
      <w:r>
        <w:separator/>
      </w:r>
    </w:p>
  </w:endnote>
  <w:endnote w:type="continuationSeparator" w:id="0">
    <w:p w:rsidR="0058425C" w:rsidRDefault="0058425C"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25C" w:rsidRDefault="0058425C" w:rsidP="0058350F">
      <w:r>
        <w:separator/>
      </w:r>
    </w:p>
  </w:footnote>
  <w:footnote w:type="continuationSeparator" w:id="0">
    <w:p w:rsidR="0058425C" w:rsidRDefault="0058425C" w:rsidP="0058350F">
      <w:r>
        <w:continuationSeparator/>
      </w:r>
    </w:p>
  </w:footnote>
  <w:footnote w:id="1">
    <w:p w:rsidR="008E3406" w:rsidRPr="003A7C53" w:rsidRDefault="008E3406"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w:t>
      </w:r>
      <w:proofErr w:type="spellStart"/>
      <w:r>
        <w:t>ializer</w:t>
      </w:r>
      <w:proofErr w:type="spellEnd"/>
      <w:r>
        <w:t xml:space="preserve">), </w:t>
      </w:r>
      <w:proofErr w:type="spellStart"/>
      <w:r w:rsidRPr="00313FDE">
        <w:rPr>
          <w:smallCaps/>
        </w:rPr>
        <w:t>conj</w:t>
      </w:r>
      <w:proofErr w:type="spellEnd"/>
      <w:r>
        <w:t xml:space="preserve"> = conjunctive, </w:t>
      </w:r>
      <w:proofErr w:type="spellStart"/>
      <w:r w:rsidRPr="00F1035A">
        <w:rPr>
          <w:smallCaps/>
        </w:rPr>
        <w:t>cont</w:t>
      </w:r>
      <w:proofErr w:type="spellEnd"/>
      <w:r>
        <w:t xml:space="preserve"> = continuative, </w:t>
      </w:r>
      <w:r w:rsidRPr="006801A4">
        <w:rPr>
          <w:smallCaps/>
        </w:rPr>
        <w:t>cop</w:t>
      </w:r>
      <w:r>
        <w:t xml:space="preserve"> = copula, </w:t>
      </w:r>
      <w:proofErr w:type="spellStart"/>
      <w:r w:rsidRPr="000619C0">
        <w:rPr>
          <w:smallCaps/>
        </w:rPr>
        <w:t>dat</w:t>
      </w:r>
      <w:proofErr w:type="spellEnd"/>
      <w:r>
        <w:t xml:space="preserve"> = dative, </w:t>
      </w:r>
      <w:r w:rsidRPr="00FF0E36">
        <w:rPr>
          <w:smallCaps/>
        </w:rPr>
        <w:t>des</w:t>
      </w:r>
      <w:r>
        <w:t xml:space="preserve"> = desiderative, </w:t>
      </w:r>
      <w:r w:rsidRPr="003A7C53">
        <w:rPr>
          <w:smallCaps/>
        </w:rPr>
        <w:t>dm</w:t>
      </w:r>
      <w:r w:rsidRPr="003A7C53">
        <w:t xml:space="preserve"> = discourse marker, </w:t>
      </w:r>
      <w:proofErr w:type="spellStart"/>
      <w:r w:rsidRPr="008B5B25">
        <w:rPr>
          <w:smallCaps/>
        </w:rPr>
        <w:t>hab</w:t>
      </w:r>
      <w:proofErr w:type="spellEnd"/>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proofErr w:type="spellStart"/>
      <w:r w:rsidRPr="002A50A2">
        <w:rPr>
          <w:smallCaps/>
        </w:rPr>
        <w:t>nmlz</w:t>
      </w:r>
      <w:proofErr w:type="spellEnd"/>
      <w:r>
        <w:t xml:space="preserve"> = nominalizer, </w:t>
      </w:r>
      <w:r w:rsidRPr="006801A4">
        <w:rPr>
          <w:smallCaps/>
        </w:rPr>
        <w:t>nom</w:t>
      </w:r>
      <w:r>
        <w:t xml:space="preserve"> = nominative, </w:t>
      </w:r>
      <w:r w:rsidRPr="00FF0E36">
        <w:rPr>
          <w:smallCaps/>
        </w:rPr>
        <w:t>prog</w:t>
      </w:r>
      <w:r>
        <w:t xml:space="preserve"> = progressive, </w:t>
      </w:r>
      <w:proofErr w:type="spellStart"/>
      <w:r w:rsidRPr="00FF0E36">
        <w:rPr>
          <w:smallCaps/>
        </w:rPr>
        <w:t>pst</w:t>
      </w:r>
      <w:proofErr w:type="spellEnd"/>
      <w:r>
        <w:t xml:space="preserve"> = past, </w:t>
      </w:r>
      <w:r w:rsidRPr="00313FDE">
        <w:rPr>
          <w:smallCaps/>
        </w:rPr>
        <w:t>perf</w:t>
      </w:r>
      <w:r>
        <w:t xml:space="preserve"> = perfective, </w:t>
      </w:r>
      <w:proofErr w:type="spellStart"/>
      <w:r w:rsidRPr="00313FDE">
        <w:rPr>
          <w:smallCaps/>
        </w:rPr>
        <w:t>prs</w:t>
      </w:r>
      <w:proofErr w:type="spellEnd"/>
      <w:r>
        <w:t xml:space="preserve"> = present, </w:t>
      </w:r>
      <w:proofErr w:type="spellStart"/>
      <w:r w:rsidRPr="000619C0">
        <w:rPr>
          <w:smallCaps/>
        </w:rPr>
        <w:t>qm</w:t>
      </w:r>
      <w:proofErr w:type="spellEnd"/>
      <w:r>
        <w:t xml:space="preserve"> = question marker, </w:t>
      </w:r>
      <w:proofErr w:type="spellStart"/>
      <w:r w:rsidRPr="00F1035A">
        <w:rPr>
          <w:smallCaps/>
        </w:rPr>
        <w:t>quot</w:t>
      </w:r>
      <w:proofErr w:type="spellEnd"/>
      <w:r>
        <w:t xml:space="preserve"> = quotative, </w:t>
      </w:r>
      <w:proofErr w:type="spellStart"/>
      <w:r w:rsidRPr="003A7C53">
        <w:rPr>
          <w:smallCaps/>
        </w:rPr>
        <w:t>sfp</w:t>
      </w:r>
      <w:proofErr w:type="spellEnd"/>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8E3406" w:rsidRPr="00CB1633" w:rsidRDefault="008E3406" w:rsidP="008B5B25">
      <w:pPr>
        <w:pStyle w:val="mfootnote"/>
      </w:pPr>
      <w:r>
        <w:rPr>
          <w:rStyle w:val="aa"/>
        </w:rPr>
        <w:footnoteRef/>
      </w:r>
      <w:r>
        <w:tab/>
      </w:r>
      <w:proofErr w:type="spellStart"/>
      <w:r>
        <w:t>CiNii</w:t>
      </w:r>
      <w:proofErr w:type="spellEnd"/>
      <w:r>
        <w:t xml:space="preserve"> is the search engine for academic literature written in Japanese. The URL is https://ci.nii.ac.jp/ja.</w:t>
      </w:r>
    </w:p>
  </w:footnote>
  <w:footnote w:id="3">
    <w:p w:rsidR="008E3406" w:rsidRDefault="008E3406"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w:t>
      </w:r>
      <w:proofErr w:type="spellStart"/>
      <w:r>
        <w:t>eitherKSJ</w:t>
      </w:r>
      <w:proofErr w:type="spellEnd"/>
      <w:r>
        <w:t>, KYT, or TKC; identifier number; gender, either female (f) or male (m); and age cohort (1 through 9; see Section 3 for details).</w:t>
      </w:r>
    </w:p>
  </w:footnote>
  <w:footnote w:id="4">
    <w:p w:rsidR="008E3406" w:rsidRDefault="008E3406"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266&lt;/item&gt;&lt;item&gt;314&lt;/item&gt;&lt;item&gt;346&lt;/item&gt;&lt;item&gt;347&lt;/item&gt;&lt;item&gt;350&lt;/item&gt;&lt;item&gt;364&lt;/item&gt;&lt;item&gt;393&lt;/item&gt;&lt;item&gt;506&lt;/item&gt;&lt;item&gt;635&lt;/item&gt;&lt;item&gt;637&lt;/item&gt;&lt;item&gt;638&lt;/item&gt;&lt;item&gt;640&lt;/item&gt;&lt;item&gt;641&lt;/item&gt;&lt;item&gt;642&lt;/item&gt;&lt;item&gt;643&lt;/item&gt;&lt;item&gt;644&lt;/item&gt;&lt;/record-ids&gt;&lt;/item&gt;&lt;/Libraries&gt;"/>
  </w:docVars>
  <w:rsids>
    <w:rsidRoot w:val="004A6F86"/>
    <w:rsid w:val="00003BBA"/>
    <w:rsid w:val="00015E71"/>
    <w:rsid w:val="00022A1B"/>
    <w:rsid w:val="00031125"/>
    <w:rsid w:val="000463EC"/>
    <w:rsid w:val="00055EF3"/>
    <w:rsid w:val="000619C0"/>
    <w:rsid w:val="00063AD1"/>
    <w:rsid w:val="000840D1"/>
    <w:rsid w:val="00096AD9"/>
    <w:rsid w:val="000A4083"/>
    <w:rsid w:val="000B069F"/>
    <w:rsid w:val="000C0E7D"/>
    <w:rsid w:val="00104DDF"/>
    <w:rsid w:val="001076F6"/>
    <w:rsid w:val="00116248"/>
    <w:rsid w:val="001317A5"/>
    <w:rsid w:val="001372D5"/>
    <w:rsid w:val="00137528"/>
    <w:rsid w:val="00141B90"/>
    <w:rsid w:val="001426D5"/>
    <w:rsid w:val="00147490"/>
    <w:rsid w:val="00147615"/>
    <w:rsid w:val="0016020A"/>
    <w:rsid w:val="00166BBC"/>
    <w:rsid w:val="0016705D"/>
    <w:rsid w:val="00181F52"/>
    <w:rsid w:val="00185728"/>
    <w:rsid w:val="001908A7"/>
    <w:rsid w:val="00194E68"/>
    <w:rsid w:val="001A1A98"/>
    <w:rsid w:val="001A6274"/>
    <w:rsid w:val="001A68CD"/>
    <w:rsid w:val="001E1429"/>
    <w:rsid w:val="001F6DED"/>
    <w:rsid w:val="00202C01"/>
    <w:rsid w:val="00217AFF"/>
    <w:rsid w:val="00241CA6"/>
    <w:rsid w:val="002432DF"/>
    <w:rsid w:val="00280D4E"/>
    <w:rsid w:val="00296873"/>
    <w:rsid w:val="00297BC9"/>
    <w:rsid w:val="002A42D5"/>
    <w:rsid w:val="002A50A2"/>
    <w:rsid w:val="002B1A79"/>
    <w:rsid w:val="002D0BCA"/>
    <w:rsid w:val="002D35C5"/>
    <w:rsid w:val="002D3FCC"/>
    <w:rsid w:val="00313FDE"/>
    <w:rsid w:val="00322603"/>
    <w:rsid w:val="00344B46"/>
    <w:rsid w:val="00353580"/>
    <w:rsid w:val="00383837"/>
    <w:rsid w:val="00397A61"/>
    <w:rsid w:val="003A7C53"/>
    <w:rsid w:val="003C026B"/>
    <w:rsid w:val="003C7AEC"/>
    <w:rsid w:val="003D23AE"/>
    <w:rsid w:val="003D2ACE"/>
    <w:rsid w:val="003E1865"/>
    <w:rsid w:val="0041182D"/>
    <w:rsid w:val="00412FEA"/>
    <w:rsid w:val="00413490"/>
    <w:rsid w:val="004224D3"/>
    <w:rsid w:val="00425040"/>
    <w:rsid w:val="00460485"/>
    <w:rsid w:val="004668D6"/>
    <w:rsid w:val="00476272"/>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E21C2"/>
    <w:rsid w:val="005E5AD9"/>
    <w:rsid w:val="00604720"/>
    <w:rsid w:val="00651A0F"/>
    <w:rsid w:val="006530CF"/>
    <w:rsid w:val="006569B5"/>
    <w:rsid w:val="00674BAB"/>
    <w:rsid w:val="00674CF2"/>
    <w:rsid w:val="00675DA6"/>
    <w:rsid w:val="006801A4"/>
    <w:rsid w:val="00684DF9"/>
    <w:rsid w:val="00694F5A"/>
    <w:rsid w:val="006A4FD9"/>
    <w:rsid w:val="006B150D"/>
    <w:rsid w:val="006B571C"/>
    <w:rsid w:val="006C5E9A"/>
    <w:rsid w:val="006D4B69"/>
    <w:rsid w:val="007174EF"/>
    <w:rsid w:val="00717E4E"/>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63F3"/>
    <w:rsid w:val="00871A4A"/>
    <w:rsid w:val="00874F97"/>
    <w:rsid w:val="0088523C"/>
    <w:rsid w:val="008A31D1"/>
    <w:rsid w:val="008B2830"/>
    <w:rsid w:val="008B4218"/>
    <w:rsid w:val="008B538A"/>
    <w:rsid w:val="008B5AE4"/>
    <w:rsid w:val="008B5B25"/>
    <w:rsid w:val="008C46E3"/>
    <w:rsid w:val="008E3406"/>
    <w:rsid w:val="008E57FA"/>
    <w:rsid w:val="008F416E"/>
    <w:rsid w:val="00915038"/>
    <w:rsid w:val="00941B37"/>
    <w:rsid w:val="009619F8"/>
    <w:rsid w:val="00983E79"/>
    <w:rsid w:val="00997323"/>
    <w:rsid w:val="009A73BB"/>
    <w:rsid w:val="009A7489"/>
    <w:rsid w:val="009F0C69"/>
    <w:rsid w:val="009F611C"/>
    <w:rsid w:val="00A27CF5"/>
    <w:rsid w:val="00A326A8"/>
    <w:rsid w:val="00A47349"/>
    <w:rsid w:val="00A571D5"/>
    <w:rsid w:val="00A70187"/>
    <w:rsid w:val="00A73645"/>
    <w:rsid w:val="00A7710C"/>
    <w:rsid w:val="00A82A4C"/>
    <w:rsid w:val="00A871B1"/>
    <w:rsid w:val="00A90C4E"/>
    <w:rsid w:val="00A912DF"/>
    <w:rsid w:val="00A94310"/>
    <w:rsid w:val="00AF683E"/>
    <w:rsid w:val="00B0469C"/>
    <w:rsid w:val="00B1662C"/>
    <w:rsid w:val="00B470C7"/>
    <w:rsid w:val="00B53D4E"/>
    <w:rsid w:val="00B54F34"/>
    <w:rsid w:val="00B76CC7"/>
    <w:rsid w:val="00B8289F"/>
    <w:rsid w:val="00B83045"/>
    <w:rsid w:val="00BB220F"/>
    <w:rsid w:val="00BB3B68"/>
    <w:rsid w:val="00BB4EF0"/>
    <w:rsid w:val="00BC224D"/>
    <w:rsid w:val="00BD795B"/>
    <w:rsid w:val="00BE6133"/>
    <w:rsid w:val="00BF022C"/>
    <w:rsid w:val="00C17E8B"/>
    <w:rsid w:val="00C216BB"/>
    <w:rsid w:val="00C22020"/>
    <w:rsid w:val="00C40E9A"/>
    <w:rsid w:val="00C45D92"/>
    <w:rsid w:val="00C50F8F"/>
    <w:rsid w:val="00C81B43"/>
    <w:rsid w:val="00C91D14"/>
    <w:rsid w:val="00CA57C9"/>
    <w:rsid w:val="00CB1633"/>
    <w:rsid w:val="00CB1DFB"/>
    <w:rsid w:val="00CB718A"/>
    <w:rsid w:val="00CD678C"/>
    <w:rsid w:val="00CD7C96"/>
    <w:rsid w:val="00CF429C"/>
    <w:rsid w:val="00CF497E"/>
    <w:rsid w:val="00D2252C"/>
    <w:rsid w:val="00D30615"/>
    <w:rsid w:val="00D362B3"/>
    <w:rsid w:val="00D435E2"/>
    <w:rsid w:val="00D55326"/>
    <w:rsid w:val="00D641E8"/>
    <w:rsid w:val="00D74C69"/>
    <w:rsid w:val="00D879EA"/>
    <w:rsid w:val="00D95069"/>
    <w:rsid w:val="00DA6D1D"/>
    <w:rsid w:val="00DB4A0B"/>
    <w:rsid w:val="00DD2241"/>
    <w:rsid w:val="00DE2A7F"/>
    <w:rsid w:val="00E01BBC"/>
    <w:rsid w:val="00E23A3F"/>
    <w:rsid w:val="00E74C97"/>
    <w:rsid w:val="00E827A8"/>
    <w:rsid w:val="00E82B17"/>
    <w:rsid w:val="00E85C41"/>
    <w:rsid w:val="00E87B8B"/>
    <w:rsid w:val="00EA2D53"/>
    <w:rsid w:val="00EC0147"/>
    <w:rsid w:val="00EC5FFD"/>
    <w:rsid w:val="00ED520A"/>
    <w:rsid w:val="00F1035A"/>
    <w:rsid w:val="00F14225"/>
    <w:rsid w:val="00F27EF8"/>
    <w:rsid w:val="00F32B1C"/>
    <w:rsid w:val="00F43D43"/>
    <w:rsid w:val="00F44B53"/>
    <w:rsid w:val="00F641FD"/>
    <w:rsid w:val="00F749EB"/>
    <w:rsid w:val="00F85039"/>
    <w:rsid w:val="00F8657C"/>
    <w:rsid w:val="00F96E24"/>
    <w:rsid w:val="00FA66CF"/>
    <w:rsid w:val="00FB0617"/>
    <w:rsid w:val="00FB27B1"/>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78F5E0"/>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styleId="ae">
    <w:name w:val="Unresolved Mention"/>
    <w:basedOn w:val="a0"/>
    <w:uiPriority w:val="99"/>
    <w:semiHidden/>
    <w:unhideWhenUsed/>
    <w:rsid w:val="003C7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cientificamerican1116-70" TargetMode="External"/><Relationship Id="rId5" Type="http://schemas.openxmlformats.org/officeDocument/2006/relationships/webSettings" Target="webSettings.xml"/><Relationship Id="rId10" Type="http://schemas.openxmlformats.org/officeDocument/2006/relationships/hyperlink" Target="https://doi.org/10.1515/psicl-2020-0005"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CD0F0-FA4F-4306-B3C6-176BCB19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18</Pages>
  <Words>6790</Words>
  <Characters>38703</Characters>
  <Application>Microsoft Office Word</Application>
  <DocSecurity>0</DocSecurity>
  <Lines>322</Lines>
  <Paragraphs>90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64</cp:revision>
  <dcterms:created xsi:type="dcterms:W3CDTF">2020-06-25T22:48:00Z</dcterms:created>
  <dcterms:modified xsi:type="dcterms:W3CDTF">2020-07-30T00:38:00Z</dcterms:modified>
</cp:coreProperties>
</file>