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w:t>
      </w:r>
      <w:r w:rsidR="004921EC">
        <w:t xml:space="preserve"> </w:t>
      </w:r>
      <w:r w:rsidR="004921EC">
        <w:fldChar w:fldCharType="begin"/>
      </w:r>
      <w:r w:rsidR="004921EC">
        <w:instrText xml:space="preserve"> ADDIN EN.CITE &lt;EndNote&gt;&lt;Cite AuthorYear="1"&gt;&lt;Author&gt;Chomsky&lt;/Author&gt;&lt;Year&gt;1968&lt;/Year&gt;&lt;RecNum&gt;645&lt;/RecNum&gt;&lt;DisplayText&gt;Chomsky and Halle (&lt;style size="11"&gt;1968&lt;/style&gt;&lt;/DisplayText&gt;&lt;record&gt;&lt;rec-number&gt;645&lt;/rec-number&gt;&lt;foreign-keys&gt;&lt;key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Morris&lt;/author&gt;&lt;/authors&gt;&lt;/contributors&gt;&lt;titles&gt;&lt;title&gt;&lt;style face="normal" font="default" size="11"&gt;The Sound Pattern of English&lt;/style&gt;&lt;/title&gt;&lt;/titles&gt;&lt;dates&gt;&lt;year&gt;&lt;style face="normal" font="default" size="11"&gt;1968&lt;/style&gt;&lt;/year&gt;&lt;/dates&gt;&lt;pub-location&gt;&lt;style face="normal" font="default" size="11"&gt;New York&lt;/style&gt;&lt;style face="normal" font="Times New Roman" size="11"&gt;&amp;#xD;&lt;/style&gt;&lt;/pub-location&gt;&lt;publisher&gt;&lt;style face="normal" font="default" size="11"&gt;Harper &amp;amp; Row&lt;/style&gt;&lt;style face="normal" font="Times New Roman" size="11"&gt;&amp;#xD;&lt;/style&gt;&lt;/publisher&gt;&lt;urls&gt;&lt;/urls&gt;&lt;/record&gt;&lt;/Cite&gt;&lt;/EndNote&gt;</w:instrText>
      </w:r>
      <w:r w:rsidR="004921EC">
        <w:fldChar w:fldCharType="separate"/>
      </w:r>
      <w:r w:rsidR="004921EC">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proofErr w:type="spellStart"/>
      <w:r w:rsidR="008A31D1">
        <w:rPr>
          <w:rFonts w:ascii="Lucida Sans Unicode" w:hAnsi="Lucida Sans Unicode" w:cs="Lucida Sans Unicode"/>
        </w:rPr>
        <w:t>aɪmə</w:t>
      </w:r>
      <w:proofErr w:type="spellEnd"/>
      <w:r w:rsidR="008A31D1">
        <w:t xml:space="preserve">] and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B5585D">
      <w:pPr>
        <w:pStyle w:val="mparaindent"/>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w:t>
      </w:r>
      <w:r w:rsidR="00CD7C96" w:rsidRPr="00B53D4E">
        <w:lastRenderedPageBreak/>
        <w:t>Speakers us their 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w:t>
      </w:r>
      <w:r w:rsidR="00B5585D">
        <w:t xml:space="preserve"> of this paper</w:t>
      </w:r>
      <w:r w:rsidR="005B3462">
        <w:t xml:space="preserv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w:t>
      </w:r>
      <w:r w:rsidR="00B5585D">
        <w:t xml:space="preserve">is </w:t>
      </w:r>
      <w:r w:rsidR="005B3462">
        <w:t xml:space="preserve">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w:t>
      </w:r>
      <w:r w:rsidR="00B5585D">
        <w:t xml:space="preserve">positions taken during this debate </w:t>
      </w:r>
      <w:r w:rsidR="00A70187">
        <w:t xml:space="preserve">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86404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1-22.)&lt;/style&gt;&lt;style face="normal" font="Times New Roman" size="11"&gt;&amp;#xD;&lt;/style&gt;&lt;/title&gt;&lt;secondary-title&gt;&lt;style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B5585D">
        <w:t xml:space="preserve">… </w:t>
      </w:r>
      <w:r w:rsidR="00B5585D" w:rsidRPr="00B5585D">
        <w:rPr>
          <w:highlight w:val="yellow"/>
        </w:rPr>
        <w:t xml:space="preserve">Wu reference is incomplete. </w:t>
      </w:r>
      <w:r w:rsidR="00B5585D">
        <w:rPr>
          <w:highlight w:val="yellow"/>
        </w:rPr>
        <w:t xml:space="preserve">Fix EndNote entry. </w:t>
      </w:r>
      <w:r w:rsidR="00B5585D" w:rsidRPr="00B5585D">
        <w:rPr>
          <w:highlight w:val="yellow"/>
        </w:rPr>
        <w:t>This sentence is incomplete</w:t>
      </w:r>
      <w:r w:rsidR="00A70187" w:rsidRPr="00B5585D">
        <w:rPr>
          <w:highlight w:val="yellow"/>
        </w:rPr>
        <w:t>.</w:t>
      </w:r>
    </w:p>
    <w:p w:rsidR="003301D1" w:rsidRDefault="00A70187" w:rsidP="003301D1">
      <w:pPr>
        <w:pStyle w:val="mparaindent"/>
      </w:pPr>
      <w:r>
        <w:t>Relevant to this study, other</w:t>
      </w:r>
      <w:r w:rsidR="00B5585D">
        <w:t xml:space="preserve"> researchers</w:t>
      </w:r>
      <w:r>
        <w:t xml:space="preserve"> advocate a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w:t>
      </w:r>
      <w:r w:rsidR="00A3630C">
        <w:t xml:space="preserve"> Such an approach is more compatible with </w:t>
      </w:r>
      <w:r w:rsidR="003301D1">
        <w:t xml:space="preserve">the </w:t>
      </w:r>
      <w:r w:rsidR="00A3630C">
        <w:t>model</w:t>
      </w:r>
      <w:r w:rsidR="003301D1">
        <w:t>s</w:t>
      </w:r>
      <w:r w:rsidR="00A3630C">
        <w:t xml:space="preserve"> of linguistic processing posited by neuro-linguists </w:t>
      </w:r>
      <w:r w:rsidR="003301D1">
        <w:t xml:space="preserve">(for example, </w:t>
      </w:r>
      <w:r w:rsidR="003301D1" w:rsidRPr="003301D1">
        <w:rPr>
          <w:highlight w:val="yellow"/>
        </w:rPr>
        <w:t>Bakker et al. 2013,</w:t>
      </w:r>
      <w:r w:rsidR="003301D1">
        <w:t xml:space="preserve"> </w:t>
      </w:r>
      <w:r w:rsidR="003301D1" w:rsidRPr="003301D1">
        <w:rPr>
          <w:highlight w:val="yellow"/>
        </w:rPr>
        <w:t>Ullman</w:t>
      </w:r>
      <w:r w:rsidR="003301D1">
        <w:rPr>
          <w:highlight w:val="yellow"/>
        </w:rPr>
        <w:t xml:space="preserve">, </w:t>
      </w:r>
      <w:r w:rsidR="003301D1" w:rsidRPr="003301D1">
        <w:rPr>
          <w:highlight w:val="yellow"/>
        </w:rPr>
        <w:t xml:space="preserve">van Lancker </w:t>
      </w:r>
      <w:proofErr w:type="spellStart"/>
      <w:r w:rsidR="003301D1" w:rsidRPr="003301D1">
        <w:rPr>
          <w:highlight w:val="yellow"/>
        </w:rPr>
        <w:t>Sidtis</w:t>
      </w:r>
      <w:proofErr w:type="spellEnd"/>
      <w:r w:rsidR="003301D1">
        <w:rPr>
          <w:highlight w:val="yellow"/>
        </w:rPr>
        <w:t>).</w:t>
      </w:r>
    </w:p>
    <w:p w:rsidR="00A70187" w:rsidRDefault="00A70187" w:rsidP="00A70187">
      <w:pPr>
        <w:pStyle w:val="mparaindent"/>
      </w:pPr>
    </w:p>
    <w:p w:rsidR="00B5585D" w:rsidRDefault="00B5585D" w:rsidP="00A70187">
      <w:pPr>
        <w:pStyle w:val="mparaindent"/>
        <w:rPr>
          <w:highlight w:val="yellow"/>
        </w:rPr>
      </w:pPr>
      <w:r w:rsidRPr="00B5585D">
        <w:rPr>
          <w:rFonts w:hint="eastAsia"/>
          <w:highlight w:val="yellow"/>
        </w:rPr>
        <w:t>A</w:t>
      </w:r>
      <w:r w:rsidRPr="00B5585D">
        <w:rPr>
          <w:highlight w:val="yellow"/>
        </w:rPr>
        <w:t>dd the following reference to advocates of a mixed approach.</w:t>
      </w:r>
    </w:p>
    <w:p w:rsidR="00A3630C" w:rsidRDefault="00A3630C" w:rsidP="00A70187">
      <w:pPr>
        <w:pStyle w:val="mparaindent"/>
        <w:rPr>
          <w:highlight w:val="yellow"/>
        </w:rPr>
      </w:pPr>
      <w:proofErr w:type="spellStart"/>
      <w:r>
        <w:rPr>
          <w:rFonts w:hint="eastAsia"/>
          <w:highlight w:val="yellow"/>
        </w:rPr>
        <w:t>R</w:t>
      </w:r>
      <w:r>
        <w:rPr>
          <w:highlight w:val="yellow"/>
        </w:rPr>
        <w:t>euland</w:t>
      </w:r>
      <w:proofErr w:type="spellEnd"/>
      <w:r>
        <w:rPr>
          <w:highlight w:val="yellow"/>
        </w:rPr>
        <w:t xml:space="preserve"> 2010</w:t>
      </w:r>
    </w:p>
    <w:p w:rsidR="00B5585D" w:rsidRDefault="00B5585D" w:rsidP="00A70187">
      <w:pPr>
        <w:pStyle w:val="mparaindent"/>
        <w:rPr>
          <w:highlight w:val="yellow"/>
        </w:rPr>
      </w:pPr>
      <w:r w:rsidRPr="00B5585D">
        <w:rPr>
          <w:highlight w:val="yellow"/>
        </w:rPr>
        <w:t>Pierrehumbert, Janet. 2006. The next toolkit. Journal of Phonetics, 34, 516-530.</w:t>
      </w:r>
    </w:p>
    <w:p w:rsidR="00B5585D" w:rsidRDefault="00B5585D" w:rsidP="00A70187">
      <w:pPr>
        <w:pStyle w:val="mparaindent"/>
        <w:rPr>
          <w:highlight w:val="yellow"/>
        </w:rPr>
      </w:pPr>
      <w:r w:rsidRPr="00B5585D">
        <w:rPr>
          <w:highlight w:val="yellow"/>
        </w:rPr>
        <w:t>Pierrehumbert, Janet. 20</w:t>
      </w:r>
      <w:r>
        <w:rPr>
          <w:highlight w:val="yellow"/>
        </w:rPr>
        <w:t>1</w:t>
      </w:r>
      <w:r w:rsidRPr="00B5585D">
        <w:rPr>
          <w:highlight w:val="yellow"/>
        </w:rPr>
        <w:t>6.</w:t>
      </w:r>
    </w:p>
    <w:p w:rsidR="00B5585D" w:rsidRDefault="00B5585D" w:rsidP="00A70187">
      <w:pPr>
        <w:pStyle w:val="mparaindent"/>
      </w:pPr>
      <w:r>
        <w:t>“</w:t>
      </w:r>
      <w:r>
        <w:rPr>
          <w:rFonts w:hint="eastAsia"/>
        </w:rPr>
        <w:t>I</w:t>
      </w:r>
      <w:r>
        <w:t>t is clear that a hybrid model is needed” (p.523)</w:t>
      </w:r>
    </w:p>
    <w:p w:rsidR="00A3630C" w:rsidRPr="00A70187" w:rsidRDefault="00A3630C" w:rsidP="00A70187">
      <w:pPr>
        <w:pStyle w:val="mparaindent"/>
      </w:pPr>
    </w:p>
    <w:p w:rsidR="00412FEA" w:rsidRPr="00B53D4E" w:rsidRDefault="00412FEA" w:rsidP="00412FEA">
      <w:pPr>
        <w:pStyle w:val="msubsection"/>
      </w:pPr>
      <w:r>
        <w:rPr>
          <w:rFonts w:hint="eastAsia"/>
        </w:rPr>
        <w:lastRenderedPageBreak/>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614FBB" w:rsidRPr="00614FBB" w:rsidRDefault="00614FBB" w:rsidP="00B53D4E">
      <w:pPr>
        <w:pStyle w:val="mparaindent"/>
      </w:pP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lastRenderedPageBreak/>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431AF6">
      <w:pPr>
        <w:pStyle w:val="mexline1"/>
        <w:tabs>
          <w:tab w:val="left" w:pos="2977"/>
          <w:tab w:val="left" w:pos="4395"/>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431AF6">
      <w:pPr>
        <w:pStyle w:val="mexline2"/>
        <w:tabs>
          <w:tab w:val="left" w:pos="2977"/>
          <w:tab w:val="left" w:pos="4395"/>
          <w:tab w:val="left" w:pos="5670"/>
          <w:tab w:val="left" w:pos="6663"/>
        </w:tabs>
      </w:pPr>
      <w:r>
        <w:lastRenderedPageBreak/>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lastRenderedPageBreak/>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proofErr w:type="spellStart"/>
      <w:r w:rsidR="00604720">
        <w:t>neg</w:t>
      </w:r>
      <w:r w:rsidR="00650461">
        <w:t>.</w:t>
      </w:r>
      <w:r w:rsidR="00604720" w:rsidRPr="00604720">
        <w:rPr>
          <w:smallCaps/>
        </w:rPr>
        <w:t>adv</w:t>
      </w:r>
      <w:proofErr w:type="spellEnd"/>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similar to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w:t>
      </w:r>
      <w:r w:rsidR="00871A4A">
        <w:lastRenderedPageBreak/>
        <w:t xml:space="preserve">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w:t>
            </w:r>
            <w:proofErr w:type="spellStart"/>
            <w:r>
              <w:t>etc</w:t>
            </w:r>
            <w:proofErr w:type="spellEnd"/>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lastRenderedPageBreak/>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r>
      <w:proofErr w:type="spellStart"/>
      <w:r w:rsidRPr="007F1E5C">
        <w:rPr>
          <w:i/>
        </w:rPr>
        <w:t>omot</w:t>
      </w:r>
      <w:proofErr w:type="spellEnd"/>
      <w:r w:rsidR="00650461">
        <w:rPr>
          <w:i/>
        </w:rPr>
        <w:t>-</w:t>
      </w:r>
      <w:r w:rsidRPr="007F1E5C">
        <w:rPr>
          <w:i/>
        </w:rPr>
        <w:t>ten</w:t>
      </w:r>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r>
      <w:proofErr w:type="spellStart"/>
      <w:r w:rsidR="007F1E5C" w:rsidRPr="00194E68">
        <w:rPr>
          <w:rFonts w:hint="eastAsia"/>
          <w:i/>
        </w:rPr>
        <w:t>omot</w:t>
      </w:r>
      <w:r w:rsidR="009C0B01">
        <w:rPr>
          <w:i/>
        </w:rPr>
        <w:t>-</w:t>
      </w:r>
      <w:r w:rsidR="007F1E5C" w:rsidRPr="00194E68">
        <w:rPr>
          <w:rFonts w:hint="eastAsia"/>
          <w:i/>
        </w:rPr>
        <w:t>te</w:t>
      </w:r>
      <w:r w:rsidR="007F1E5C" w:rsidRPr="00694F5A">
        <w:rPr>
          <w:rFonts w:hint="eastAsia"/>
          <w:i/>
          <w:u w:val="single"/>
        </w:rPr>
        <w:t>ru</w:t>
      </w:r>
      <w:proofErr w:type="spellEnd"/>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 xml:space="preserve">Kyoto University Graduate </w:t>
      </w:r>
      <w:r w:rsidR="00397A61">
        <w:rPr>
          <w:noProof/>
        </w:rPr>
        <w:lastRenderedPageBreak/>
        <w:t>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 xml:space="preserve">vernacular past-tense suffix variant </w:t>
      </w:r>
      <w:r w:rsidR="00431AF6" w:rsidRPr="001372D5">
        <w:rPr>
          <w:smallCaps/>
        </w:rPr>
        <w:t>verb</w:t>
      </w:r>
      <w:r w:rsidR="001372D5">
        <w:t>-</w:t>
      </w:r>
      <w:r w:rsidR="001372D5" w:rsidRPr="001372D5">
        <w:rPr>
          <w:i/>
        </w:rPr>
        <w:t>ten</w:t>
      </w:r>
      <w:r w:rsidR="001372D5">
        <w:t xml:space="preserve"> (standard form </w:t>
      </w:r>
      <w:r w:rsidR="00431AF6" w:rsidRPr="001372D5">
        <w:rPr>
          <w:smallCaps/>
        </w:rPr>
        <w:t>verb</w:t>
      </w:r>
      <w:r w:rsidR="001372D5">
        <w:t>-</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w:t>
      </w:r>
      <w:r w:rsidR="00431AF6">
        <w:t xml:space="preserve"> equivalent to</w:t>
      </w:r>
      <w:r w:rsidR="00B76CC7">
        <w:t xml:space="preserve">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lastRenderedPageBreak/>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431AF6" w:rsidRDefault="00431AF6" w:rsidP="00431AF6">
      <w:pPr>
        <w:pStyle w:val="msubsubsection"/>
      </w:pPr>
      <w:r>
        <w:t>2</w:t>
      </w:r>
      <w:r w:rsidRPr="008B4218">
        <w:t>.4.1</w:t>
      </w:r>
      <w:r w:rsidRPr="008B4218">
        <w:tab/>
      </w:r>
      <w:r w:rsidR="00297008">
        <w:t>Traditional context</w:t>
      </w:r>
    </w:p>
    <w:p w:rsidR="00297008" w:rsidRPr="008B4218" w:rsidRDefault="00297008" w:rsidP="00297008">
      <w:pPr>
        <w:pStyle w:val="mparanoindent"/>
      </w:pPr>
      <w:r>
        <w:t xml:space="preserve">As mentioned, </w:t>
      </w:r>
      <w:r>
        <w:fldChar w:fldCharType="begin"/>
      </w:r>
      <w:r>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fldChar w:fldCharType="separate"/>
      </w:r>
      <w:r>
        <w:rPr>
          <w:noProof/>
        </w:rPr>
        <w:t>Hirayama (1997</w:t>
      </w:r>
      <w:r>
        <w:fldChar w:fldCharType="end"/>
      </w:r>
      <w:r>
        <w:t xml:space="preserve">: 17), claims that nasal substitution occurs before a following a following /n/ or /d/ phoneme. This observation may fall out from the collocation frequencies of verbs and the following words. One of our goals is to test the hypothesis that nasal substitution tends to occur in more-frequently co-occurring </w:t>
      </w:r>
      <w:r>
        <w:lastRenderedPageBreak/>
        <w:t>word pairs. If the second word in these word pairs tends to start with /n/ or /d/, then the traditional context for nasal substitution is an epiphenomenon of phrase frequency. In order to test this possibility, we coded each token according to the initial phoneme of the trigger. If the initial phoneme is /n/ or /d/, then we coded the token as occurring in the traditional environment; otherwise we coded the token as not occurring in the traditional environment.</w:t>
      </w:r>
    </w:p>
    <w:p w:rsidR="00431AF6" w:rsidRDefault="00431AF6" w:rsidP="00431AF6">
      <w:pPr>
        <w:pStyle w:val="msubsubsection"/>
      </w:pPr>
      <w:r>
        <w:t>2</w:t>
      </w:r>
      <w:r w:rsidRPr="008B4218">
        <w:t>.4.</w:t>
      </w:r>
      <w:r>
        <w:t>2</w:t>
      </w:r>
      <w:r w:rsidRPr="008B4218">
        <w:tab/>
      </w:r>
      <w:r w:rsidR="00223565">
        <w:t>Neutralization of the triggering context</w:t>
      </w:r>
    </w:p>
    <w:p w:rsidR="00223565" w:rsidRPr="008B4218" w:rsidRDefault="00223565" w:rsidP="00223565">
      <w:pPr>
        <w:pStyle w:val="mparanoindent"/>
      </w:pPr>
      <w:r>
        <w:rPr>
          <w:rFonts w:hint="eastAsia"/>
        </w:rPr>
        <w:t>I</w:t>
      </w:r>
      <w:r>
        <w:t>f the trigger word consisted of the moraic nasal (see Table 1 for example), then nasal substitution results in the neutralization of the triggering context. We coded each token for the possibility of neutralization (regardless of whether or not nasal substitution variant was used).</w:t>
      </w:r>
    </w:p>
    <w:p w:rsidR="006D4B69" w:rsidRPr="008B4218" w:rsidRDefault="00A7710C" w:rsidP="008B4218">
      <w:pPr>
        <w:pStyle w:val="msubsubsection"/>
      </w:pPr>
      <w:r>
        <w:t>2</w:t>
      </w:r>
      <w:r w:rsidR="008B4218" w:rsidRPr="008B4218">
        <w:t>.4.</w:t>
      </w:r>
      <w:r w:rsidR="00431AF6">
        <w:t>3</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proofErr w:type="spellStart"/>
      <w:r w:rsidR="008B2830" w:rsidRPr="008B2830">
        <w:rPr>
          <w:i/>
        </w:rPr>
        <w:t>furi-kaeru</w:t>
      </w:r>
      <w:proofErr w:type="spellEnd"/>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w:t>
      </w:r>
      <w:r w:rsidRPr="00720873">
        <w:rPr>
          <w:i/>
          <w:u w:val="single"/>
        </w:rPr>
        <w:t>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w:t>
      </w:r>
      <w:r w:rsidR="008B538A" w:rsidRPr="00720873">
        <w:rPr>
          <w:i/>
          <w:u w:val="single"/>
        </w:rPr>
        <w:t>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w:t>
      </w:r>
      <w:r w:rsidR="008B538A" w:rsidRPr="00720873">
        <w:rPr>
          <w:i/>
          <w:u w:val="single"/>
        </w:rPr>
        <w:t>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lastRenderedPageBreak/>
        <w:tab/>
      </w:r>
      <w:r w:rsidR="00CD678C">
        <w:t>‘There are bomber airplanes flying above us.’</w:t>
      </w:r>
    </w:p>
    <w:p w:rsidR="00ED520A" w:rsidRPr="008B4218" w:rsidRDefault="00A7710C" w:rsidP="00ED520A">
      <w:pPr>
        <w:pStyle w:val="msubsubsection"/>
      </w:pPr>
      <w:r>
        <w:t>2</w:t>
      </w:r>
      <w:r w:rsidR="00ED520A" w:rsidRPr="008B4218">
        <w:t>.4.</w:t>
      </w:r>
      <w:r w:rsidR="00431AF6">
        <w:t>2</w:t>
      </w:r>
      <w:r w:rsidR="00ED520A" w:rsidRPr="008B4218">
        <w:tab/>
      </w:r>
      <w:r w:rsidR="00ED520A">
        <w:t>Part of speech of following word</w:t>
      </w:r>
    </w:p>
    <w:p w:rsidR="00ED520A" w:rsidRPr="00ED520A" w:rsidRDefault="00ED520A" w:rsidP="00ED520A">
      <w:pPr>
        <w:pStyle w:val="mparanoindent"/>
      </w:pPr>
      <w:r>
        <w:rPr>
          <w:rFonts w:hint="eastAsia"/>
        </w:rPr>
        <w:t>T</w:t>
      </w:r>
      <w:r>
        <w:t>he traditional context for nasal substitution is a particle that begins with either /n/ or /d/</w:t>
      </w:r>
      <w:r w:rsidR="002B405B">
        <w:t xml:space="preserve"> (</w:t>
      </w:r>
      <w:r w:rsidR="002B405B" w:rsidRPr="002B405B">
        <w:rPr>
          <w:highlight w:val="yellow"/>
        </w:rPr>
        <w:t>Hirayama</w:t>
      </w:r>
      <w:r w:rsidR="002B405B">
        <w:t>)</w:t>
      </w:r>
      <w:r>
        <w:t xml:space="preserve">. </w:t>
      </w:r>
      <w:r w:rsidR="002B405B">
        <w:t>It is not clear to the extent that speakers’ usage of nasal substitution varies by the grammatical role of the following particle. In order to explore this possibility, we</w:t>
      </w:r>
      <w:r>
        <w:t xml:space="preserv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proofErr w:type="spellStart"/>
            <w:r w:rsidRPr="000C59E7">
              <w:rPr>
                <w:i/>
              </w:rPr>
              <w:t>ga</w:t>
            </w:r>
            <w:proofErr w:type="spellEnd"/>
            <w:r w:rsidRPr="000C59E7">
              <w:rPr>
                <w:i/>
              </w:rPr>
              <w:t xml:space="preserve">, </w:t>
            </w:r>
            <w:proofErr w:type="spellStart"/>
            <w:r w:rsidRPr="000C59E7">
              <w:rPr>
                <w:i/>
              </w:rPr>
              <w:t>mo</w:t>
            </w:r>
            <w:proofErr w:type="spellEnd"/>
            <w:r w:rsidRPr="000C59E7">
              <w:rPr>
                <w:i/>
              </w:rPr>
              <w:t xml:space="preserve">, </w:t>
            </w:r>
            <w:proofErr w:type="spellStart"/>
            <w:r w:rsidRPr="000C59E7">
              <w:rPr>
                <w:rFonts w:hint="eastAsia"/>
                <w:i/>
              </w:rPr>
              <w:t>y</w:t>
            </w:r>
            <w:r w:rsidRPr="000C59E7">
              <w:rPr>
                <w:i/>
              </w:rPr>
              <w:t>ori</w:t>
            </w:r>
            <w:proofErr w:type="spellEnd"/>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proofErr w:type="spellStart"/>
            <w:r w:rsidRPr="000C59E7">
              <w:rPr>
                <w:i/>
              </w:rPr>
              <w:t>kedo</w:t>
            </w:r>
            <w:proofErr w:type="spellEnd"/>
            <w:r w:rsidRPr="000C59E7">
              <w:rPr>
                <w:i/>
              </w:rPr>
              <w:t xml:space="preserve">, </w:t>
            </w:r>
            <w:r w:rsidRPr="000C59E7">
              <w:rPr>
                <w:rFonts w:hint="eastAsia"/>
                <w:i/>
              </w:rPr>
              <w:t>n</w:t>
            </w:r>
            <w:r w:rsidRPr="000C59E7">
              <w:rPr>
                <w:i/>
              </w:rPr>
              <w:t>-</w:t>
            </w:r>
            <w:proofErr w:type="spellStart"/>
            <w:r w:rsidRPr="000C59E7">
              <w:rPr>
                <w:i/>
              </w:rPr>
              <w:t>ya</w:t>
            </w:r>
            <w:proofErr w:type="spellEnd"/>
            <w:r w:rsidRPr="000C59E7">
              <w:rPr>
                <w:i/>
              </w:rPr>
              <w:t>, n-</w:t>
            </w:r>
            <w:proofErr w:type="spellStart"/>
            <w:r w:rsidRPr="000C59E7">
              <w:rPr>
                <w:i/>
              </w:rPr>
              <w:t>tyau</w:t>
            </w:r>
            <w:proofErr w:type="spellEnd"/>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proofErr w:type="spellStart"/>
            <w:r>
              <w:rPr>
                <w:rFonts w:hint="eastAsia"/>
                <w:i/>
              </w:rPr>
              <w:t>n</w:t>
            </w:r>
            <w:r>
              <w:rPr>
                <w:i/>
              </w:rPr>
              <w:t>ingen</w:t>
            </w:r>
            <w:proofErr w:type="spellEnd"/>
            <w:r>
              <w:t xml:space="preserve">, </w:t>
            </w:r>
            <w:r>
              <w:rPr>
                <w:i/>
              </w:rPr>
              <w:t>mono</w:t>
            </w:r>
            <w:r>
              <w:t xml:space="preserve">, </w:t>
            </w:r>
            <w:proofErr w:type="spellStart"/>
            <w:r w:rsidRPr="008F3369">
              <w:rPr>
                <w:i/>
              </w:rPr>
              <w:t>nihongo</w:t>
            </w:r>
            <w:proofErr w:type="spellEnd"/>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proofErr w:type="spellStart"/>
            <w:r>
              <w:rPr>
                <w:rFonts w:hint="eastAsia"/>
                <w:i/>
              </w:rPr>
              <w:t>s</w:t>
            </w:r>
            <w:r>
              <w:rPr>
                <w:i/>
              </w:rPr>
              <w:t>akai</w:t>
            </w:r>
            <w:proofErr w:type="spellEnd"/>
            <w:r>
              <w:t xml:space="preserve">, </w:t>
            </w:r>
            <w:r w:rsidRPr="000C59E7">
              <w:rPr>
                <w:i/>
              </w:rPr>
              <w:t>node</w:t>
            </w:r>
            <w:r>
              <w:t xml:space="preserve">, </w:t>
            </w:r>
            <w:proofErr w:type="spellStart"/>
            <w:r w:rsidRPr="000C59E7">
              <w:rPr>
                <w:i/>
              </w:rPr>
              <w:t>hodo</w:t>
            </w:r>
            <w:proofErr w:type="spellEnd"/>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proofErr w:type="spellStart"/>
            <w:r>
              <w:rPr>
                <w:rFonts w:hint="eastAsia"/>
                <w:i/>
              </w:rPr>
              <w:t>m</w:t>
            </w:r>
            <w:r>
              <w:rPr>
                <w:i/>
              </w:rPr>
              <w:t>ae</w:t>
            </w:r>
            <w:proofErr w:type="spellEnd"/>
            <w:r>
              <w:t xml:space="preserve">, </w:t>
            </w:r>
            <w:proofErr w:type="spellStart"/>
            <w:r w:rsidRPr="000C59E7">
              <w:rPr>
                <w:i/>
              </w:rPr>
              <w:t>mittu</w:t>
            </w:r>
            <w:proofErr w:type="spellEnd"/>
            <w:r>
              <w:t xml:space="preserve">, </w:t>
            </w:r>
            <w:proofErr w:type="spellStart"/>
            <w:r w:rsidRPr="008F3369">
              <w:rPr>
                <w:i/>
              </w:rPr>
              <w:t>yuumee</w:t>
            </w:r>
            <w:proofErr w:type="spellEnd"/>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 xml:space="preserve">de, </w:t>
            </w:r>
            <w:proofErr w:type="spellStart"/>
            <w:r w:rsidRPr="000C59E7">
              <w:rPr>
                <w:i/>
              </w:rPr>
              <w:t>na</w:t>
            </w:r>
            <w:proofErr w:type="spellEnd"/>
            <w:r w:rsidRPr="000C59E7">
              <w:rPr>
                <w:i/>
              </w:rPr>
              <w:t xml:space="preserve">, </w:t>
            </w:r>
            <w:proofErr w:type="spellStart"/>
            <w:r w:rsidRPr="000C59E7">
              <w:rPr>
                <w:i/>
              </w:rPr>
              <w:t>nen</w:t>
            </w:r>
            <w:proofErr w:type="spellEnd"/>
            <w:r w:rsidRPr="000C59E7">
              <w:rPr>
                <w:i/>
              </w:rPr>
              <w:t xml:space="preserve">, </w:t>
            </w:r>
            <w:proofErr w:type="spellStart"/>
            <w:r w:rsidRPr="000C59E7">
              <w:rPr>
                <w:i/>
              </w:rPr>
              <w:t>yo</w:t>
            </w:r>
            <w:proofErr w:type="spellEnd"/>
            <w:r w:rsidRPr="000C59E7">
              <w:rPr>
                <w:i/>
              </w:rPr>
              <w:t>, zo</w:t>
            </w:r>
          </w:p>
        </w:tc>
      </w:tr>
    </w:tbl>
    <w:p w:rsidR="00ED520A" w:rsidRDefault="00C9629D" w:rsidP="00C9629D">
      <w:pPr>
        <w:pStyle w:val="msubsection"/>
      </w:pPr>
      <w:r>
        <w:rPr>
          <w:rFonts w:hint="eastAsia"/>
        </w:rPr>
        <w:t>2</w:t>
      </w:r>
      <w:r>
        <w:t>.5</w:t>
      </w:r>
      <w:r>
        <w:tab/>
        <w:t>Usage-based factors</w:t>
      </w:r>
    </w:p>
    <w:p w:rsidR="00C9629D" w:rsidRPr="00223565" w:rsidRDefault="00C9629D" w:rsidP="00C9629D">
      <w:pPr>
        <w:pStyle w:val="msubsubsection"/>
        <w:rPr>
          <w:i w:val="0"/>
        </w:rPr>
      </w:pPr>
      <w:r>
        <w:rPr>
          <w:rFonts w:hint="eastAsia"/>
        </w:rPr>
        <w:t>2</w:t>
      </w:r>
      <w:r>
        <w:t>.5.1</w:t>
      </w:r>
      <w:r>
        <w:tab/>
      </w:r>
      <w:r w:rsidR="001C6EF5">
        <w:t>F</w:t>
      </w:r>
      <w:r>
        <w:t>requency</w:t>
      </w:r>
    </w:p>
    <w:p w:rsidR="001C6EF5"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1C6EF5">
        <w:t>Previous work that examined phonetic and phonological reduction at the right edge of the word</w:t>
      </w:r>
      <w:r w:rsidR="00392B5E">
        <w:t xml:space="preserve"> in English</w:t>
      </w:r>
      <w:r w:rsidR="001C6EF5">
        <w:t>, such as /r/-sandhi (</w:t>
      </w:r>
      <w:r w:rsidR="001C6EF5" w:rsidRPr="001C6EF5">
        <w:rPr>
          <w:highlight w:val="yellow"/>
        </w:rPr>
        <w:t>Cohen-Goldberg</w:t>
      </w:r>
      <w:r w:rsidR="001C6EF5">
        <w:t>)</w:t>
      </w:r>
      <w:r w:rsidR="00392B5E">
        <w:t>,</w:t>
      </w:r>
      <w:r w:rsidR="001C6EF5">
        <w:t xml:space="preserve"> t/d deletion (</w:t>
      </w:r>
      <w:r w:rsidR="001C6EF5" w:rsidRPr="001C6EF5">
        <w:rPr>
          <w:highlight w:val="yellow"/>
        </w:rPr>
        <w:t>Pavlik</w:t>
      </w:r>
      <w:r w:rsidR="001C6EF5">
        <w:t xml:space="preserve">), and </w:t>
      </w:r>
      <w:r w:rsidR="00392B5E">
        <w:t>nasal place assimilation (</w:t>
      </w:r>
      <w:r w:rsidR="00392B5E" w:rsidRPr="00392B5E">
        <w:rPr>
          <w:highlight w:val="yellow"/>
        </w:rPr>
        <w:t>Turnbull et al.</w:t>
      </w:r>
      <w:r w:rsidR="00392B5E">
        <w:t xml:space="preserve">) consider the word frequency. </w:t>
      </w:r>
      <w:r w:rsidR="00F102F5">
        <w:t>Furthermore, there emerging evidence that the frequency of the word phrase (the target word plus the trigger word) may be a better predictor of reduction than just the frequency of the t</w:t>
      </w:r>
      <w:r w:rsidR="00F102F5" w:rsidRPr="00F102F5">
        <w:t>arget word. Cohen-Goldberg and Pavlik also examined phrase frequency, and both found a stronger relationship for phrase frequency than for word frequency.</w:t>
      </w:r>
      <w:r w:rsidR="00F102F5">
        <w:t xml:space="preserve"> In this study, we consider both word frequency </w:t>
      </w:r>
      <w:r w:rsidR="00F102F5">
        <w:lastRenderedPageBreak/>
        <w:t>and phrase frequency.</w:t>
      </w:r>
    </w:p>
    <w:p w:rsidR="00BF2A7D" w:rsidRDefault="00720873" w:rsidP="00F102F5">
      <w:pPr>
        <w:pStyle w:val="mparaindent"/>
      </w:pPr>
      <w:r>
        <w:t>T</w:t>
      </w:r>
      <w:r w:rsidR="00725BB3">
        <w:t xml:space="preserve">he concept of a </w:t>
      </w:r>
      <w:r>
        <w:t xml:space="preserve">word is less clear in Japanese than in English, and </w:t>
      </w:r>
      <w:r w:rsidR="00BF2A7D">
        <w:t xml:space="preserve">it may be that morpheme boundaries make for more natural cognitive divisions. In order to take into consideration such a possibility, we examined four measures of frequency, when are listed in Table </w:t>
      </w:r>
      <w:r w:rsidR="008C25F4">
        <w:t xml:space="preserve">3. These four measures allow us to consider </w:t>
      </w:r>
      <w:r w:rsidR="00722533">
        <w:t xml:space="preserve">word </w:t>
      </w:r>
      <w:r w:rsidR="008C25F4">
        <w:t xml:space="preserve">frequency </w:t>
      </w:r>
      <w:r w:rsidR="00722533">
        <w:t>at different levels of granularity. The measure of frequency was determined by taking the log of the count of the number of occurrences of in the</w:t>
      </w:r>
      <w:r w:rsidR="00722533" w:rsidRPr="00397A61">
        <w:t xml:space="preserve"> </w:t>
      </w:r>
      <w:r w:rsidR="00722533" w:rsidRPr="00397A61">
        <w:rPr>
          <w:i/>
        </w:rPr>
        <w:t>Corpus of Vernacular Japanese</w:t>
      </w:r>
      <w:r w:rsidR="00722533" w:rsidRPr="00397A61">
        <w:t>.</w:t>
      </w:r>
    </w:p>
    <w:p w:rsidR="008C25F4" w:rsidRDefault="008C25F4" w:rsidP="008C25F4">
      <w:pPr>
        <w:pStyle w:val="mtablecaption"/>
        <w:rPr>
          <w:rFonts w:hint="eastAsia"/>
        </w:rPr>
      </w:pPr>
      <w:r>
        <w:rPr>
          <w:rFonts w:hint="eastAsia"/>
        </w:rPr>
        <w:t>T</w:t>
      </w:r>
      <w:r>
        <w:t>able 3. The four measures of frequency considered in this study</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2693"/>
        <w:gridCol w:w="2693"/>
      </w:tblGrid>
      <w:tr w:rsidR="00722533" w:rsidTr="00722533">
        <w:tc>
          <w:tcPr>
            <w:tcW w:w="3108" w:type="dxa"/>
            <w:tcBorders>
              <w:top w:val="single" w:sz="4" w:space="0" w:color="auto"/>
              <w:bottom w:val="single" w:sz="4" w:space="0" w:color="auto"/>
            </w:tcBorders>
            <w:vAlign w:val="center"/>
          </w:tcPr>
          <w:p w:rsidR="00722533" w:rsidRPr="00722533" w:rsidRDefault="00722533" w:rsidP="00722533">
            <w:pPr>
              <w:pStyle w:val="tablecontents"/>
              <w:rPr>
                <w:rFonts w:hint="eastAsia"/>
              </w:rPr>
            </w:pPr>
            <w:r w:rsidRPr="00722533">
              <w:t>Measure</w:t>
            </w:r>
          </w:p>
        </w:tc>
        <w:tc>
          <w:tcPr>
            <w:tcW w:w="2693" w:type="dxa"/>
            <w:tcBorders>
              <w:top w:val="single" w:sz="4" w:space="0" w:color="auto"/>
              <w:bottom w:val="single" w:sz="4" w:space="0" w:color="auto"/>
            </w:tcBorders>
            <w:vAlign w:val="center"/>
          </w:tcPr>
          <w:p w:rsidR="00722533" w:rsidRPr="00722533" w:rsidRDefault="00722533" w:rsidP="00722533">
            <w:pPr>
              <w:pStyle w:val="tablecontents"/>
              <w:rPr>
                <w:rFonts w:hint="eastAsia"/>
              </w:rPr>
            </w:pPr>
            <w:r w:rsidRPr="00722533">
              <w:rPr>
                <w:rFonts w:hint="eastAsia"/>
              </w:rPr>
              <w:t>C</w:t>
            </w:r>
            <w:r w:rsidRPr="00722533">
              <w:t>ontains</w:t>
            </w:r>
          </w:p>
        </w:tc>
        <w:tc>
          <w:tcPr>
            <w:tcW w:w="2693" w:type="dxa"/>
            <w:tcBorders>
              <w:top w:val="single" w:sz="4" w:space="0" w:color="auto"/>
              <w:bottom w:val="single" w:sz="4" w:space="0" w:color="auto"/>
            </w:tcBorders>
            <w:vAlign w:val="center"/>
          </w:tcPr>
          <w:p w:rsidR="00722533" w:rsidRPr="00722533" w:rsidRDefault="00722533" w:rsidP="00722533">
            <w:pPr>
              <w:pStyle w:val="tablecontents"/>
              <w:rPr>
                <w:rFonts w:hint="eastAsia"/>
              </w:rPr>
            </w:pPr>
            <w:r w:rsidRPr="00722533">
              <w:rPr>
                <w:rFonts w:hint="eastAsia"/>
              </w:rPr>
              <w:t>E</w:t>
            </w:r>
            <w:r w:rsidRPr="00722533">
              <w:t>xample</w:t>
            </w:r>
          </w:p>
        </w:tc>
      </w:tr>
      <w:tr w:rsidR="00722533" w:rsidTr="00722533">
        <w:tc>
          <w:tcPr>
            <w:tcW w:w="3108" w:type="dxa"/>
            <w:tcBorders>
              <w:top w:val="single" w:sz="4" w:space="0" w:color="auto"/>
            </w:tcBorders>
            <w:vAlign w:val="center"/>
          </w:tcPr>
          <w:p w:rsidR="00722533" w:rsidRPr="00722533" w:rsidRDefault="00722533" w:rsidP="00722533">
            <w:pPr>
              <w:pStyle w:val="tablecontents"/>
              <w:rPr>
                <w:rFonts w:hint="eastAsia"/>
              </w:rPr>
            </w:pPr>
            <w:r w:rsidRPr="00722533">
              <w:rPr>
                <w:rFonts w:hint="eastAsia"/>
              </w:rPr>
              <w:t>m</w:t>
            </w:r>
            <w:r w:rsidRPr="00722533">
              <w:t>orpheme frequency</w:t>
            </w:r>
          </w:p>
        </w:tc>
        <w:tc>
          <w:tcPr>
            <w:tcW w:w="2693" w:type="dxa"/>
            <w:tcBorders>
              <w:top w:val="single" w:sz="4" w:space="0" w:color="auto"/>
            </w:tcBorders>
            <w:vAlign w:val="center"/>
          </w:tcPr>
          <w:p w:rsidR="00722533" w:rsidRPr="00722533" w:rsidRDefault="00722533" w:rsidP="00722533">
            <w:pPr>
              <w:pStyle w:val="tablecontents"/>
              <w:rPr>
                <w:rFonts w:hint="eastAsia"/>
              </w:rPr>
            </w:pPr>
            <w:r w:rsidRPr="00722533">
              <w:rPr>
                <w:rFonts w:hint="eastAsia"/>
              </w:rPr>
              <w:t>t</w:t>
            </w:r>
            <w:r w:rsidRPr="00722533">
              <w:t>arget morpheme only</w:t>
            </w:r>
          </w:p>
        </w:tc>
        <w:tc>
          <w:tcPr>
            <w:tcW w:w="2693" w:type="dxa"/>
            <w:tcBorders>
              <w:top w:val="single" w:sz="4" w:space="0" w:color="auto"/>
            </w:tcBorders>
            <w:vAlign w:val="center"/>
          </w:tcPr>
          <w:p w:rsidR="00722533" w:rsidRPr="00722533" w:rsidRDefault="00722533" w:rsidP="00722533">
            <w:pPr>
              <w:pStyle w:val="tablecontents"/>
              <w:rPr>
                <w:rFonts w:hint="eastAsia"/>
                <w:i/>
              </w:rPr>
            </w:pPr>
            <w:r w:rsidRPr="00722533">
              <w:rPr>
                <w:i/>
              </w:rPr>
              <w:t>-</w:t>
            </w:r>
            <w:proofErr w:type="spellStart"/>
            <w:r w:rsidRPr="00722533">
              <w:rPr>
                <w:rFonts w:hint="eastAsia"/>
                <w:i/>
              </w:rPr>
              <w:t>t</w:t>
            </w:r>
            <w:r w:rsidRPr="00722533">
              <w:rPr>
                <w:i/>
              </w:rPr>
              <w:t>eru</w:t>
            </w:r>
            <w:proofErr w:type="spellEnd"/>
          </w:p>
        </w:tc>
      </w:tr>
      <w:tr w:rsidR="00722533" w:rsidTr="00722533">
        <w:tc>
          <w:tcPr>
            <w:tcW w:w="3108" w:type="dxa"/>
            <w:vAlign w:val="center"/>
          </w:tcPr>
          <w:p w:rsidR="00722533" w:rsidRPr="00722533" w:rsidRDefault="00722533" w:rsidP="00722533">
            <w:pPr>
              <w:pStyle w:val="tablecontents"/>
              <w:rPr>
                <w:rFonts w:hint="eastAsia"/>
              </w:rPr>
            </w:pPr>
            <w:r w:rsidRPr="00722533">
              <w:rPr>
                <w:rFonts w:hint="eastAsia"/>
              </w:rPr>
              <w:t>w</w:t>
            </w:r>
            <w:r w:rsidRPr="00722533">
              <w:t>ord frequency</w:t>
            </w:r>
          </w:p>
        </w:tc>
        <w:tc>
          <w:tcPr>
            <w:tcW w:w="2693" w:type="dxa"/>
            <w:vAlign w:val="center"/>
          </w:tcPr>
          <w:p w:rsidR="00722533" w:rsidRPr="00722533" w:rsidRDefault="00722533" w:rsidP="00722533">
            <w:pPr>
              <w:pStyle w:val="tablecontents"/>
              <w:rPr>
                <w:rFonts w:hint="eastAsia"/>
              </w:rPr>
            </w:pPr>
            <w:r w:rsidRPr="00722533">
              <w:t>from the root verb to the target location</w:t>
            </w:r>
          </w:p>
        </w:tc>
        <w:tc>
          <w:tcPr>
            <w:tcW w:w="2693" w:type="dxa"/>
            <w:vAlign w:val="center"/>
          </w:tcPr>
          <w:p w:rsidR="00722533" w:rsidRPr="00722533" w:rsidRDefault="00722533" w:rsidP="00722533">
            <w:pPr>
              <w:pStyle w:val="tablecontents"/>
              <w:rPr>
                <w:rFonts w:hint="eastAsia"/>
                <w:i/>
              </w:rPr>
            </w:pPr>
            <w:proofErr w:type="spellStart"/>
            <w:r w:rsidRPr="00722533">
              <w:rPr>
                <w:rFonts w:hint="eastAsia"/>
                <w:i/>
              </w:rPr>
              <w:t>t</w:t>
            </w:r>
            <w:r w:rsidRPr="00722533">
              <w:rPr>
                <w:i/>
              </w:rPr>
              <w:t>abe-teru</w:t>
            </w:r>
            <w:proofErr w:type="spellEnd"/>
          </w:p>
        </w:tc>
      </w:tr>
      <w:tr w:rsidR="00722533" w:rsidTr="00722533">
        <w:tc>
          <w:tcPr>
            <w:tcW w:w="3108" w:type="dxa"/>
            <w:vAlign w:val="center"/>
          </w:tcPr>
          <w:p w:rsidR="00722533" w:rsidRPr="00722533" w:rsidRDefault="00722533" w:rsidP="00722533">
            <w:pPr>
              <w:pStyle w:val="tablecontents"/>
              <w:rPr>
                <w:rFonts w:hint="eastAsia"/>
              </w:rPr>
            </w:pPr>
            <w:r w:rsidRPr="00722533">
              <w:rPr>
                <w:rFonts w:hint="eastAsia"/>
              </w:rPr>
              <w:t>m</w:t>
            </w:r>
            <w:r w:rsidRPr="00722533">
              <w:t>orpheme phrase frequency</w:t>
            </w:r>
          </w:p>
        </w:tc>
        <w:tc>
          <w:tcPr>
            <w:tcW w:w="2693" w:type="dxa"/>
            <w:vAlign w:val="center"/>
          </w:tcPr>
          <w:p w:rsidR="00722533" w:rsidRPr="00722533" w:rsidRDefault="00722533" w:rsidP="00722533">
            <w:pPr>
              <w:pStyle w:val="tablecontents"/>
              <w:rPr>
                <w:rFonts w:hint="eastAsia"/>
              </w:rPr>
            </w:pPr>
            <w:r w:rsidRPr="00722533">
              <w:rPr>
                <w:rFonts w:hint="eastAsia"/>
              </w:rPr>
              <w:t>t</w:t>
            </w:r>
            <w:r w:rsidRPr="00722533">
              <w:t>arget morpheme plus following word</w:t>
            </w:r>
          </w:p>
        </w:tc>
        <w:tc>
          <w:tcPr>
            <w:tcW w:w="2693" w:type="dxa"/>
            <w:vAlign w:val="center"/>
          </w:tcPr>
          <w:p w:rsidR="00722533" w:rsidRPr="00722533" w:rsidRDefault="00722533" w:rsidP="00722533">
            <w:pPr>
              <w:pStyle w:val="tablecontents"/>
              <w:rPr>
                <w:rFonts w:hint="eastAsia"/>
                <w:i/>
              </w:rPr>
            </w:pPr>
            <w:r w:rsidRPr="00722533">
              <w:rPr>
                <w:i/>
              </w:rPr>
              <w:t>-</w:t>
            </w:r>
            <w:proofErr w:type="spellStart"/>
            <w:r w:rsidRPr="00722533">
              <w:rPr>
                <w:rFonts w:hint="eastAsia"/>
                <w:i/>
              </w:rPr>
              <w:t>t</w:t>
            </w:r>
            <w:r w:rsidRPr="00722533">
              <w:rPr>
                <w:i/>
              </w:rPr>
              <w:t>eru</w:t>
            </w:r>
            <w:proofErr w:type="spellEnd"/>
            <w:r w:rsidRPr="00722533">
              <w:rPr>
                <w:i/>
              </w:rPr>
              <w:t xml:space="preserve"> </w:t>
            </w:r>
            <w:proofErr w:type="spellStart"/>
            <w:r w:rsidRPr="00722533">
              <w:rPr>
                <w:i/>
              </w:rPr>
              <w:t>nen</w:t>
            </w:r>
            <w:proofErr w:type="spellEnd"/>
          </w:p>
        </w:tc>
      </w:tr>
      <w:tr w:rsidR="00722533" w:rsidTr="00722533">
        <w:tc>
          <w:tcPr>
            <w:tcW w:w="3108" w:type="dxa"/>
            <w:tcBorders>
              <w:bottom w:val="single" w:sz="4" w:space="0" w:color="auto"/>
            </w:tcBorders>
            <w:vAlign w:val="center"/>
          </w:tcPr>
          <w:p w:rsidR="00722533" w:rsidRPr="00722533" w:rsidRDefault="00722533" w:rsidP="00722533">
            <w:pPr>
              <w:pStyle w:val="tablecontents"/>
              <w:rPr>
                <w:rFonts w:hint="eastAsia"/>
              </w:rPr>
            </w:pPr>
            <w:r w:rsidRPr="00722533">
              <w:rPr>
                <w:rFonts w:hint="eastAsia"/>
              </w:rPr>
              <w:t>w</w:t>
            </w:r>
            <w:r w:rsidRPr="00722533">
              <w:t>ord phrase frequency</w:t>
            </w:r>
          </w:p>
        </w:tc>
        <w:tc>
          <w:tcPr>
            <w:tcW w:w="2693" w:type="dxa"/>
            <w:tcBorders>
              <w:bottom w:val="single" w:sz="4" w:space="0" w:color="auto"/>
            </w:tcBorders>
            <w:vAlign w:val="center"/>
          </w:tcPr>
          <w:p w:rsidR="00722533" w:rsidRPr="00722533" w:rsidRDefault="00722533" w:rsidP="00722533">
            <w:pPr>
              <w:pStyle w:val="tablecontents"/>
              <w:rPr>
                <w:rFonts w:hint="eastAsia"/>
              </w:rPr>
            </w:pPr>
            <w:r w:rsidRPr="00722533">
              <w:rPr>
                <w:rFonts w:hint="eastAsia"/>
              </w:rPr>
              <w:t>a</w:t>
            </w:r>
            <w:r w:rsidRPr="00722533">
              <w:t>s word frequency, plus following word</w:t>
            </w:r>
          </w:p>
        </w:tc>
        <w:tc>
          <w:tcPr>
            <w:tcW w:w="2693" w:type="dxa"/>
            <w:tcBorders>
              <w:bottom w:val="single" w:sz="4" w:space="0" w:color="auto"/>
            </w:tcBorders>
            <w:vAlign w:val="center"/>
          </w:tcPr>
          <w:p w:rsidR="00722533" w:rsidRPr="00722533" w:rsidRDefault="00722533" w:rsidP="00722533">
            <w:pPr>
              <w:pStyle w:val="tablecontents"/>
              <w:rPr>
                <w:rFonts w:hint="eastAsia"/>
                <w:i/>
              </w:rPr>
            </w:pPr>
            <w:proofErr w:type="spellStart"/>
            <w:r w:rsidRPr="00722533">
              <w:rPr>
                <w:rFonts w:hint="eastAsia"/>
                <w:i/>
              </w:rPr>
              <w:t>t</w:t>
            </w:r>
            <w:r w:rsidRPr="00722533">
              <w:rPr>
                <w:i/>
              </w:rPr>
              <w:t>abe-teru</w:t>
            </w:r>
            <w:proofErr w:type="spellEnd"/>
            <w:r w:rsidRPr="00722533">
              <w:rPr>
                <w:i/>
              </w:rPr>
              <w:t xml:space="preserve"> </w:t>
            </w:r>
            <w:proofErr w:type="spellStart"/>
            <w:r w:rsidRPr="00722533">
              <w:rPr>
                <w:i/>
              </w:rPr>
              <w:t>nen</w:t>
            </w:r>
            <w:proofErr w:type="spellEnd"/>
          </w:p>
        </w:tc>
      </w:tr>
    </w:tbl>
    <w:p w:rsidR="009D7256" w:rsidRDefault="009D7256" w:rsidP="009D7256">
      <w:pPr>
        <w:pStyle w:val="msubsubsection"/>
      </w:pPr>
      <w:bookmarkStart w:id="12" w:name="_GoBack"/>
      <w:bookmarkEnd w:id="12"/>
      <w:r>
        <w:rPr>
          <w:rFonts w:hint="eastAsia"/>
        </w:rPr>
        <w:t>2</w:t>
      </w:r>
      <w:r>
        <w:t>.5.2</w:t>
      </w:r>
      <w:r>
        <w:tab/>
      </w:r>
    </w:p>
    <w:p w:rsidR="000C59E7" w:rsidRDefault="000C59E7" w:rsidP="002D0BCA">
      <w:pPr>
        <w:jc w:val="left"/>
      </w:pPr>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lastRenderedPageBreak/>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864048" w:rsidRPr="00864048" w:rsidRDefault="00CB718A" w:rsidP="00864048">
      <w:pPr>
        <w:pStyle w:val="EndNoteBibliography"/>
        <w:ind w:left="720" w:hanging="720"/>
      </w:pPr>
      <w:r>
        <w:fldChar w:fldCharType="begin"/>
      </w:r>
      <w:r>
        <w:instrText xml:space="preserve"> ADDIN EN.REFLIST </w:instrText>
      </w:r>
      <w:r>
        <w:fldChar w:fldCharType="separate"/>
      </w:r>
      <w:r w:rsidR="00864048" w:rsidRPr="00864048">
        <w:t xml:space="preserve">Beckner, C., Blythe, R., Bybee, J., Christiansen, M. H., Croft, W., Ellis, N. C., . . . Schoenemann, T. (2009). Language is a complex adaptive system: Position paper. </w:t>
      </w:r>
      <w:r w:rsidR="00864048" w:rsidRPr="00864048">
        <w:rPr>
          <w:i/>
        </w:rPr>
        <w:t>Language Learning, 59</w:t>
      </w:r>
      <w:r w:rsidR="00864048" w:rsidRPr="00864048">
        <w:t>(Suppl. 1), 1-26. doi:10.1111/j.1467-9922.2009.00533.x</w:t>
      </w:r>
    </w:p>
    <w:p w:rsidR="00864048" w:rsidRPr="00864048" w:rsidRDefault="00864048" w:rsidP="00864048">
      <w:pPr>
        <w:pStyle w:val="EndNoteBibliography"/>
        <w:ind w:left="720" w:hanging="720"/>
      </w:pPr>
      <w:r w:rsidRPr="00864048">
        <w:t xml:space="preserve">Bybee, J. (2010). </w:t>
      </w:r>
      <w:r w:rsidRPr="00864048">
        <w:rPr>
          <w:i/>
        </w:rPr>
        <w:t>Language, usage and cognition</w:t>
      </w:r>
      <w:r w:rsidRPr="00864048">
        <w:t>. Cambridge, England: Cambridge University Press.</w:t>
      </w:r>
    </w:p>
    <w:p w:rsidR="00864048" w:rsidRPr="00864048" w:rsidRDefault="00864048" w:rsidP="00864048">
      <w:pPr>
        <w:pStyle w:val="EndNoteBibliography"/>
        <w:ind w:left="720" w:hanging="720"/>
      </w:pPr>
      <w:r w:rsidRPr="00864048">
        <w:t xml:space="preserve">Bybee, J., &amp; Scheibman, J. (1999). The Effect of usage on degrees of constituency: The reduction of don't in English. </w:t>
      </w:r>
      <w:r w:rsidRPr="00864048">
        <w:rPr>
          <w:i/>
        </w:rPr>
        <w:t>Linguistics, 37</w:t>
      </w:r>
      <w:r w:rsidRPr="00864048">
        <w:t xml:space="preserve">(4), 575-596. </w:t>
      </w:r>
    </w:p>
    <w:p w:rsidR="00864048" w:rsidRPr="00864048" w:rsidRDefault="00864048" w:rsidP="00864048">
      <w:pPr>
        <w:pStyle w:val="EndNoteBibliography"/>
        <w:ind w:left="720" w:hanging="720"/>
        <w:rPr>
          <w:rFonts w:ascii="Times New Roman" w:hAnsi="Times New Roman" w:cs="Times New Roman"/>
          <w:sz w:val="22"/>
        </w:rPr>
      </w:pPr>
      <w:r w:rsidRPr="00864048">
        <w:t>Chomsky, N., &amp; Halle, M. (</w:t>
      </w:r>
      <w:r w:rsidRPr="00864048">
        <w:rPr>
          <w:sz w:val="22"/>
        </w:rPr>
        <w:t>1968</w:t>
      </w:r>
      <w:r w:rsidRPr="00864048">
        <w:t xml:space="preserve">). </w:t>
      </w:r>
      <w:r w:rsidRPr="00864048">
        <w:rPr>
          <w:i/>
          <w:sz w:val="22"/>
        </w:rPr>
        <w:t>The Sound Pattern of English</w:t>
      </w:r>
      <w:r w:rsidRPr="00864048">
        <w:t xml:space="preserve">. </w:t>
      </w:r>
      <w:r w:rsidRPr="00864048">
        <w:rPr>
          <w:sz w:val="22"/>
        </w:rPr>
        <w:t>New York</w:t>
      </w:r>
    </w:p>
    <w:p w:rsidR="00864048" w:rsidRPr="00864048" w:rsidRDefault="00864048" w:rsidP="00864048">
      <w:pPr>
        <w:pStyle w:val="EndNoteBibliography"/>
        <w:ind w:left="720" w:hanging="720"/>
        <w:rPr>
          <w:rFonts w:ascii="Times New Roman" w:hAnsi="Times New Roman" w:cs="Times New Roman"/>
          <w:sz w:val="22"/>
        </w:rPr>
      </w:pPr>
      <w:r w:rsidRPr="00864048">
        <w:rPr>
          <w:sz w:val="22"/>
        </w:rPr>
        <w:t>Harper &amp; Row</w:t>
      </w:r>
    </w:p>
    <w:p w:rsidR="00864048" w:rsidRPr="00864048" w:rsidRDefault="00864048" w:rsidP="00864048">
      <w:pPr>
        <w:pStyle w:val="EndNoteBibliography"/>
        <w:rPr>
          <w:rFonts w:ascii="Times New Roman" w:hAnsi="Times New Roman" w:cs="Times New Roman"/>
          <w:sz w:val="22"/>
        </w:rPr>
      </w:pPr>
    </w:p>
    <w:p w:rsidR="00864048" w:rsidRPr="00864048" w:rsidRDefault="00864048" w:rsidP="00864048">
      <w:pPr>
        <w:pStyle w:val="EndNoteBibliography"/>
        <w:ind w:left="720" w:hanging="720"/>
      </w:pPr>
      <w:r w:rsidRPr="00864048">
        <w:t xml:space="preserve">Clopper, C. G., &amp; Turnbull, R. (2018). Exploring variation in phonetic reduction: Linguistic, social, and cognitive factors. In F. Cangemi, M. Clayards, O. Niebuhr, B. Schuppler, &amp; M. Zellers (Eds.), </w:t>
      </w:r>
      <w:r w:rsidRPr="00864048">
        <w:rPr>
          <w:i/>
        </w:rPr>
        <w:t>Rethinking Reduction</w:t>
      </w:r>
      <w:r w:rsidRPr="00864048">
        <w:t xml:space="preserve"> (pp. 25–72). Berlin/Munich/Boston: De Gruyter Mouton.</w:t>
      </w:r>
    </w:p>
    <w:p w:rsidR="00864048" w:rsidRPr="00864048" w:rsidRDefault="00864048" w:rsidP="00864048">
      <w:pPr>
        <w:pStyle w:val="EndNoteBibliography"/>
        <w:ind w:left="720" w:hanging="720"/>
      </w:pPr>
      <w:r w:rsidRPr="00864048">
        <w:t xml:space="preserve">Ernestus, M. (2014). Acoustic reduction and the roles of abstractions and exemplars in speech processing. </w:t>
      </w:r>
      <w:r w:rsidRPr="00864048">
        <w:rPr>
          <w:i/>
        </w:rPr>
        <w:t>Lingua, 142</w:t>
      </w:r>
      <w:r w:rsidRPr="00864048">
        <w:t>, 27-41. doi:</w:t>
      </w:r>
      <w:hyperlink r:id="rId8" w:history="1">
        <w:r w:rsidRPr="00864048">
          <w:rPr>
            <w:rStyle w:val="a7"/>
          </w:rPr>
          <w:t>http://dx.doi.org/10.1016/j.lingua.2012.12.006</w:t>
        </w:r>
      </w:hyperlink>
    </w:p>
    <w:p w:rsidR="00864048" w:rsidRPr="00864048" w:rsidRDefault="00864048" w:rsidP="00864048">
      <w:pPr>
        <w:pStyle w:val="EndNoteBibliography"/>
        <w:ind w:left="720" w:hanging="720"/>
      </w:pPr>
      <w:r w:rsidRPr="00864048">
        <w:t xml:space="preserve">Fasold, R. W. (1972). </w:t>
      </w:r>
      <w:r w:rsidRPr="00864048">
        <w:rPr>
          <w:i/>
        </w:rPr>
        <w:t>Tense marking in Black English: A linguistic and social analysis</w:t>
      </w:r>
      <w:r w:rsidRPr="00864048">
        <w:t>. Arlington, VA: Center for Applied Linguistics.</w:t>
      </w:r>
    </w:p>
    <w:p w:rsidR="00864048" w:rsidRPr="00864048" w:rsidRDefault="00864048" w:rsidP="00864048">
      <w:pPr>
        <w:pStyle w:val="EndNoteBibliography"/>
        <w:ind w:left="720" w:hanging="720"/>
      </w:pPr>
      <w:r w:rsidRPr="00864048">
        <w:t xml:space="preserve">Fujii, N., &amp; Ono, T. (2000). The occurrence and non-occurrence of the Japanese direct object marker o in conversation. </w:t>
      </w:r>
      <w:r w:rsidRPr="00864048">
        <w:rPr>
          <w:i/>
        </w:rPr>
        <w:t>Studies in Language, 24</w:t>
      </w:r>
      <w:r w:rsidRPr="00864048">
        <w:t>(1), 1-39. doi:10.1075/sl.24.1.02fuj</w:t>
      </w:r>
    </w:p>
    <w:p w:rsidR="00864048" w:rsidRPr="00864048" w:rsidRDefault="00864048" w:rsidP="00864048">
      <w:pPr>
        <w:pStyle w:val="EndNoteBibliography"/>
        <w:ind w:left="720" w:hanging="720"/>
      </w:pPr>
      <w:r w:rsidRPr="00864048">
        <w:t xml:space="preserve">Guy, G. R. (2014). Linking usage and grammar: Generative phonology, exemplar theory, and variable rules. </w:t>
      </w:r>
      <w:r w:rsidRPr="00864048">
        <w:rPr>
          <w:i/>
        </w:rPr>
        <w:t>Lingua, 142</w:t>
      </w:r>
      <w:r w:rsidRPr="00864048">
        <w:t>, 57-65. doi:10.1016/j.lingua.2012.07.007</w:t>
      </w:r>
    </w:p>
    <w:p w:rsidR="00864048" w:rsidRPr="00864048" w:rsidRDefault="00864048" w:rsidP="00864048">
      <w:pPr>
        <w:pStyle w:val="EndNoteBibliography"/>
        <w:ind w:left="720" w:hanging="720"/>
      </w:pPr>
      <w:r w:rsidRPr="00864048">
        <w:t xml:space="preserve">Heffernan, K., &amp; Hiratuka, Y. (2017). Morphological relative frequency impedes the use of stylistic variants: Evidence from a corpus of vernacular Japanese. </w:t>
      </w:r>
      <w:r w:rsidRPr="00864048">
        <w:rPr>
          <w:i/>
        </w:rPr>
        <w:t>Asia Pacific Language Variation 3</w:t>
      </w:r>
      <w:r w:rsidRPr="00864048">
        <w:t>(2), 200-231. doi:10.1075/aplv.16009.hef</w:t>
      </w:r>
    </w:p>
    <w:p w:rsidR="00864048" w:rsidRPr="00864048" w:rsidRDefault="00864048" w:rsidP="00864048">
      <w:pPr>
        <w:pStyle w:val="EndNoteBibliography"/>
        <w:ind w:left="720" w:hanging="720"/>
      </w:pPr>
      <w:r w:rsidRPr="00864048">
        <w:t xml:space="preserve">Heffernan, K., Imanishi, Y., &amp; Honda, M. (2018). Showcasing the interaction of generative and emergent linguistic knowledge with case marker omission in spoken Japanese. </w:t>
      </w:r>
      <w:r w:rsidRPr="00864048">
        <w:rPr>
          <w:i/>
        </w:rPr>
        <w:t>Glossa: A journal of general linguistics, 3</w:t>
      </w:r>
      <w:r w:rsidRPr="00864048">
        <w:t>(1), 72. 71-24. doi:10.5334/gjgl.500</w:t>
      </w:r>
    </w:p>
    <w:p w:rsidR="00864048" w:rsidRPr="00864048" w:rsidRDefault="00864048" w:rsidP="00864048">
      <w:pPr>
        <w:pStyle w:val="EndNoteBibliography"/>
        <w:ind w:left="720" w:hanging="720"/>
      </w:pPr>
      <w:r w:rsidRPr="00864048">
        <w:t xml:space="preserve">Hirayama, T. (1997). </w:t>
      </w:r>
      <w:r w:rsidRPr="00864048">
        <w:rPr>
          <w:i/>
        </w:rPr>
        <w:t>Oosaka no kotoba [The language of Osaka]</w:t>
      </w:r>
      <w:r w:rsidRPr="00864048">
        <w:t>. Tokyo: Meijishoin.</w:t>
      </w:r>
    </w:p>
    <w:p w:rsidR="00864048" w:rsidRPr="00864048" w:rsidRDefault="00864048" w:rsidP="00864048">
      <w:pPr>
        <w:pStyle w:val="EndNoteBibliography"/>
        <w:ind w:left="720" w:hanging="720"/>
      </w:pPr>
      <w:r w:rsidRPr="00864048">
        <w:t xml:space="preserve">Ibbotson, P., &amp; Tomasello, M. (2016). Evidence rebuts Chomsky's theory of language learning. </w:t>
      </w:r>
      <w:r w:rsidRPr="00864048">
        <w:rPr>
          <w:i/>
        </w:rPr>
        <w:t>Scientific American, 315</w:t>
      </w:r>
      <w:r w:rsidRPr="00864048">
        <w:t>, 70-75. doi:10.1038/scientificamerican1116-70</w:t>
      </w:r>
    </w:p>
    <w:p w:rsidR="00864048" w:rsidRPr="00864048" w:rsidRDefault="00864048" w:rsidP="00864048">
      <w:pPr>
        <w:pStyle w:val="EndNoteBibliography"/>
        <w:ind w:left="720" w:hanging="720"/>
      </w:pPr>
      <w:r w:rsidRPr="00864048">
        <w:t xml:space="preserve">Jaeger, T. F., &amp; Buz, E. (2017). Signal reduction and linguistic encoding. In E. M. Fernández &amp; H. S. Cairns (Eds.), </w:t>
      </w:r>
      <w:r w:rsidRPr="00864048">
        <w:rPr>
          <w:i/>
        </w:rPr>
        <w:t>The Handbook of Psycholinguistics</w:t>
      </w:r>
      <w:r w:rsidRPr="00864048">
        <w:t xml:space="preserve"> (pp. 38-81). Oxford: Wiley Blackwell.</w:t>
      </w:r>
    </w:p>
    <w:p w:rsidR="00864048" w:rsidRPr="00864048" w:rsidRDefault="00864048" w:rsidP="00864048">
      <w:pPr>
        <w:pStyle w:val="EndNoteBibliography"/>
        <w:ind w:left="720" w:hanging="720"/>
      </w:pPr>
      <w:r w:rsidRPr="00864048">
        <w:lastRenderedPageBreak/>
        <w:t xml:space="preserve">Jurafsky, D., Bell, A., Gregory, M., &amp; Raymond, W. D. (2001). Probabilistic Relations between Words: Evidence from Reduction in Lexical Production. In J. Bybee &amp; P. J. Hopper (Eds.), </w:t>
      </w:r>
      <w:r w:rsidRPr="00864048">
        <w:rPr>
          <w:i/>
        </w:rPr>
        <w:t>Frequency and the emergence of linguistic structure.</w:t>
      </w:r>
      <w:r w:rsidRPr="00864048">
        <w:t xml:space="preserve"> (pp. 229-254). Amsterdam: John Benjamins.</w:t>
      </w:r>
    </w:p>
    <w:p w:rsidR="00864048" w:rsidRPr="00864048" w:rsidRDefault="00864048" w:rsidP="00864048">
      <w:pPr>
        <w:pStyle w:val="EndNoteBibliography"/>
        <w:ind w:left="720" w:hanging="720"/>
      </w:pPr>
      <w:r w:rsidRPr="00864048">
        <w:t xml:space="preserve">Kubozono, H. (2015). Introduction to Japanese phonetics and phonology. In H. Kubozono (Ed.), </w:t>
      </w:r>
      <w:r w:rsidRPr="00864048">
        <w:rPr>
          <w:i/>
        </w:rPr>
        <w:t>Handbook of Japanese Phonetics and Phonology</w:t>
      </w:r>
      <w:r w:rsidRPr="00864048">
        <w:t xml:space="preserve"> (pp. 1-41). Berlin/Boston/Munich: De Gruyter Mouton.</w:t>
      </w:r>
    </w:p>
    <w:p w:rsidR="00864048" w:rsidRPr="00864048" w:rsidRDefault="00864048" w:rsidP="00864048">
      <w:pPr>
        <w:pStyle w:val="EndNoteBibliography"/>
        <w:ind w:left="720" w:hanging="720"/>
      </w:pPr>
      <w:r w:rsidRPr="00864048">
        <w:t xml:space="preserve">Kyoto University Graduate School of Informatics, &amp; Nihon Telegraph and Telephone Corporation. (2013). MeCab (Version 0.996). Retrieved from </w:t>
      </w:r>
      <w:hyperlink r:id="rId9" w:history="1">
        <w:r w:rsidRPr="00864048">
          <w:rPr>
            <w:rStyle w:val="a7"/>
          </w:rPr>
          <w:t>http://taku910.github.io/mecab/</w:t>
        </w:r>
      </w:hyperlink>
    </w:p>
    <w:p w:rsidR="00864048" w:rsidRPr="00864048" w:rsidRDefault="00864048" w:rsidP="00864048">
      <w:pPr>
        <w:pStyle w:val="EndNoteBibliography"/>
        <w:ind w:left="720" w:hanging="720"/>
      </w:pPr>
      <w:r w:rsidRPr="00864048">
        <w:rPr>
          <w:sz w:val="22"/>
        </w:rPr>
        <w:t>Lin, F. Y.</w:t>
      </w:r>
      <w:r w:rsidRPr="00864048">
        <w:t xml:space="preserve"> (</w:t>
      </w:r>
      <w:r w:rsidRPr="00864048">
        <w:rPr>
          <w:sz w:val="22"/>
        </w:rPr>
        <w:t>2017</w:t>
      </w:r>
      <w:r w:rsidRPr="00864048">
        <w:t xml:space="preserve">). </w:t>
      </w:r>
      <w:r w:rsidRPr="00864048">
        <w:rPr>
          <w:sz w:val="22"/>
        </w:rPr>
        <w:t>A refutation of universal grammar</w:t>
      </w:r>
      <w:r w:rsidRPr="00864048">
        <w:t xml:space="preserve">. </w:t>
      </w:r>
      <w:r w:rsidRPr="00864048">
        <w:rPr>
          <w:i/>
          <w:sz w:val="22"/>
        </w:rPr>
        <w:t>Lingua</w:t>
      </w:r>
      <w:r w:rsidRPr="00864048">
        <w:rPr>
          <w:i/>
        </w:rPr>
        <w:t>, 193</w:t>
      </w:r>
      <w:r w:rsidRPr="00864048">
        <w:t>, 1-22. doi:10.1016/j.lingua.2017.04.003</w:t>
      </w:r>
    </w:p>
    <w:p w:rsidR="00864048" w:rsidRPr="00864048" w:rsidRDefault="00864048" w:rsidP="00864048">
      <w:pPr>
        <w:pStyle w:val="EndNoteBibliography"/>
        <w:ind w:left="720" w:hanging="720"/>
      </w:pPr>
      <w:r w:rsidRPr="00864048">
        <w:t xml:space="preserve">MacWhinney, B., &amp; O'Grady, W. (Eds.). (2015). </w:t>
      </w:r>
      <w:r w:rsidRPr="00864048">
        <w:rPr>
          <w:i/>
        </w:rPr>
        <w:t>The handbook of language emergence</w:t>
      </w:r>
      <w:r w:rsidRPr="00864048">
        <w:t>. Hoboken, NJ: Wiley-Blackwell.</w:t>
      </w:r>
    </w:p>
    <w:p w:rsidR="00864048" w:rsidRPr="00864048" w:rsidRDefault="00864048" w:rsidP="00864048">
      <w:pPr>
        <w:pStyle w:val="EndNoteBibliography"/>
        <w:ind w:left="720" w:hanging="720"/>
      </w:pPr>
      <w:r w:rsidRPr="00864048">
        <w:t xml:space="preserve">O'Grady, W. (2015). Processing determinism. </w:t>
      </w:r>
      <w:r w:rsidRPr="00864048">
        <w:rPr>
          <w:i/>
        </w:rPr>
        <w:t>Language Learning, 65</w:t>
      </w:r>
      <w:r w:rsidRPr="00864048">
        <w:t>(1), 6-32. doi:10.1111/lang.12091</w:t>
      </w:r>
    </w:p>
    <w:p w:rsidR="00864048" w:rsidRPr="00864048" w:rsidRDefault="00864048" w:rsidP="00864048">
      <w:pPr>
        <w:pStyle w:val="EndNoteBibliography"/>
        <w:ind w:left="720" w:hanging="720"/>
      </w:pPr>
      <w:r w:rsidRPr="00864048">
        <w:t xml:space="preserve">Pavlík, R. (2017). Some new ways of modeling t/d deletion in English. </w:t>
      </w:r>
      <w:r w:rsidRPr="00864048">
        <w:rPr>
          <w:i/>
        </w:rPr>
        <w:t>Journal of English Linguistics, 45</w:t>
      </w:r>
      <w:r w:rsidRPr="00864048">
        <w:t>(3), 195-228. doi:10.1177/0075424217712358</w:t>
      </w:r>
    </w:p>
    <w:p w:rsidR="00864048" w:rsidRPr="00864048" w:rsidRDefault="00864048" w:rsidP="00864048">
      <w:pPr>
        <w:pStyle w:val="EndNoteBibliography"/>
        <w:ind w:left="720" w:hanging="720"/>
      </w:pPr>
      <w:r w:rsidRPr="00864048">
        <w:t xml:space="preserve">Tagliamonte, S. A. (2006). </w:t>
      </w:r>
      <w:r w:rsidRPr="00864048">
        <w:rPr>
          <w:i/>
        </w:rPr>
        <w:t>Analysing sociolinguistic variation</w:t>
      </w:r>
      <w:r w:rsidRPr="00864048">
        <w:t>. Cambridge, UK: Cambridge University Press.</w:t>
      </w:r>
    </w:p>
    <w:p w:rsidR="00864048" w:rsidRPr="00864048" w:rsidRDefault="00864048" w:rsidP="00864048">
      <w:pPr>
        <w:pStyle w:val="EndNoteBibliography"/>
        <w:ind w:left="720" w:hanging="720"/>
      </w:pPr>
      <w:r w:rsidRPr="00864048">
        <w:t xml:space="preserve">Turnbull, R. (2018). Patterns of probabilistic segment deletion/reduction in English and Japanese. </w:t>
      </w:r>
      <w:r w:rsidRPr="00864048">
        <w:rPr>
          <w:i/>
        </w:rPr>
        <w:t>Linguistics Vanguard, 4</w:t>
      </w:r>
      <w:r w:rsidRPr="00864048">
        <w:t>(s2:20170033), 1-14. doi:10.1515/lingvan-2017-0033</w:t>
      </w:r>
    </w:p>
    <w:p w:rsidR="00864048" w:rsidRPr="00864048" w:rsidRDefault="00864048" w:rsidP="00864048">
      <w:pPr>
        <w:pStyle w:val="EndNoteBibliography"/>
        <w:ind w:left="720" w:hanging="720"/>
      </w:pPr>
      <w:r w:rsidRPr="00864048">
        <w:t xml:space="preserve">Turnbull , R., Seyfarth, S., Hume, E., &amp; Jaeger, T. F. (2018). Nasal place assimilation trades off inferrability of both target and trigger words. </w:t>
      </w:r>
      <w:r w:rsidRPr="00864048">
        <w:rPr>
          <w:i/>
        </w:rPr>
        <w:t>Laboratory Phonology, 9</w:t>
      </w:r>
      <w:r w:rsidRPr="00864048">
        <w:t>(1:15), 1-27. doi:10.5334/labphon.119</w:t>
      </w:r>
    </w:p>
    <w:p w:rsidR="00864048" w:rsidRPr="00864048" w:rsidRDefault="00864048" w:rsidP="00864048">
      <w:pPr>
        <w:pStyle w:val="EndNoteBibliography"/>
        <w:ind w:left="720" w:hanging="720"/>
      </w:pPr>
      <w:r w:rsidRPr="00864048">
        <w:t xml:space="preserve">Villavicencio, M. (2020). </w:t>
      </w:r>
      <w:r w:rsidRPr="00864048">
        <w:rPr>
          <w:i/>
        </w:rPr>
        <w:t>Four examples of pseudoscience</w:t>
      </w:r>
      <w:r w:rsidRPr="00864048">
        <w:t xml:space="preserve">.  Retrieved from </w:t>
      </w:r>
      <w:hyperlink r:id="rId10" w:history="1">
        <w:r w:rsidRPr="00864048">
          <w:rPr>
            <w:rStyle w:val="a7"/>
          </w:rPr>
          <w:t>http://philsci-archive.pitt.edu/16777/</w:t>
        </w:r>
      </w:hyperlink>
    </w:p>
    <w:p w:rsidR="00864048" w:rsidRPr="00864048" w:rsidRDefault="00864048" w:rsidP="00864048">
      <w:pPr>
        <w:pStyle w:val="EndNoteBibliography"/>
        <w:ind w:left="720" w:hanging="720"/>
        <w:rPr>
          <w:rFonts w:ascii="Times New Roman" w:hAnsi="Times New Roman" w:cs="Times New Roman"/>
          <w:sz w:val="22"/>
        </w:rPr>
      </w:pPr>
      <w:r w:rsidRPr="00864048">
        <w:t xml:space="preserve">Wu, T. (2020). </w:t>
      </w:r>
      <w:r w:rsidRPr="00864048">
        <w:rPr>
          <w:sz w:val="22"/>
        </w:rPr>
        <w:t>A refutation of “a refutation of universal grammar” (Lin, f. 2017. Lingua 193. 1-22.)</w:t>
      </w:r>
    </w:p>
    <w:p w:rsidR="00864048" w:rsidRPr="00864048" w:rsidRDefault="00864048" w:rsidP="00864048">
      <w:pPr>
        <w:pStyle w:val="EndNoteBibliography"/>
        <w:ind w:left="720" w:hanging="720"/>
      </w:pPr>
      <w:r w:rsidRPr="00864048">
        <w:rPr>
          <w:i/>
        </w:rPr>
        <w:t>Poznan Studies in Contemporary Linguistics, 56</w:t>
      </w:r>
      <w:r w:rsidRPr="00864048">
        <w:t>(1), 169-205. doi:10.1515/psicl-2020-0005</w:t>
      </w:r>
    </w:p>
    <w:p w:rsidR="00864048" w:rsidRPr="00864048" w:rsidRDefault="00864048" w:rsidP="00864048">
      <w:pPr>
        <w:pStyle w:val="EndNoteBibliography"/>
        <w:ind w:left="720" w:hanging="720"/>
      </w:pPr>
      <w:r w:rsidRPr="00864048">
        <w:t xml:space="preserve">Yoshizumi, Y. (2016). </w:t>
      </w:r>
      <w:r w:rsidRPr="00864048">
        <w:rPr>
          <w:i/>
        </w:rPr>
        <w:t>A Canadian perspective on Japanese-English language contact.</w:t>
      </w:r>
      <w:r w:rsidRPr="00864048">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758" w:rsidRDefault="00E27758" w:rsidP="0058350F">
      <w:r>
        <w:separator/>
      </w:r>
    </w:p>
  </w:endnote>
  <w:endnote w:type="continuationSeparator" w:id="0">
    <w:p w:rsidR="00E27758" w:rsidRDefault="00E27758"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758" w:rsidRDefault="00E27758" w:rsidP="0058350F">
      <w:r>
        <w:separator/>
      </w:r>
    </w:p>
  </w:footnote>
  <w:footnote w:type="continuationSeparator" w:id="0">
    <w:p w:rsidR="00E27758" w:rsidRDefault="00E27758" w:rsidP="0058350F">
      <w:r>
        <w:continuationSeparator/>
      </w:r>
    </w:p>
  </w:footnote>
  <w:footnote w:id="1">
    <w:p w:rsidR="00F102F5" w:rsidRPr="003A7C53" w:rsidRDefault="00F102F5"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adverb(ializer), </w:t>
      </w:r>
      <w:r w:rsidRPr="00313FDE">
        <w:rPr>
          <w:smallCaps/>
        </w:rPr>
        <w:t>conj</w:t>
      </w:r>
      <w:r>
        <w:t xml:space="preserve"> = conjunctive, </w:t>
      </w:r>
      <w:r w:rsidRPr="00F1035A">
        <w:rPr>
          <w:smallCaps/>
        </w:rPr>
        <w:t>cont</w:t>
      </w:r>
      <w:r>
        <w:t xml:space="preserve"> = continuative, </w:t>
      </w:r>
      <w:r w:rsidRPr="006801A4">
        <w:rPr>
          <w:smallCaps/>
        </w:rPr>
        <w:t>cop</w:t>
      </w:r>
      <w:r>
        <w:t xml:space="preserve"> = copula, </w:t>
      </w:r>
      <w:r w:rsidRPr="000619C0">
        <w:rPr>
          <w:smallCaps/>
        </w:rPr>
        <w:t>dat</w:t>
      </w:r>
      <w:r>
        <w:t xml:space="preserve"> = dative, </w:t>
      </w:r>
      <w:r w:rsidRPr="00FF0E36">
        <w:rPr>
          <w:smallCaps/>
        </w:rPr>
        <w:t>des</w:t>
      </w:r>
      <w:r>
        <w:t xml:space="preserve"> = desiderative, </w:t>
      </w:r>
      <w:r w:rsidRPr="003A7C53">
        <w:rPr>
          <w:smallCaps/>
        </w:rPr>
        <w:t>dm</w:t>
      </w:r>
      <w:r w:rsidRPr="003A7C53">
        <w:t xml:space="preserve"> = discourse marker, </w:t>
      </w:r>
      <w:r w:rsidRPr="008B5B25">
        <w:rPr>
          <w:smallCaps/>
        </w:rPr>
        <w:t>hab</w:t>
      </w:r>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r w:rsidRPr="002A50A2">
        <w:rPr>
          <w:smallCaps/>
        </w:rPr>
        <w:t>nmlz</w:t>
      </w:r>
      <w:r>
        <w:t xml:space="preserve"> = nominalizer, </w:t>
      </w:r>
      <w:r w:rsidRPr="006801A4">
        <w:rPr>
          <w:smallCaps/>
        </w:rPr>
        <w:t>nom</w:t>
      </w:r>
      <w:r>
        <w:t xml:space="preserve"> = nominative, </w:t>
      </w:r>
      <w:r w:rsidRPr="00FF0E36">
        <w:rPr>
          <w:smallCaps/>
        </w:rPr>
        <w:t>prog</w:t>
      </w:r>
      <w:r>
        <w:t xml:space="preserve"> = progressive, </w:t>
      </w:r>
      <w:r w:rsidRPr="00FF0E36">
        <w:rPr>
          <w:smallCaps/>
        </w:rPr>
        <w:t>pst</w:t>
      </w:r>
      <w:r>
        <w:t xml:space="preserve"> = past, </w:t>
      </w:r>
      <w:r w:rsidRPr="00313FDE">
        <w:rPr>
          <w:smallCaps/>
        </w:rPr>
        <w:t>perf</w:t>
      </w:r>
      <w:r>
        <w:t xml:space="preserve"> = perfective, </w:t>
      </w:r>
      <w:r w:rsidRPr="00313FDE">
        <w:rPr>
          <w:smallCaps/>
        </w:rPr>
        <w:t>prs</w:t>
      </w:r>
      <w:r>
        <w:t xml:space="preserve"> = present, </w:t>
      </w:r>
      <w:r w:rsidRPr="000619C0">
        <w:rPr>
          <w:smallCaps/>
        </w:rPr>
        <w:t>qm</w:t>
      </w:r>
      <w:r>
        <w:t xml:space="preserve"> = question marker, </w:t>
      </w:r>
      <w:r w:rsidRPr="00F1035A">
        <w:rPr>
          <w:smallCaps/>
        </w:rPr>
        <w:t>quot</w:t>
      </w:r>
      <w:r>
        <w:t xml:space="preserve"> = quotative, </w:t>
      </w:r>
      <w:r w:rsidRPr="003A7C53">
        <w:rPr>
          <w:smallCaps/>
        </w:rPr>
        <w:t>sfp</w:t>
      </w:r>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F102F5" w:rsidRPr="00CB1633" w:rsidRDefault="00F102F5" w:rsidP="008B5B25">
      <w:pPr>
        <w:pStyle w:val="mfootnote"/>
      </w:pPr>
      <w:r>
        <w:rPr>
          <w:rStyle w:val="aa"/>
        </w:rPr>
        <w:footnoteRef/>
      </w:r>
      <w:r>
        <w:tab/>
        <w:t>CiNii is the search engine for academic literature written in Japanese. The URL is https://ci.nii.ac.jp/ja.</w:t>
      </w:r>
    </w:p>
  </w:footnote>
  <w:footnote w:id="3">
    <w:p w:rsidR="00F102F5" w:rsidRDefault="00F102F5"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eitherKSJ, KYT, or TKC; identifier number; gender, either female (f) or male (m); and age cohort (1 through 9; see Section 3 for details).</w:t>
      </w:r>
    </w:p>
  </w:footnote>
  <w:footnote w:id="4">
    <w:p w:rsidR="00F102F5" w:rsidRDefault="00F102F5"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266&lt;/item&gt;&lt;item&gt;314&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31125"/>
    <w:rsid w:val="000463EC"/>
    <w:rsid w:val="00055EF3"/>
    <w:rsid w:val="000619C0"/>
    <w:rsid w:val="00063AD1"/>
    <w:rsid w:val="000840D1"/>
    <w:rsid w:val="00096AD9"/>
    <w:rsid w:val="000A4083"/>
    <w:rsid w:val="000B069F"/>
    <w:rsid w:val="000C0E7D"/>
    <w:rsid w:val="000C59E7"/>
    <w:rsid w:val="00104DDF"/>
    <w:rsid w:val="001076F6"/>
    <w:rsid w:val="00116248"/>
    <w:rsid w:val="001317A5"/>
    <w:rsid w:val="001372D5"/>
    <w:rsid w:val="00137528"/>
    <w:rsid w:val="00141B90"/>
    <w:rsid w:val="001426D5"/>
    <w:rsid w:val="00143B88"/>
    <w:rsid w:val="00147490"/>
    <w:rsid w:val="00147615"/>
    <w:rsid w:val="0016020A"/>
    <w:rsid w:val="00166BBC"/>
    <w:rsid w:val="0016705D"/>
    <w:rsid w:val="00181F52"/>
    <w:rsid w:val="00185728"/>
    <w:rsid w:val="001908A7"/>
    <w:rsid w:val="00194E68"/>
    <w:rsid w:val="001A1A98"/>
    <w:rsid w:val="001A6274"/>
    <w:rsid w:val="001A68CD"/>
    <w:rsid w:val="001C6EF5"/>
    <w:rsid w:val="001E1429"/>
    <w:rsid w:val="001F6DED"/>
    <w:rsid w:val="00202C01"/>
    <w:rsid w:val="00217AFF"/>
    <w:rsid w:val="00223565"/>
    <w:rsid w:val="00241CA6"/>
    <w:rsid w:val="002432DF"/>
    <w:rsid w:val="00280D4E"/>
    <w:rsid w:val="00296873"/>
    <w:rsid w:val="00297008"/>
    <w:rsid w:val="00297BC9"/>
    <w:rsid w:val="002A42D5"/>
    <w:rsid w:val="002A50A2"/>
    <w:rsid w:val="002B1A79"/>
    <w:rsid w:val="002B405B"/>
    <w:rsid w:val="002D0BCA"/>
    <w:rsid w:val="002D35C5"/>
    <w:rsid w:val="002D3FCC"/>
    <w:rsid w:val="00313FDE"/>
    <w:rsid w:val="00322603"/>
    <w:rsid w:val="003301D1"/>
    <w:rsid w:val="00344B46"/>
    <w:rsid w:val="00353580"/>
    <w:rsid w:val="00383837"/>
    <w:rsid w:val="00392B5E"/>
    <w:rsid w:val="00397A61"/>
    <w:rsid w:val="003A7C53"/>
    <w:rsid w:val="003C026B"/>
    <w:rsid w:val="003C7AEC"/>
    <w:rsid w:val="003D23AE"/>
    <w:rsid w:val="003D2ACE"/>
    <w:rsid w:val="003E1865"/>
    <w:rsid w:val="0041182D"/>
    <w:rsid w:val="00412FEA"/>
    <w:rsid w:val="00413490"/>
    <w:rsid w:val="004224D3"/>
    <w:rsid w:val="00425040"/>
    <w:rsid w:val="00431AF6"/>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63184"/>
    <w:rsid w:val="00674BAB"/>
    <w:rsid w:val="00674CF2"/>
    <w:rsid w:val="00675DA6"/>
    <w:rsid w:val="006801A4"/>
    <w:rsid w:val="00684DF9"/>
    <w:rsid w:val="00690F63"/>
    <w:rsid w:val="00694F5A"/>
    <w:rsid w:val="006A4FD9"/>
    <w:rsid w:val="006B150D"/>
    <w:rsid w:val="006B571C"/>
    <w:rsid w:val="006C5E9A"/>
    <w:rsid w:val="006D4B69"/>
    <w:rsid w:val="006F09A4"/>
    <w:rsid w:val="007174EF"/>
    <w:rsid w:val="00717E4E"/>
    <w:rsid w:val="00720873"/>
    <w:rsid w:val="0072253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1515"/>
    <w:rsid w:val="008A2F24"/>
    <w:rsid w:val="008A31D1"/>
    <w:rsid w:val="008B2830"/>
    <w:rsid w:val="008B4218"/>
    <w:rsid w:val="008B538A"/>
    <w:rsid w:val="008B5AE4"/>
    <w:rsid w:val="008B5B25"/>
    <w:rsid w:val="008C25F4"/>
    <w:rsid w:val="008C46E3"/>
    <w:rsid w:val="008D5F33"/>
    <w:rsid w:val="008E3406"/>
    <w:rsid w:val="008E57FA"/>
    <w:rsid w:val="008F3369"/>
    <w:rsid w:val="008F416E"/>
    <w:rsid w:val="00915038"/>
    <w:rsid w:val="00941B37"/>
    <w:rsid w:val="009619F8"/>
    <w:rsid w:val="00983E79"/>
    <w:rsid w:val="00997323"/>
    <w:rsid w:val="009A73BB"/>
    <w:rsid w:val="009A7489"/>
    <w:rsid w:val="009C0B01"/>
    <w:rsid w:val="009D7256"/>
    <w:rsid w:val="009F0C69"/>
    <w:rsid w:val="009F611C"/>
    <w:rsid w:val="00A27CF5"/>
    <w:rsid w:val="00A326A8"/>
    <w:rsid w:val="00A3630C"/>
    <w:rsid w:val="00A47349"/>
    <w:rsid w:val="00A571D5"/>
    <w:rsid w:val="00A70187"/>
    <w:rsid w:val="00A73645"/>
    <w:rsid w:val="00A7710C"/>
    <w:rsid w:val="00A82A4C"/>
    <w:rsid w:val="00A871B1"/>
    <w:rsid w:val="00A90855"/>
    <w:rsid w:val="00A90C4E"/>
    <w:rsid w:val="00A912DF"/>
    <w:rsid w:val="00A94310"/>
    <w:rsid w:val="00AA47A4"/>
    <w:rsid w:val="00AC734C"/>
    <w:rsid w:val="00AD075B"/>
    <w:rsid w:val="00AE1B7E"/>
    <w:rsid w:val="00AF683E"/>
    <w:rsid w:val="00B0469C"/>
    <w:rsid w:val="00B1662C"/>
    <w:rsid w:val="00B470C7"/>
    <w:rsid w:val="00B53D4E"/>
    <w:rsid w:val="00B54F34"/>
    <w:rsid w:val="00B5585D"/>
    <w:rsid w:val="00B76CC7"/>
    <w:rsid w:val="00B8289F"/>
    <w:rsid w:val="00B83045"/>
    <w:rsid w:val="00BB220F"/>
    <w:rsid w:val="00BB3B68"/>
    <w:rsid w:val="00BB4EF0"/>
    <w:rsid w:val="00BC224D"/>
    <w:rsid w:val="00BD795B"/>
    <w:rsid w:val="00BE6133"/>
    <w:rsid w:val="00BF022C"/>
    <w:rsid w:val="00BF2A7D"/>
    <w:rsid w:val="00C17E8B"/>
    <w:rsid w:val="00C216BB"/>
    <w:rsid w:val="00C22020"/>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62B3"/>
    <w:rsid w:val="00D435E2"/>
    <w:rsid w:val="00D55326"/>
    <w:rsid w:val="00D641E8"/>
    <w:rsid w:val="00D74C69"/>
    <w:rsid w:val="00D879EA"/>
    <w:rsid w:val="00D95069"/>
    <w:rsid w:val="00DA6D1D"/>
    <w:rsid w:val="00DB4A0B"/>
    <w:rsid w:val="00DD2241"/>
    <w:rsid w:val="00DE2A7F"/>
    <w:rsid w:val="00E01BBC"/>
    <w:rsid w:val="00E23A3F"/>
    <w:rsid w:val="00E27758"/>
    <w:rsid w:val="00E74C97"/>
    <w:rsid w:val="00E827A8"/>
    <w:rsid w:val="00E82B17"/>
    <w:rsid w:val="00E85C41"/>
    <w:rsid w:val="00E87B8B"/>
    <w:rsid w:val="00EA2D53"/>
    <w:rsid w:val="00EC0147"/>
    <w:rsid w:val="00EC5FFD"/>
    <w:rsid w:val="00ED520A"/>
    <w:rsid w:val="00EE451C"/>
    <w:rsid w:val="00F102F5"/>
    <w:rsid w:val="00F1035A"/>
    <w:rsid w:val="00F14225"/>
    <w:rsid w:val="00F27EF8"/>
    <w:rsid w:val="00F30A1B"/>
    <w:rsid w:val="00F32B1C"/>
    <w:rsid w:val="00F43D43"/>
    <w:rsid w:val="00F44B53"/>
    <w:rsid w:val="00F641FD"/>
    <w:rsid w:val="00F749EB"/>
    <w:rsid w:val="00F85039"/>
    <w:rsid w:val="00F8657C"/>
    <w:rsid w:val="00F96E24"/>
    <w:rsid w:val="00FA66CF"/>
    <w:rsid w:val="00FB0617"/>
    <w:rsid w:val="00FB27B1"/>
    <w:rsid w:val="00FE2FE0"/>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514DE9"/>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1">
    <w:name w:val="未解決のメンション1"/>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 w:type="paragraph" w:customStyle="1" w:styleId="tablecontents">
    <w:name w:val="table contents"/>
    <w:basedOn w:val="mparaindent"/>
    <w:qFormat/>
    <w:rsid w:val="00722533"/>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66CC-03BC-4B00-A910-3AD8A286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8218</Words>
  <Characters>46848</Characters>
  <Application>Microsoft Office Word</Application>
  <DocSecurity>0</DocSecurity>
  <Lines>390</Lines>
  <Paragraphs>109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3</cp:revision>
  <dcterms:created xsi:type="dcterms:W3CDTF">2020-08-22T01:50:00Z</dcterms:created>
  <dcterms:modified xsi:type="dcterms:W3CDTF">2020-08-22T02:06:00Z</dcterms:modified>
</cp:coreProperties>
</file>