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2551"/>
        <w:gridCol w:w="4561"/>
      </w:tblGrid>
      <w:tr>
        <w:tc>
          <w:tcPr>
            <w:tcW w:type="dxa" w:w="4561"/>
          </w:tcPr>
          <w:p>
            <w:pPr>
              <w:jc w:val="center"/>
            </w:pPr>
            <w:r>
              <w:drawing>
                <wp:inline xmlns:a="http://schemas.openxmlformats.org/drawingml/2006/main" xmlns:pic="http://schemas.openxmlformats.org/drawingml/2006/picture">
                  <wp:extent cx="1440000" cy="802303"/>
                  <wp:docPr id="1" name="Picture 1"/>
                  <wp:cNvGraphicFramePr>
                    <a:graphicFrameLocks noChangeAspect="1"/>
                  </wp:cNvGraphicFramePr>
                  <a:graphic>
                    <a:graphicData uri="http://schemas.openxmlformats.org/drawingml/2006/picture">
                      <pic:pic>
                        <pic:nvPicPr>
                          <pic:cNvPr id="0" name="logo_uv.jpg"/>
                          <pic:cNvPicPr/>
                        </pic:nvPicPr>
                        <pic:blipFill>
                          <a:blip r:embed="rId9"/>
                          <a:stretch>
                            <a:fillRect/>
                          </a:stretch>
                        </pic:blipFill>
                        <pic:spPr>
                          <a:xfrm>
                            <a:off x="0" y="0"/>
                            <a:ext cx="1440000" cy="802303"/>
                          </a:xfrm>
                          <a:prstGeom prst="rect"/>
                        </pic:spPr>
                      </pic:pic>
                    </a:graphicData>
                  </a:graphic>
                </wp:inline>
              </w:drawing>
            </w:r>
          </w:p>
        </w:tc>
        <w:tc>
          <w:tcPr>
            <w:tcW w:type="dxa" w:w="4561"/>
            <w:shd w:val="clear" w:color="auto" w:fill="1F4E79"/>
          </w:tcPr>
          <w:p>
            <w:pPr>
              <w:jc w:val="center"/>
            </w:pPr>
            <w:r>
              <w:rPr>
                <w:b/>
                <w:i w:val="0"/>
                <w:color w:val="FFFFFF"/>
                <w:sz w:val="24"/>
              </w:rPr>
              <w:t>PROGRAMA DE ASIGNATURA</w:t>
              <w:br/>
              <w:t>Desarrollo Personal</w:t>
              <w:br/>
              <w:t>CFG 111</w:t>
            </w:r>
          </w:p>
        </w:tc>
      </w:tr>
    </w:tbl>
    <w:p/>
    <w:p>
      <w:pPr>
        <w:spacing w:before="240" w:after="80"/>
      </w:pPr>
      <w:r>
        <w:rPr>
          <w:b/>
          <w:color w:val="1F4E79"/>
          <w:sz w:val="22"/>
        </w:rPr>
        <w:t>IDENTIFICACIÓN</w:t>
      </w:r>
    </w:p>
    <w:tbl>
      <w:tblPr>
        <w:tblStyle w:val="TableGrid"/>
        <w:tblW w:type="auto" w:w="0"/>
        <w:tblLook w:firstColumn="1" w:firstRow="1" w:lastColumn="0" w:lastRow="0" w:noHBand="0" w:noVBand="1" w:val="04A0"/>
      </w:tblPr>
      <w:tblGrid>
        <w:gridCol w:w="2551"/>
        <w:gridCol w:w="4561"/>
      </w:tblGrid>
      <w:tr>
        <w:tc>
          <w:tcPr>
            <w:tcW w:type="dxa" w:w="2551"/>
            <w:shd w:val="clear" w:color="auto" w:fill="DEEAF1"/>
          </w:tcPr>
          <w:p>
            <w:pPr>
              <w:jc w:val="left"/>
            </w:pPr>
            <w:r>
              <w:rPr>
                <w:b/>
                <w:i w:val="0"/>
                <w:sz w:val="20"/>
              </w:rPr>
              <w:t>Código</w:t>
            </w:r>
          </w:p>
        </w:tc>
        <w:tc>
          <w:tcPr>
            <w:tcW w:type="dxa" w:w="4561"/>
          </w:tcPr>
          <w:p>
            <w:pPr>
              <w:jc w:val="left"/>
            </w:pPr>
            <w:r>
              <w:rPr>
                <w:b w:val="0"/>
                <w:i w:val="0"/>
                <w:sz w:val="20"/>
              </w:rPr>
              <w:t>CFG 111</w:t>
            </w:r>
          </w:p>
        </w:tc>
      </w:tr>
      <w:tr>
        <w:tc>
          <w:tcPr>
            <w:tcW w:type="dxa" w:w="2551"/>
            <w:shd w:val="clear" w:color="auto" w:fill="DEEAF1"/>
          </w:tcPr>
          <w:p>
            <w:pPr>
              <w:jc w:val="left"/>
            </w:pPr>
            <w:r>
              <w:rPr>
                <w:b/>
                <w:i w:val="0"/>
                <w:sz w:val="20"/>
              </w:rPr>
              <w:t>Nombre</w:t>
            </w:r>
          </w:p>
        </w:tc>
        <w:tc>
          <w:tcPr>
            <w:tcW w:type="dxa" w:w="4561"/>
          </w:tcPr>
          <w:p>
            <w:pPr>
              <w:jc w:val="left"/>
            </w:pPr>
            <w:r>
              <w:rPr>
                <w:b w:val="0"/>
                <w:i w:val="0"/>
                <w:sz w:val="20"/>
              </w:rPr>
              <w:t>Desarrollo Personal</w:t>
            </w:r>
          </w:p>
        </w:tc>
      </w:tr>
      <w:tr>
        <w:tc>
          <w:tcPr>
            <w:tcW w:type="dxa" w:w="2551"/>
            <w:shd w:val="clear" w:color="auto" w:fill="DEEAF1"/>
          </w:tcPr>
          <w:p>
            <w:pPr>
              <w:jc w:val="left"/>
            </w:pPr>
            <w:r>
              <w:rPr>
                <w:b/>
                <w:i w:val="0"/>
                <w:sz w:val="20"/>
              </w:rPr>
              <w:t>Semestre</w:t>
            </w:r>
          </w:p>
        </w:tc>
        <w:tc>
          <w:tcPr>
            <w:tcW w:type="dxa" w:w="4561"/>
          </w:tcPr>
          <w:p>
            <w:pPr>
              <w:jc w:val="left"/>
            </w:pPr>
            <w:r>
              <w:rPr>
                <w:b w:val="0"/>
                <w:i w:val="0"/>
                <w:sz w:val="20"/>
              </w:rPr>
              <w:t>1</w:t>
            </w:r>
          </w:p>
        </w:tc>
      </w:tr>
      <w:tr>
        <w:tc>
          <w:tcPr>
            <w:tcW w:type="dxa" w:w="2551"/>
            <w:shd w:val="clear" w:color="auto" w:fill="DEEAF1"/>
          </w:tcPr>
          <w:p>
            <w:pPr>
              <w:jc w:val="left"/>
            </w:pPr>
            <w:r>
              <w:rPr>
                <w:b/>
                <w:i w:val="0"/>
                <w:sz w:val="20"/>
              </w:rPr>
              <w:t>Nivel</w:t>
            </w:r>
          </w:p>
        </w:tc>
        <w:tc>
          <w:tcPr>
            <w:tcW w:type="dxa" w:w="4561"/>
          </w:tcPr>
          <w:p>
            <w:pPr>
              <w:jc w:val="left"/>
            </w:pPr>
            <w:r>
              <w:rPr>
                <w:b w:val="0"/>
                <w:i w:val="0"/>
                <w:sz w:val="20"/>
              </w:rPr>
              <w:t>N1</w:t>
            </w:r>
          </w:p>
        </w:tc>
      </w:tr>
      <w:tr>
        <w:tc>
          <w:tcPr>
            <w:tcW w:type="dxa" w:w="2551"/>
            <w:shd w:val="clear" w:color="auto" w:fill="DEEAF1"/>
          </w:tcPr>
          <w:p>
            <w:pPr>
              <w:jc w:val="left"/>
            </w:pPr>
            <w:r>
              <w:rPr>
                <w:b/>
                <w:i w:val="0"/>
                <w:sz w:val="20"/>
              </w:rPr>
              <w:t>Duración</w:t>
            </w:r>
          </w:p>
        </w:tc>
        <w:tc>
          <w:tcPr>
            <w:tcW w:type="dxa" w:w="4561"/>
          </w:tcPr>
          <w:p>
            <w:pPr>
              <w:jc w:val="left"/>
            </w:pPr>
            <w:r>
              <w:rPr>
                <w:b w:val="0"/>
                <w:i w:val="0"/>
                <w:sz w:val="20"/>
              </w:rPr>
              <w:t>Semestral</w:t>
            </w:r>
          </w:p>
        </w:tc>
      </w:tr>
      <w:tr>
        <w:tc>
          <w:tcPr>
            <w:tcW w:type="dxa" w:w="2551"/>
            <w:shd w:val="clear" w:color="auto" w:fill="DEEAF1"/>
          </w:tcPr>
          <w:p>
            <w:pPr>
              <w:jc w:val="left"/>
            </w:pPr>
            <w:r>
              <w:rPr>
                <w:b/>
                <w:i w:val="0"/>
                <w:sz w:val="20"/>
              </w:rPr>
              <w:t>Requisitos</w:t>
            </w:r>
          </w:p>
        </w:tc>
        <w:tc>
          <w:tcPr>
            <w:tcW w:type="dxa" w:w="4561"/>
          </w:tcPr>
          <w:p>
            <w:pPr>
              <w:jc w:val="left"/>
            </w:pPr>
            <w:r>
              <w:rPr>
                <w:b w:val="0"/>
                <w:i w:val="0"/>
                <w:sz w:val="20"/>
              </w:rPr>
              <w:t xml:space="preserve">Con requisitos </w:t>
            </w:r>
          </w:p>
        </w:tc>
      </w:tr>
    </w:tbl>
    <w:p/>
    <w:p>
      <w:pPr>
        <w:spacing w:before="240" w:after="80"/>
      </w:pPr>
      <w:r>
        <w:rPr>
          <w:b/>
          <w:color w:val="1F4E79"/>
          <w:sz w:val="22"/>
        </w:rPr>
        <w:t>RESULTADOS DE APRENDIZAJE Y DESEMPEÑOS</w:t>
      </w:r>
    </w:p>
    <w:p>
      <w:r>
        <w:rPr>
          <w:i/>
        </w:rPr>
        <w:t>Sin resultados de aprendizaje declarados.</w:t>
      </w:r>
    </w:p>
    <w:p/>
    <w:p>
      <w:pPr>
        <w:spacing w:before="240" w:after="80"/>
      </w:pPr>
      <w:r>
        <w:rPr>
          <w:b/>
          <w:color w:val="1F4E79"/>
          <w:sz w:val="22"/>
        </w:rPr>
        <w:t>UNIDADES DE APRENDIZAJE Y CONTENIDOS</w:t>
      </w:r>
    </w:p>
    <w:tbl>
      <w:tblPr>
        <w:tblStyle w:val="TableGrid"/>
        <w:tblW w:type="auto" w:w="0"/>
        <w:tblLook w:firstColumn="1" w:firstRow="1" w:lastColumn="0" w:lastRow="0" w:noHBand="0" w:noVBand="1" w:val="04A0"/>
      </w:tblPr>
      <w:tblGrid>
        <w:gridCol w:w="3041"/>
        <w:gridCol w:w="3041"/>
        <w:gridCol w:w="3041"/>
      </w:tblGrid>
      <w:tr>
        <w:tc>
          <w:tcPr>
            <w:tcW w:type="dxa" w:w="680"/>
            <w:shd w:val="clear" w:color="auto" w:fill="1F4E79"/>
          </w:tcPr>
          <w:p>
            <w:pPr>
              <w:jc w:val="center"/>
            </w:pPr>
            <w:r>
              <w:rPr>
                <w:b/>
                <w:i w:val="0"/>
                <w:color w:val="FFFFFF"/>
                <w:sz w:val="20"/>
              </w:rPr>
              <w:t>N°</w:t>
            </w:r>
          </w:p>
        </w:tc>
        <w:tc>
          <w:tcPr>
            <w:tcW w:type="dxa" w:w="3118"/>
            <w:shd w:val="clear" w:color="auto" w:fill="1F4E79"/>
          </w:tcPr>
          <w:p>
            <w:pPr>
              <w:jc w:val="center"/>
            </w:pPr>
            <w:r>
              <w:rPr>
                <w:b/>
                <w:i w:val="0"/>
                <w:color w:val="FFFFFF"/>
                <w:sz w:val="20"/>
              </w:rPr>
              <w:t>Nombre de Unidad</w:t>
            </w:r>
          </w:p>
        </w:tc>
        <w:tc>
          <w:tcPr>
            <w:tcW w:type="dxa" w:w="5102"/>
            <w:shd w:val="clear" w:color="auto" w:fill="1F4E79"/>
          </w:tcPr>
          <w:p>
            <w:pPr>
              <w:jc w:val="center"/>
            </w:pPr>
            <w:r>
              <w:rPr>
                <w:b/>
                <w:i w:val="0"/>
                <w:color w:val="FFFFFF"/>
                <w:sz w:val="20"/>
              </w:rPr>
              <w:t>Contenidos</w:t>
            </w:r>
          </w:p>
        </w:tc>
      </w:tr>
      <w:tr>
        <w:tc>
          <w:tcPr>
            <w:tcW w:type="dxa" w:w="3041"/>
          </w:tcPr>
          <w:p>
            <w:pPr>
              <w:jc w:val="center"/>
            </w:pPr>
            <w:r>
              <w:rPr>
                <w:b w:val="0"/>
                <w:i w:val="0"/>
                <w:sz w:val="20"/>
              </w:rPr>
              <w:t>1</w:t>
            </w:r>
          </w:p>
        </w:tc>
        <w:tc>
          <w:tcPr>
            <w:tcW w:type="dxa" w:w="3041"/>
          </w:tcPr>
          <w:p>
            <w:pPr>
              <w:jc w:val="left"/>
            </w:pPr>
            <w:r>
              <w:rPr>
                <w:b w:val="0"/>
                <w:i w:val="0"/>
                <w:sz w:val="18"/>
              </w:rPr>
              <w:t xml:space="preserve">Unidad 1: Autorregulación y Gestión Personal en la Vida Universitaria Gestión personal en el ámbito </w:t>
            </w:r>
          </w:p>
        </w:tc>
        <w:tc>
          <w:tcPr>
            <w:tcW w:type="dxa" w:w="3041"/>
          </w:tcPr>
          <w:p>
            <w:pPr>
              <w:jc w:val="left"/>
            </w:pPr>
            <w:r>
              <w:rPr>
                <w:b w:val="0"/>
                <w:i w:val="0"/>
                <w:sz w:val="18"/>
              </w:rPr>
              <w:t>Unidad 1: Autorregulación y Gestión Personal en la Vida Universitaria Gestión personal en el ámbito académico y profesional. Estrategias de autorregulación y autonomía en el aprendizaje. Entorno universitario y recursos disponibles. Principios éticos, diversidad e inclusión en la vida universitaria. Herramientas para la gestión del tiempo y planificación estratégica.</w:t>
            </w:r>
          </w:p>
        </w:tc>
      </w:tr>
      <w:tr>
        <w:tc>
          <w:tcPr>
            <w:tcW w:type="dxa" w:w="3041"/>
          </w:tcPr>
          <w:p>
            <w:pPr>
              <w:jc w:val="center"/>
            </w:pPr>
            <w:r>
              <w:rPr>
                <w:b w:val="0"/>
                <w:i w:val="0"/>
                <w:sz w:val="20"/>
              </w:rPr>
              <w:t>2</w:t>
            </w:r>
          </w:p>
        </w:tc>
        <w:tc>
          <w:tcPr>
            <w:tcW w:type="dxa" w:w="3041"/>
          </w:tcPr>
          <w:p>
            <w:pPr>
              <w:jc w:val="left"/>
            </w:pPr>
            <w:r>
              <w:rPr>
                <w:b w:val="0"/>
                <w:i w:val="0"/>
                <w:sz w:val="18"/>
              </w:rPr>
              <w:t>Unidad 2: Estrategias de Estudio para la Resolución de Desafíos Académicos Métodos de estudio especí</w:t>
            </w:r>
          </w:p>
        </w:tc>
        <w:tc>
          <w:tcPr>
            <w:tcW w:type="dxa" w:w="3041"/>
          </w:tcPr>
          <w:p>
            <w:pPr>
              <w:jc w:val="left"/>
            </w:pPr>
            <w:r>
              <w:rPr>
                <w:b w:val="0"/>
                <w:i w:val="0"/>
                <w:sz w:val="18"/>
              </w:rPr>
              <w:t>Unidad 2: Estrategias de Estudio para la Resolución de Desafíos Académicos Métodos de estudio específicos para carreras de ingeniería. Estrategias para la resolución de problemas en el contexto universitario. Gestión del estrés en escenarios complejos y regulación emocional. Herramientas tecnológicas para la gestión del aprendizaje. Aprendizaje colaborativo y equipos de trabajo.</w:t>
            </w:r>
          </w:p>
        </w:tc>
      </w:tr>
      <w:tr>
        <w:tc>
          <w:tcPr>
            <w:tcW w:type="dxa" w:w="3041"/>
          </w:tcPr>
          <w:p>
            <w:pPr>
              <w:jc w:val="center"/>
            </w:pPr>
            <w:r>
              <w:rPr>
                <w:b w:val="0"/>
                <w:i w:val="0"/>
                <w:sz w:val="20"/>
              </w:rPr>
              <w:t>3</w:t>
            </w:r>
          </w:p>
        </w:tc>
        <w:tc>
          <w:tcPr>
            <w:tcW w:type="dxa" w:w="3041"/>
          </w:tcPr>
          <w:p>
            <w:pPr>
              <w:jc w:val="left"/>
            </w:pPr>
            <w:r>
              <w:rPr>
                <w:b w:val="0"/>
                <w:i w:val="0"/>
                <w:sz w:val="18"/>
              </w:rPr>
              <w:t>Unidad 3: Comunicación Académica y Profesional Géneros académicos asociados con la disciplina. Model</w:t>
            </w:r>
          </w:p>
        </w:tc>
        <w:tc>
          <w:tcPr>
            <w:tcW w:type="dxa" w:w="3041"/>
          </w:tcPr>
          <w:p>
            <w:pPr>
              <w:jc w:val="left"/>
            </w:pPr>
            <w:r>
              <w:rPr>
                <w:b w:val="0"/>
                <w:i w:val="0"/>
                <w:sz w:val="18"/>
              </w:rPr>
              <w:t>Unidad 3: Comunicación Académica y Profesional Géneros académicos asociados con la disciplina. Modelo de producción textual. Etapas en el proceso de escritura. Principios de oralidad en el contexto académico. Herramientas y aplicaciones tecnológicas para la comunicación de ideas. Normas bibliográficas y derechos de autor</w:t>
            </w:r>
          </w:p>
        </w:tc>
      </w:tr>
    </w:tbl>
    <w:p/>
    <w:p>
      <w:pPr>
        <w:spacing w:before="240" w:after="80"/>
      </w:pPr>
      <w:r>
        <w:rPr>
          <w:b/>
          <w:color w:val="1F4E79"/>
          <w:sz w:val="22"/>
        </w:rPr>
        <w:t>ESTRATEGIA METODOLÓGICA</w:t>
      </w:r>
    </w:p>
    <w:p>
      <w:pPr>
        <w:pStyle w:val="ListBullet"/>
      </w:pPr>
      <w:r>
        <w:rPr>
          <w:sz w:val="20"/>
        </w:rPr>
        <w:t>Procedimiento de Pausas</w:t>
      </w:r>
    </w:p>
    <w:p>
      <w:pPr>
        <w:pStyle w:val="ListBullet"/>
      </w:pPr>
      <w:r>
        <w:rPr>
          <w:sz w:val="20"/>
        </w:rPr>
        <w:t>Aprendizaje por descubrimiento</w:t>
      </w:r>
    </w:p>
    <w:p>
      <w:pPr>
        <w:pStyle w:val="ListBullet"/>
      </w:pPr>
      <w:r>
        <w:rPr>
          <w:sz w:val="20"/>
        </w:rPr>
        <w:t>X Estudio de Casos</w:t>
      </w:r>
    </w:p>
    <w:p>
      <w:pPr>
        <w:pStyle w:val="ListBullet"/>
      </w:pPr>
      <w:r>
        <w:rPr>
          <w:sz w:val="20"/>
        </w:rPr>
        <w:t>Aprendizaje basado en equipos</w:t>
      </w:r>
    </w:p>
    <w:p>
      <w:pPr>
        <w:pStyle w:val="ListBullet"/>
      </w:pPr>
      <w:r>
        <w:rPr>
          <w:sz w:val="20"/>
        </w:rPr>
        <w:t>Juego de Roles</w:t>
      </w:r>
    </w:p>
    <w:p>
      <w:pPr>
        <w:pStyle w:val="ListBullet"/>
      </w:pPr>
      <w:r>
        <w:rPr>
          <w:sz w:val="20"/>
        </w:rPr>
        <w:t>Clase expositiva activa</w:t>
      </w:r>
    </w:p>
    <w:p>
      <w:pPr>
        <w:pStyle w:val="ListBullet"/>
      </w:pPr>
      <w:r>
        <w:rPr>
          <w:sz w:val="20"/>
        </w:rPr>
        <w:t>X Aprendizaje colaborativo o cooperativo</w:t>
      </w:r>
    </w:p>
    <w:p>
      <w:pPr>
        <w:pStyle w:val="ListBullet"/>
      </w:pPr>
      <w:r>
        <w:rPr>
          <w:sz w:val="20"/>
        </w:rPr>
        <w:t>X Simulación</w:t>
      </w:r>
    </w:p>
    <w:p>
      <w:pPr>
        <w:pStyle w:val="ListBullet"/>
      </w:pPr>
      <w:r>
        <w:rPr>
          <w:sz w:val="20"/>
        </w:rPr>
        <w:t>X Aprendizaje basado en Problemas (ABP)</w:t>
      </w:r>
    </w:p>
    <w:p>
      <w:pPr>
        <w:pStyle w:val="ListBullet"/>
      </w:pPr>
      <w:r>
        <w:rPr>
          <w:sz w:val="20"/>
        </w:rPr>
        <w:t>Aprendizaje basado en Proyectos</w:t>
      </w:r>
    </w:p>
    <w:p>
      <w:pPr>
        <w:pStyle w:val="ListBullet"/>
      </w:pPr>
      <w:r>
        <w:rPr>
          <w:sz w:val="20"/>
        </w:rPr>
        <w:t>Salidas a terreno</w:t>
      </w:r>
    </w:p>
    <w:p>
      <w:pPr>
        <w:pStyle w:val="ListBullet"/>
      </w:pPr>
      <w:r>
        <w:rPr>
          <w:sz w:val="20"/>
        </w:rPr>
        <w:t>Aprendizaje Servicio</w:t>
      </w:r>
    </w:p>
    <w:p>
      <w:pPr>
        <w:pStyle w:val="ListBullet"/>
      </w:pPr>
      <w:r>
        <w:rPr>
          <w:sz w:val="20"/>
        </w:rPr>
        <w:t>Otro, especifique: Otro, especifique: Aprendizaje Invertido</w:t>
      </w:r>
    </w:p>
    <w:p/>
    <w:p>
      <w:pPr>
        <w:spacing w:before="240" w:after="80"/>
      </w:pPr>
      <w:r>
        <w:rPr>
          <w:b/>
          <w:color w:val="1F4E79"/>
          <w:sz w:val="22"/>
        </w:rPr>
        <w:t>ESTRATEGIA DE EVALUACIÓN</w:t>
      </w:r>
    </w:p>
    <w:tbl>
      <w:tblPr>
        <w:tblStyle w:val="TableGrid"/>
        <w:tblW w:type="auto" w:w="0"/>
        <w:tblLook w:firstColumn="1" w:firstRow="1" w:lastColumn="0" w:lastRow="0" w:noHBand="0" w:noVBand="1" w:val="04A0"/>
      </w:tblPr>
      <w:tblGrid>
        <w:gridCol w:w="4561"/>
        <w:gridCol w:w="4561"/>
      </w:tblGrid>
      <w:tr>
        <w:tc>
          <w:tcPr>
            <w:tcW w:type="dxa" w:w="6803"/>
            <w:shd w:val="clear" w:color="auto" w:fill="1F4E79"/>
          </w:tcPr>
          <w:p>
            <w:pPr>
              <w:jc w:val="center"/>
            </w:pPr>
            <w:r>
              <w:rPr>
                <w:b/>
                <w:i w:val="0"/>
                <w:color w:val="FFFFFF"/>
                <w:sz w:val="20"/>
              </w:rPr>
              <w:t>Instrumento de Evaluación</w:t>
            </w:r>
          </w:p>
        </w:tc>
        <w:tc>
          <w:tcPr>
            <w:tcW w:type="dxa" w:w="1984"/>
            <w:shd w:val="clear" w:color="auto" w:fill="1F4E79"/>
          </w:tcPr>
          <w:p>
            <w:pPr>
              <w:jc w:val="center"/>
            </w:pPr>
            <w:r>
              <w:rPr>
                <w:b/>
                <w:i w:val="0"/>
                <w:color w:val="FFFFFF"/>
                <w:sz w:val="20"/>
              </w:rPr>
              <w:t>Ponderación</w:t>
            </w:r>
          </w:p>
        </w:tc>
      </w:tr>
      <w:tr>
        <w:tc>
          <w:tcPr>
            <w:tcW w:type="dxa" w:w="4561"/>
          </w:tcPr>
          <w:p>
            <w:pPr>
              <w:jc w:val="left"/>
            </w:pPr>
            <w:r>
              <w:rPr>
                <w:b w:val="0"/>
                <w:i w:val="0"/>
                <w:sz w:val="18"/>
              </w:rPr>
              <w:t>Evaluaciones formativas</w:t>
            </w:r>
          </w:p>
        </w:tc>
        <w:tc>
          <w:tcPr>
            <w:tcW w:type="dxa" w:w="4561"/>
          </w:tcPr>
          <w:p>
            <w:pPr>
              <w:jc w:val="center"/>
            </w:pPr>
            <w:r>
              <w:rPr>
                <w:b w:val="0"/>
                <w:i w:val="0"/>
                <w:sz w:val="18"/>
              </w:rPr>
              <w:t>0%</w:t>
            </w:r>
          </w:p>
        </w:tc>
      </w:tr>
      <w:tr>
        <w:tc>
          <w:tcPr>
            <w:tcW w:type="dxa" w:w="4561"/>
          </w:tcPr>
          <w:p>
            <w:pPr>
              <w:jc w:val="left"/>
            </w:pPr>
            <w:r>
              <w:rPr>
                <w:b w:val="0"/>
                <w:i w:val="0"/>
                <w:sz w:val="18"/>
              </w:rPr>
              <w:t>Evaluación escrita de Producto (Talleres, pruebas, tareas, guías, entrevistas, etc.)</w:t>
            </w:r>
          </w:p>
        </w:tc>
        <w:tc>
          <w:tcPr>
            <w:tcW w:type="dxa" w:w="4561"/>
          </w:tcPr>
          <w:p>
            <w:pPr>
              <w:jc w:val="center"/>
            </w:pPr>
            <w:r>
              <w:rPr>
                <w:b w:val="0"/>
                <w:i w:val="0"/>
                <w:sz w:val="18"/>
              </w:rPr>
              <w:t>15 %</w:t>
            </w:r>
          </w:p>
        </w:tc>
      </w:tr>
      <w:tr>
        <w:tc>
          <w:tcPr>
            <w:tcW w:type="dxa" w:w="4561"/>
          </w:tcPr>
          <w:p>
            <w:pPr>
              <w:jc w:val="left"/>
            </w:pPr>
            <w:r>
              <w:rPr>
                <w:b w:val="0"/>
                <w:i w:val="0"/>
                <w:sz w:val="18"/>
              </w:rPr>
              <w:t>Evaluación escrita de Proceso (Portafolios, bitácoras, reflexiones, etc.)</w:t>
            </w:r>
          </w:p>
        </w:tc>
        <w:tc>
          <w:tcPr>
            <w:tcW w:type="dxa" w:w="4561"/>
          </w:tcPr>
          <w:p>
            <w:pPr>
              <w:jc w:val="center"/>
            </w:pPr>
            <w:r>
              <w:rPr>
                <w:b w:val="0"/>
                <w:i w:val="0"/>
                <w:sz w:val="18"/>
              </w:rPr>
              <w:t>25 %</w:t>
            </w:r>
          </w:p>
        </w:tc>
      </w:tr>
      <w:tr>
        <w:tc>
          <w:tcPr>
            <w:tcW w:type="dxa" w:w="4561"/>
          </w:tcPr>
          <w:p>
            <w:pPr>
              <w:jc w:val="left"/>
            </w:pPr>
            <w:r>
              <w:rPr>
                <w:b w:val="0"/>
                <w:i w:val="0"/>
                <w:sz w:val="18"/>
              </w:rPr>
              <w:t>Evaluación de actividades de expresión oral grupal. (Presentaciones, exposiciones, foros, diálogos, etc.)</w:t>
            </w:r>
          </w:p>
        </w:tc>
        <w:tc>
          <w:tcPr>
            <w:tcW w:type="dxa" w:w="4561"/>
          </w:tcPr>
          <w:p>
            <w:pPr>
              <w:jc w:val="center"/>
            </w:pPr>
            <w:r>
              <w:rPr>
                <w:b w:val="0"/>
                <w:i w:val="0"/>
                <w:sz w:val="18"/>
              </w:rPr>
              <w:t>25%</w:t>
            </w:r>
          </w:p>
        </w:tc>
      </w:tr>
      <w:tr>
        <w:tc>
          <w:tcPr>
            <w:tcW w:type="dxa" w:w="4561"/>
          </w:tcPr>
          <w:p>
            <w:pPr>
              <w:jc w:val="left"/>
            </w:pPr>
            <w:r>
              <w:rPr>
                <w:b w:val="0"/>
                <w:i w:val="0"/>
                <w:sz w:val="18"/>
              </w:rPr>
              <w:t>Evaluación de actividades de expresión oral individual. (Presentaciones, exposiciones, foros, diálogos, etc.)</w:t>
            </w:r>
          </w:p>
        </w:tc>
        <w:tc>
          <w:tcPr>
            <w:tcW w:type="dxa" w:w="4561"/>
          </w:tcPr>
          <w:p>
            <w:pPr>
              <w:jc w:val="center"/>
            </w:pPr>
            <w:r>
              <w:rPr>
                <w:b w:val="0"/>
                <w:i w:val="0"/>
                <w:sz w:val="18"/>
              </w:rPr>
              <w:t>35%</w:t>
            </w:r>
          </w:p>
        </w:tc>
      </w:tr>
    </w:tbl>
    <w:p/>
    <w:p>
      <w:pPr>
        <w:jc w:val="right"/>
      </w:pPr>
      <w:r>
        <w:rPr>
          <w:i/>
          <w:color w:val="94A3B8"/>
          <w:sz w:val="16"/>
        </w:rPr>
        <w:t>Instituto de Matemática — Universidad de Valparaíso · Generado el 17/06/2026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