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2268"/>
            <w:shd w:val="clear" w:color="auto" w:fill="1F4E79"/>
          </w:tcPr>
          <w:p>
            <w:pPr>
              <w:jc w:val="center"/>
            </w:pPr>
            <w:r>
              <w:drawing>
                <wp:inline xmlns:a="http://schemas.openxmlformats.org/drawingml/2006/main" xmlns:pic="http://schemas.openxmlformats.org/drawingml/2006/picture">
                  <wp:extent cx="1080000" cy="601727"/>
                  <wp:docPr id="1" name="Picture 1"/>
                  <wp:cNvGraphicFramePr>
                    <a:graphicFrameLocks noChangeAspect="1"/>
                  </wp:cNvGraphicFramePr>
                  <a:graphic>
                    <a:graphicData uri="http://schemas.openxmlformats.org/drawingml/2006/picture">
                      <pic:pic>
                        <pic:nvPicPr>
                          <pic:cNvPr id="0" name="logo_uv.jpg"/>
                          <pic:cNvPicPr/>
                        </pic:nvPicPr>
                        <pic:blipFill>
                          <a:blip r:embed="rId9"/>
                          <a:stretch>
                            <a:fillRect/>
                          </a:stretch>
                        </pic:blipFill>
                        <pic:spPr>
                          <a:xfrm>
                            <a:off x="0" y="0"/>
                            <a:ext cx="1080000" cy="601727"/>
                          </a:xfrm>
                          <a:prstGeom prst="rect"/>
                        </pic:spPr>
                      </pic:pic>
                    </a:graphicData>
                  </a:graphic>
                </wp:inline>
              </w:drawing>
            </w:r>
          </w:p>
        </w:tc>
        <w:tc>
          <w:tcPr>
            <w:tcW w:type="dxa" w:w="4703"/>
            <w:shd w:val="clear" w:color="auto" w:fill="1F4E79"/>
          </w:tcPr>
          <w:p>
            <w:pPr>
              <w:jc w:val="center"/>
            </w:pPr>
            <w:r>
              <w:rPr>
                <w:rFonts w:ascii="Calibri" w:hAnsi="Calibri"/>
                <w:b/>
                <w:i w:val="0"/>
                <w:color w:val="FFFFFF"/>
                <w:sz w:val="28"/>
              </w:rPr>
              <w:t>PROGRAMA DE ASIGNATURA UV</w:t>
            </w:r>
          </w:p>
        </w:tc>
      </w:tr>
    </w:tbl>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rFonts w:ascii="Calibri" w:hAnsi="Calibri"/>
                <w:b/>
                <w:color w:val="FFFFFF"/>
                <w:sz w:val="24"/>
              </w:rPr>
              <w:t>DESCRIPCIÓN GENERAL DE LA ASIGNATURA</w:t>
            </w:r>
          </w:p>
        </w:tc>
      </w:tr>
    </w:tbl>
    <w:p/>
    <w:p>
      <w:r>
        <w:rPr>
          <w:rFonts w:ascii="Calibri" w:hAnsi="Calibri"/>
          <w:b/>
          <w:color w:val="1F4E79"/>
          <w:sz w:val="20"/>
        </w:rPr>
        <w:t>IDENTIFICACIÓN DE LA ASIGNATURA: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left"/>
            </w:pPr>
            <w:r>
              <w:rPr>
                <w:rFonts w:ascii="Calibri" w:hAnsi="Calibri"/>
                <w:b/>
                <w:i w:val="0"/>
                <w:sz w:val="18"/>
              </w:rPr>
              <w:t>Facultad:</w:t>
            </w:r>
          </w:p>
        </w:tc>
        <w:tc>
          <w:tcPr>
            <w:tcW w:type="dxa" w:w="3136"/>
            <w:gridSpan w:val="2"/>
          </w:tcPr>
          <w:p>
            <w:pPr>
              <w:jc w:val="left"/>
            </w:pPr>
            <w:r>
              <w:rPr>
                <w:rFonts w:ascii="Calibri" w:hAnsi="Calibri"/>
                <w:b w:val="0"/>
                <w:i w:val="0"/>
                <w:sz w:val="18"/>
              </w:rPr>
              <w:t>Ingeniería</w:t>
            </w:r>
          </w:p>
        </w:tc>
        <w:tc>
          <w:tcPr>
            <w:tcW w:type="dxa" w:w="1568"/>
          </w:tcPr>
          <w:p>
            <w:pPr>
              <w:jc w:val="left"/>
            </w:pPr>
            <w:r>
              <w:rPr>
                <w:rFonts w:ascii="Calibri" w:hAnsi="Calibri"/>
                <w:b/>
                <w:i w:val="0"/>
                <w:sz w:val="18"/>
              </w:rPr>
              <w:t>Carrera:</w:t>
            </w:r>
          </w:p>
        </w:tc>
        <w:tc>
          <w:tcPr>
            <w:tcW w:type="dxa" w:w="3136"/>
            <w:gridSpan w:val="2"/>
          </w:tcPr>
          <w:p>
            <w:pPr>
              <w:jc w:val="left"/>
            </w:pPr>
            <w:r>
              <w:rPr>
                <w:rFonts w:ascii="Calibri" w:hAnsi="Calibri"/>
                <w:b w:val="0"/>
                <w:i w:val="0"/>
                <w:sz w:val="18"/>
              </w:rPr>
              <w:t>Plan Común Ingeniería Civil</w:t>
              <w:br/>
              <w:t>Ingeniería Civil Ambiental Ingeniería Civil Biomédica Ingeniería Civil Industrial Ingeniería Civil Informática Ingeniería Civil Matemática Ingeniería Civil Oceánica</w:t>
            </w:r>
          </w:p>
        </w:tc>
      </w:tr>
      <w:tr>
        <w:tc>
          <w:tcPr>
            <w:tcW w:type="dxa" w:w="1568"/>
          </w:tcPr>
          <w:p>
            <w:pPr>
              <w:jc w:val="left"/>
            </w:pPr>
            <w:r>
              <w:rPr>
                <w:rFonts w:ascii="Calibri" w:hAnsi="Calibri"/>
                <w:b/>
                <w:i w:val="0"/>
                <w:sz w:val="18"/>
              </w:rPr>
              <w:t>Nombre:</w:t>
            </w:r>
          </w:p>
        </w:tc>
        <w:tc>
          <w:tcPr>
            <w:tcW w:type="dxa" w:w="3136"/>
            <w:gridSpan w:val="2"/>
          </w:tcPr>
          <w:p>
            <w:pPr>
              <w:jc w:val="left"/>
            </w:pPr>
            <w:r>
              <w:rPr>
                <w:rFonts w:ascii="Calibri" w:hAnsi="Calibri"/>
                <w:b w:val="0"/>
                <w:i w:val="0"/>
                <w:sz w:val="18"/>
              </w:rPr>
              <w:t>Desarrollo Personal</w:t>
            </w:r>
          </w:p>
        </w:tc>
        <w:tc>
          <w:tcPr>
            <w:tcW w:type="dxa" w:w="1568"/>
          </w:tcPr>
          <w:p>
            <w:pPr>
              <w:jc w:val="left"/>
            </w:pPr>
            <w:r>
              <w:rPr>
                <w:rFonts w:ascii="Calibri" w:hAnsi="Calibri"/>
                <w:b/>
                <w:i w:val="0"/>
                <w:sz w:val="18"/>
              </w:rPr>
              <w:t>Código:</w:t>
            </w:r>
          </w:p>
        </w:tc>
        <w:tc>
          <w:tcPr>
            <w:tcW w:type="dxa" w:w="3136"/>
            <w:gridSpan w:val="2"/>
          </w:tcPr>
          <w:p>
            <w:pPr>
              <w:jc w:val="left"/>
            </w:pPr>
            <w:r>
              <w:rPr>
                <w:rFonts w:ascii="Calibri" w:hAnsi="Calibri"/>
                <w:b w:val="0"/>
                <w:i w:val="0"/>
                <w:sz w:val="18"/>
              </w:rPr>
              <w:t>CFG 111</w:t>
            </w:r>
          </w:p>
        </w:tc>
      </w:tr>
      <w:tr>
        <w:tc>
          <w:tcPr>
            <w:tcW w:type="dxa" w:w="1568"/>
          </w:tcPr>
          <w:p>
            <w:pPr>
              <w:jc w:val="left"/>
            </w:pPr>
            <w:r>
              <w:rPr>
                <w:rFonts w:ascii="Calibri" w:hAnsi="Calibri"/>
                <w:b/>
                <w:i w:val="0"/>
                <w:sz w:val="18"/>
              </w:rPr>
              <w:t>Nivel:</w:t>
            </w:r>
          </w:p>
        </w:tc>
        <w:tc>
          <w:tcPr>
            <w:tcW w:type="dxa" w:w="3136"/>
            <w:gridSpan w:val="2"/>
          </w:tcPr>
          <w:p>
            <w:pPr>
              <w:jc w:val="left"/>
            </w:pPr>
            <w:r>
              <w:rPr>
                <w:rFonts w:ascii="Calibri" w:hAnsi="Calibri"/>
                <w:b w:val="0"/>
                <w:i w:val="0"/>
                <w:sz w:val="18"/>
              </w:rPr>
              <w:t>Primer Semestre del 1° Ciclo</w:t>
            </w:r>
          </w:p>
        </w:tc>
        <w:tc>
          <w:tcPr>
            <w:tcW w:type="dxa" w:w="1568"/>
          </w:tcPr>
          <w:p>
            <w:pPr>
              <w:jc w:val="left"/>
            </w:pPr>
            <w:r>
              <w:rPr>
                <w:rFonts w:ascii="Calibri" w:hAnsi="Calibri"/>
                <w:b/>
                <w:i w:val="0"/>
                <w:sz w:val="18"/>
              </w:rPr>
              <w:t>Duración:</w:t>
            </w:r>
          </w:p>
        </w:tc>
        <w:tc>
          <w:tcPr>
            <w:tcW w:type="dxa" w:w="3136"/>
            <w:gridSpan w:val="2"/>
          </w:tcPr>
          <w:p>
            <w:pPr>
              <w:jc w:val="left"/>
            </w:pPr>
            <w:r>
              <w:rPr>
                <w:rFonts w:ascii="Calibri" w:hAnsi="Calibri"/>
                <w:b w:val="0"/>
                <w:i w:val="0"/>
                <w:sz w:val="18"/>
              </w:rPr>
              <w:t>Semestral</w:t>
            </w:r>
          </w:p>
        </w:tc>
      </w:tr>
      <w:tr>
        <w:tc>
          <w:tcPr>
            <w:tcW w:type="dxa" w:w="1568"/>
          </w:tcPr>
          <w:p>
            <w:pPr>
              <w:jc w:val="left"/>
            </w:pPr>
            <w:r>
              <w:rPr>
                <w:rFonts w:ascii="Calibri" w:hAnsi="Calibri"/>
                <w:b/>
                <w:i w:val="0"/>
                <w:sz w:val="18"/>
              </w:rPr>
              <w:t>Requisito(s):</w:t>
            </w:r>
          </w:p>
        </w:tc>
        <w:tc>
          <w:tcPr>
            <w:tcW w:type="dxa" w:w="7840"/>
            <w:gridSpan w:val="5"/>
          </w:tcPr>
          <w:p>
            <w:pPr>
              <w:jc w:val="left"/>
            </w:pPr>
            <w:r>
              <w:rPr>
                <w:rFonts w:ascii="Calibri" w:hAnsi="Calibri"/>
                <w:b w:val="0"/>
                <w:i w:val="0"/>
                <w:sz w:val="18"/>
              </w:rPr>
              <w:t>Sin requisitos</w:t>
            </w:r>
          </w:p>
        </w:tc>
      </w:tr>
      <w:tr>
        <w:tc>
          <w:tcPr>
            <w:tcW w:type="dxa" w:w="4704"/>
            <w:gridSpan w:val="3"/>
          </w:tcPr>
          <w:p>
            <w:pPr>
              <w:jc w:val="center"/>
            </w:pPr>
            <w:r>
              <w:rPr>
                <w:rFonts w:ascii="Calibri" w:hAnsi="Calibri"/>
                <w:b/>
                <w:i w:val="0"/>
                <w:sz w:val="16"/>
              </w:rPr>
              <w:t>Horas cronológicas semanales</w:t>
            </w:r>
          </w:p>
          <w:p>
            <w:pPr>
              <w:jc w:val="center"/>
            </w:pPr>
            <w:r>
              <w:rPr>
                <w:rFonts w:ascii="Calibri" w:hAnsi="Calibri"/>
                <w:b/>
                <w:i w:val="0"/>
                <w:sz w:val="16"/>
              </w:rPr>
            </w:r>
          </w:p>
          <w:p>
            <w:pPr>
              <w:jc w:val="center"/>
            </w:pPr>
            <w:r>
              <w:rPr>
                <w:rFonts w:ascii="Calibri" w:hAnsi="Calibri"/>
                <w:b/>
                <w:i w:val="0"/>
                <w:sz w:val="16"/>
              </w:rPr>
            </w:r>
          </w:p>
        </w:tc>
        <w:tc>
          <w:tcPr>
            <w:tcW w:type="dxa" w:w="1568"/>
          </w:tcPr>
          <w:p>
            <w:pPr>
              <w:jc w:val="center"/>
            </w:pPr>
            <w:r>
              <w:rPr>
                <w:rFonts w:ascii="Calibri" w:hAnsi="Calibri"/>
                <w:b/>
                <w:i w:val="0"/>
                <w:sz w:val="16"/>
              </w:rPr>
              <w:t>N° de semanas</w:t>
            </w:r>
          </w:p>
        </w:tc>
        <w:tc>
          <w:tcPr>
            <w:tcW w:type="dxa" w:w="1568"/>
          </w:tcPr>
          <w:p>
            <w:pPr>
              <w:jc w:val="center"/>
            </w:pPr>
            <w:r>
              <w:rPr>
                <w:rFonts w:ascii="Calibri" w:hAnsi="Calibri"/>
                <w:b/>
                <w:i w:val="0"/>
                <w:sz w:val="16"/>
              </w:rPr>
              <w:t>Total horas semestrales</w:t>
            </w:r>
          </w:p>
        </w:tc>
        <w:tc>
          <w:tcPr>
            <w:tcW w:type="dxa" w:w="1568"/>
          </w:tcPr>
          <w:p>
            <w:pPr>
              <w:jc w:val="center"/>
            </w:pPr>
            <w:r>
              <w:rPr>
                <w:rFonts w:ascii="Calibri" w:hAnsi="Calibri"/>
                <w:b/>
                <w:i w:val="0"/>
                <w:sz w:val="16"/>
              </w:rPr>
              <w:t>N° de créditos</w:t>
            </w:r>
          </w:p>
        </w:tc>
      </w:tr>
      <w:tr>
        <w:tc>
          <w:tcPr>
            <w:tcW w:type="dxa" w:w="1568"/>
          </w:tcPr>
          <w:p>
            <w:pPr>
              <w:jc w:val="center"/>
            </w:pPr>
            <w:r>
              <w:rPr>
                <w:rFonts w:ascii="Calibri" w:hAnsi="Calibri"/>
                <w:b/>
                <w:i w:val="0"/>
                <w:sz w:val="16"/>
              </w:rPr>
              <w:t>Docencia Directa</w:t>
              <w:br/>
              <w:t>(A)</w:t>
            </w:r>
          </w:p>
        </w:tc>
        <w:tc>
          <w:tcPr>
            <w:tcW w:type="dxa" w:w="1568"/>
          </w:tcPr>
          <w:p>
            <w:pPr>
              <w:jc w:val="center"/>
            </w:pPr>
            <w:r>
              <w:rPr>
                <w:rFonts w:ascii="Calibri" w:hAnsi="Calibri"/>
                <w:b/>
                <w:i w:val="0"/>
                <w:sz w:val="16"/>
              </w:rPr>
              <w:t>Trabajo Autónomo</w:t>
              <w:br/>
              <w:t>(B)</w:t>
            </w:r>
          </w:p>
        </w:tc>
        <w:tc>
          <w:tcPr>
            <w:tcW w:type="dxa" w:w="1568"/>
          </w:tcPr>
          <w:p>
            <w:pPr>
              <w:jc w:val="center"/>
            </w:pPr>
            <w:r>
              <w:rPr>
                <w:rFonts w:ascii="Calibri" w:hAnsi="Calibri"/>
                <w:b/>
                <w:i w:val="0"/>
                <w:sz w:val="16"/>
              </w:rPr>
              <w:t>Total</w:t>
              <w:br/>
              <w:t>(C=A+B)</w:t>
            </w:r>
          </w:p>
        </w:tc>
        <w:tc>
          <w:tcPr>
            <w:tcW w:type="dxa" w:w="1568"/>
          </w:tcPr>
          <w:p>
            <w:pPr>
              <w:jc w:val="center"/>
            </w:pPr>
            <w:r>
              <w:rPr>
                <w:rFonts w:ascii="Calibri" w:hAnsi="Calibri"/>
                <w:b/>
                <w:i w:val="0"/>
                <w:sz w:val="16"/>
              </w:rPr>
              <w:t>N° de semanas</w:t>
              <w:br/>
              <w:t>(D)</w:t>
            </w:r>
          </w:p>
        </w:tc>
        <w:tc>
          <w:tcPr>
            <w:tcW w:type="dxa" w:w="1568"/>
          </w:tcPr>
          <w:p>
            <w:pPr>
              <w:jc w:val="center"/>
            </w:pPr>
            <w:r>
              <w:rPr>
                <w:rFonts w:ascii="Calibri" w:hAnsi="Calibri"/>
                <w:b/>
                <w:i w:val="0"/>
                <w:sz w:val="16"/>
              </w:rPr>
              <w:t>Total horas</w:t>
              <w:br/>
              <w:t>(E=C*D)</w:t>
            </w:r>
          </w:p>
        </w:tc>
        <w:tc>
          <w:tcPr>
            <w:tcW w:type="dxa" w:w="1568"/>
          </w:tcPr>
          <w:p>
            <w:pPr>
              <w:jc w:val="center"/>
            </w:pPr>
            <w:r>
              <w:rPr>
                <w:rFonts w:ascii="Calibri" w:hAnsi="Calibri"/>
                <w:b/>
                <w:i w:val="0"/>
                <w:sz w:val="16"/>
              </w:rPr>
              <w:t>N° créditos</w:t>
              <w:br/>
              <w:t>(F=E/27)</w:t>
            </w:r>
          </w:p>
        </w:tc>
      </w:tr>
      <w:tr>
        <w:tc>
          <w:tcPr>
            <w:tcW w:type="dxa" w:w="1568"/>
          </w:tcPr>
          <w:p>
            <w:pPr>
              <w:jc w:val="center"/>
            </w:pPr>
            <w:r>
              <w:rPr>
                <w:rFonts w:ascii="Calibri" w:hAnsi="Calibri"/>
                <w:b w:val="0"/>
                <w:i w:val="0"/>
                <w:sz w:val="18"/>
              </w:rPr>
              <w:t>3,0</w:t>
            </w:r>
          </w:p>
        </w:tc>
        <w:tc>
          <w:tcPr>
            <w:tcW w:type="dxa" w:w="1568"/>
          </w:tcPr>
          <w:p>
            <w:pPr>
              <w:jc w:val="center"/>
            </w:pPr>
            <w:r>
              <w:rPr>
                <w:rFonts w:ascii="Calibri" w:hAnsi="Calibri"/>
                <w:b w:val="0"/>
                <w:i w:val="0"/>
                <w:sz w:val="18"/>
              </w:rPr>
              <w:t>4,5</w:t>
            </w:r>
          </w:p>
        </w:tc>
        <w:tc>
          <w:tcPr>
            <w:tcW w:type="dxa" w:w="1568"/>
          </w:tcPr>
          <w:p>
            <w:pPr>
              <w:jc w:val="center"/>
            </w:pPr>
            <w:r>
              <w:rPr>
                <w:rFonts w:ascii="Calibri" w:hAnsi="Calibri"/>
                <w:b w:val="0"/>
                <w:i w:val="0"/>
                <w:sz w:val="18"/>
              </w:rPr>
              <w:t>7,5</w:t>
            </w:r>
          </w:p>
        </w:tc>
        <w:tc>
          <w:tcPr>
            <w:tcW w:type="dxa" w:w="1568"/>
          </w:tcPr>
          <w:p>
            <w:pPr>
              <w:jc w:val="center"/>
            </w:pPr>
            <w:r>
              <w:rPr>
                <w:rFonts w:ascii="Calibri" w:hAnsi="Calibri"/>
                <w:b w:val="0"/>
                <w:i w:val="0"/>
                <w:sz w:val="18"/>
              </w:rPr>
              <w:t>18</w:t>
            </w:r>
          </w:p>
        </w:tc>
        <w:tc>
          <w:tcPr>
            <w:tcW w:type="dxa" w:w="1568"/>
          </w:tcPr>
          <w:p>
            <w:pPr>
              <w:jc w:val="center"/>
            </w:pPr>
            <w:r>
              <w:rPr>
                <w:rFonts w:ascii="Calibri" w:hAnsi="Calibri"/>
                <w:b w:val="0"/>
                <w:i w:val="0"/>
                <w:sz w:val="18"/>
              </w:rPr>
              <w:t>135</w:t>
            </w:r>
          </w:p>
        </w:tc>
        <w:tc>
          <w:tcPr>
            <w:tcW w:type="dxa" w:w="1568"/>
          </w:tcPr>
          <w:p>
            <w:pPr>
              <w:jc w:val="center"/>
            </w:pPr>
            <w:r>
              <w:rPr>
                <w:rFonts w:ascii="Calibri" w:hAnsi="Calibri"/>
                <w:b w:val="0"/>
                <w:i w:val="0"/>
                <w:sz w:val="18"/>
              </w:rPr>
              <w:t>5</w:t>
            </w:r>
          </w:p>
        </w:tc>
      </w:tr>
    </w:tbl>
    <w:p/>
    <w:p>
      <w:r>
        <w:rPr>
          <w:rFonts w:ascii="Calibri" w:hAnsi="Calibri"/>
          <w:b/>
          <w:color w:val="1F4E79"/>
          <w:sz w:val="20"/>
        </w:rPr>
        <w:t>DESCRIPCIÓN DE LA ASIGNATURA:</w:t>
      </w:r>
    </w:p>
    <w:p>
      <w:r>
        <w:rPr>
          <w:rFonts w:ascii="Calibri" w:hAnsi="Calibri"/>
          <w:sz w:val="20"/>
        </w:rPr>
        <w:t>La asignatura Desarrollo Personal, se encuentra adscrita al primer nivel de dominio del plan curricular, correspondiente al área de Ciencias Sociales y Humanidades, y se imparte en el primer semestre del plan de estudios de las carreras de adscritas al Plan Común de la Facultad de Ingeniería.Esta asignatura tiene como propósito principal fortalecer las competencias genéricas esenciales para el éxito académico y profesional en el ámbito de la ingeniería. A través de un enfoque práctico y reflexivo, se promueve el desarrollo de habilidades de gestión personal, estrategias efectivas de aprendizaje, autoconocimiento y comunicación. Asimismo, se fomenta la exploración de recursos cognitivos y afectivos, así como el conocimiento y uso de herramientas tecnológicas que optimicen el aprendizaje, permitiendo a los y las estudiantes abordar los desafíos académicos y profesionales con autonomía, eficiencia y confianza.La asignatura Desarrollo Personal, se encuentra adscrita al primer nivel de dominio del plan curricular, correspondiente al área de Ciencias Sociales y Humanidades, y se imparte en el primer semestre del plan de estudios de las carreras de adscritas al Plan Común de la Facultad de Ingeniería.Esta asignatura tiene como propósito principal fortalecer las competencias genéricas esenciales para el éxito académico y profesional en el ámbito de la ingeniería. A través de un enfoque práctico y reflexivo, se promueve el desarrollo de habilidades de gestión personal, estrategias efectivas de aprendizaje, autoconocimiento y comunicación. Asimismo, se fomenta la exploración de recursos cognitivos y afectivos, así como el conocimiento y uso de herramientas tecnológicas que optimicen el aprendizaje, permitiendo a los y las estudiantes abordar los desafíos académicos y profesionales con autonomía, eficiencia y confianza.</w:t>
      </w:r>
    </w:p>
    <w:p/>
    <w:p>
      <w:r>
        <w:rPr>
          <w:rFonts w:ascii="Calibri" w:hAnsi="Calibri"/>
          <w:b/>
          <w:color w:val="1F4E79"/>
          <w:sz w:val="20"/>
        </w:rPr>
        <w:t>APORTE AL PERFIL DE EGRESO:</w:t>
      </w:r>
    </w:p>
    <w:p>
      <w:r>
        <w:rPr>
          <w:rFonts w:ascii="Calibri" w:hAnsi="Calibri"/>
          <w:sz w:val="20"/>
        </w:rPr>
        <w:t>Esta asignatura aporta al perfil de egreso a través de los siguientes resultados de aprendizaje:</w:t>
      </w:r>
    </w:p>
    <w:p>
      <w:pPr>
        <w:pStyle w:val="ListBullet"/>
      </w:pPr>
      <w:r>
        <w:rPr>
          <w:rFonts w:ascii="Calibri" w:hAnsi="Calibri"/>
          <w:b/>
          <w:color w:val="843C0C"/>
          <w:sz w:val="20"/>
        </w:rPr>
        <w:t>CG1, ND3, D2</w:t>
      </w:r>
      <w:r>
        <w:rPr>
          <w:rFonts w:ascii="Calibri" w:hAnsi="Calibri"/>
          <w:sz w:val="20"/>
        </w:rPr>
        <w:t>: Genera nuevas ideas para la producción de soluciones prácticas y transformadoras en su área disciplinar.</w:t>
      </w:r>
    </w:p>
    <w:p>
      <w:pPr>
        <w:pStyle w:val="ListBullet"/>
      </w:pPr>
      <w:r>
        <w:rPr>
          <w:rFonts w:ascii="Calibri" w:hAnsi="Calibri"/>
          <w:b/>
          <w:color w:val="843C0C"/>
          <w:sz w:val="20"/>
        </w:rPr>
        <w:t>CG2, ND3, D1</w:t>
      </w:r>
      <w:r>
        <w:rPr>
          <w:rFonts w:ascii="Calibri" w:hAnsi="Calibri"/>
          <w:sz w:val="20"/>
        </w:rPr>
        <w:t>: Desarrolla tareas y soluciones en equipos inter y multidisciplinarios, en forma planificada, para favorecer el cumplimiento de objetivos en entornos complejos.</w:t>
      </w:r>
    </w:p>
    <w:p>
      <w:pPr>
        <w:pStyle w:val="ListBullet"/>
      </w:pPr>
      <w:r>
        <w:rPr>
          <w:rFonts w:ascii="Calibri" w:hAnsi="Calibri"/>
          <w:b/>
          <w:color w:val="843C0C"/>
          <w:sz w:val="20"/>
        </w:rPr>
        <w:t>CG2, ND3, D2</w:t>
      </w:r>
      <w:r>
        <w:rPr>
          <w:rFonts w:ascii="Calibri" w:hAnsi="Calibri"/>
          <w:sz w:val="20"/>
        </w:rPr>
        <w:t>: Favorece la comunicación efectiva, el reparto equilibrado de tareas y la cohesión del equipo, para contribuir a la consolidación y desarrollo del grupo.</w:t>
      </w:r>
    </w:p>
    <w:p>
      <w:pPr>
        <w:pStyle w:val="ListBullet"/>
      </w:pPr>
      <w:r>
        <w:rPr>
          <w:rFonts w:ascii="Calibri" w:hAnsi="Calibri"/>
          <w:b/>
          <w:color w:val="843C0C"/>
          <w:sz w:val="20"/>
        </w:rPr>
        <w:t>CG3, ND3, D1</w:t>
      </w:r>
      <w:r>
        <w:rPr>
          <w:rFonts w:ascii="Calibri" w:hAnsi="Calibri"/>
          <w:sz w:val="20"/>
        </w:rPr>
        <w:t>: Ejecuta propuestas de intervención de manera colaborativa con su equipo de trabajo para solucionar problemáticas sociales, económicas y/o medioambientales, respondiendo a intereses de la comunidad local y/o regional.</w:t>
      </w:r>
    </w:p>
    <w:p>
      <w:pPr>
        <w:pStyle w:val="ListBullet"/>
      </w:pPr>
      <w:r>
        <w:rPr>
          <w:rFonts w:ascii="Calibri" w:hAnsi="Calibri"/>
          <w:b/>
          <w:color w:val="843C0C"/>
          <w:sz w:val="20"/>
        </w:rPr>
        <w:t>CG4, ND3, D1</w:t>
      </w:r>
      <w:r>
        <w:rPr>
          <w:rFonts w:ascii="Calibri" w:hAnsi="Calibri"/>
          <w:sz w:val="20"/>
        </w:rPr>
        <w:t>: Escucha atentamente a los distintos actores involucrados en el trabajo profesional en contextos nacionales e internacionales</w:t>
      </w:r>
    </w:p>
    <w:p>
      <w:pPr>
        <w:pStyle w:val="ListBullet"/>
      </w:pPr>
      <w:r>
        <w:rPr>
          <w:rFonts w:ascii="Calibri" w:hAnsi="Calibri"/>
          <w:b/>
          <w:color w:val="843C0C"/>
          <w:sz w:val="20"/>
        </w:rPr>
        <w:t>CG4, ND3, D2</w:t>
      </w:r>
      <w:r>
        <w:rPr>
          <w:rFonts w:ascii="Calibri" w:hAnsi="Calibri"/>
          <w:sz w:val="20"/>
        </w:rPr>
        <w:t>: Empatiza ante las necesidades y requerimientos que se expresan en el trabajo profesional en contextos nacionales e internacionales</w:t>
      </w:r>
    </w:p>
    <w:p>
      <w:pPr>
        <w:pStyle w:val="ListBullet"/>
      </w:pPr>
      <w:r>
        <w:rPr>
          <w:rFonts w:ascii="Calibri" w:hAnsi="Calibri"/>
          <w:b/>
          <w:color w:val="843C0C"/>
          <w:sz w:val="20"/>
        </w:rPr>
        <w:t>CG4, ND3, D3</w:t>
      </w:r>
      <w:r>
        <w:rPr>
          <w:rFonts w:ascii="Calibri" w:hAnsi="Calibri"/>
          <w:sz w:val="20"/>
        </w:rPr>
        <w:t>: Expresa con claridad y respeto las propias necesidades y requerimientos en el trabajo profesional en contextos nacionales e internacionales</w:t>
      </w:r>
    </w:p>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rFonts w:ascii="Calibri" w:hAnsi="Calibri"/>
                <w:b/>
                <w:color w:val="FFFFFF"/>
                <w:sz w:val="24"/>
              </w:rPr>
              <w:t>PROGRAMA DE LA ASIGNATURA</w:t>
            </w:r>
          </w:p>
        </w:tc>
      </w:tr>
    </w:tbl>
    <w:p/>
    <w:p>
      <w:r>
        <w:rPr>
          <w:rFonts w:ascii="Calibri" w:hAnsi="Calibri"/>
          <w:b/>
          <w:color w:val="1F4E79"/>
          <w:sz w:val="20"/>
        </w:rPr>
        <w:t>IDENTIFICACIÓN DE LA ASIGNATURA:</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Pr>
                <w:rFonts w:ascii="Calibri" w:hAnsi="Calibri"/>
                <w:b/>
                <w:i w:val="0"/>
                <w:sz w:val="18"/>
              </w:rPr>
              <w:t>Nombre</w:t>
            </w:r>
          </w:p>
        </w:tc>
        <w:tc>
          <w:tcPr>
            <w:tcW w:type="dxa" w:w="4703"/>
          </w:tcPr>
          <w:p>
            <w:pPr>
              <w:jc w:val="left"/>
            </w:pPr>
            <w:r>
              <w:rPr>
                <w:rFonts w:ascii="Calibri" w:hAnsi="Calibri"/>
                <w:b w:val="0"/>
                <w:i w:val="0"/>
                <w:sz w:val="18"/>
              </w:rPr>
              <w:t>Desarrollo Personal</w:t>
            </w:r>
          </w:p>
        </w:tc>
      </w:tr>
      <w:tr>
        <w:tc>
          <w:tcPr>
            <w:tcW w:type="dxa" w:w="4703"/>
          </w:tcPr>
          <w:p>
            <w:pPr>
              <w:jc w:val="left"/>
            </w:pPr>
            <w:r>
              <w:rPr>
                <w:rFonts w:ascii="Calibri" w:hAnsi="Calibri"/>
                <w:b/>
                <w:i w:val="0"/>
                <w:sz w:val="18"/>
              </w:rPr>
              <w:t>Código</w:t>
            </w:r>
          </w:p>
        </w:tc>
        <w:tc>
          <w:tcPr>
            <w:tcW w:type="dxa" w:w="4703"/>
          </w:tcPr>
          <w:p>
            <w:pPr>
              <w:jc w:val="left"/>
            </w:pPr>
            <w:r>
              <w:rPr>
                <w:rFonts w:ascii="Calibri" w:hAnsi="Calibri"/>
                <w:b w:val="0"/>
                <w:i w:val="0"/>
                <w:sz w:val="18"/>
              </w:rPr>
              <w:t>CFG 111</w:t>
            </w:r>
          </w:p>
        </w:tc>
      </w:tr>
      <w:tr>
        <w:tc>
          <w:tcPr>
            <w:tcW w:type="dxa" w:w="4703"/>
          </w:tcPr>
          <w:p>
            <w:pPr>
              <w:jc w:val="left"/>
            </w:pPr>
            <w:r>
              <w:rPr>
                <w:rFonts w:ascii="Calibri" w:hAnsi="Calibri"/>
                <w:b/>
                <w:i w:val="0"/>
                <w:sz w:val="18"/>
              </w:rPr>
              <w:t>Requisito(s)</w:t>
            </w:r>
          </w:p>
        </w:tc>
        <w:tc>
          <w:tcPr>
            <w:tcW w:type="dxa" w:w="4703"/>
          </w:tcPr>
          <w:p>
            <w:pPr>
              <w:jc w:val="left"/>
            </w:pPr>
            <w:r>
              <w:rPr>
                <w:rFonts w:ascii="Calibri" w:hAnsi="Calibri"/>
                <w:b w:val="0"/>
                <w:i w:val="0"/>
                <w:sz w:val="18"/>
              </w:rPr>
              <w:t>Sin requisitos</w:t>
            </w:r>
          </w:p>
        </w:tc>
      </w:tr>
    </w:tbl>
    <w:p/>
    <w:p>
      <w:r>
        <w:rPr>
          <w:rFonts w:ascii="Calibri" w:hAnsi="Calibri"/>
          <w:b/>
          <w:color w:val="1F4E79"/>
          <w:sz w:val="20"/>
        </w:rPr>
        <w:t>RESULTADOS DE APRENDIZAJE Y DESEMPEÑOS:</w:t>
      </w:r>
    </w:p>
    <w:p>
      <w:r>
        <w:rPr>
          <w:rFonts w:ascii="Calibri" w:hAnsi="Calibri"/>
          <w:sz w:val="20"/>
        </w:rPr>
        <w:t>Al final de la asignatura los estudiantes serán capaces de demostrar los siguientes resultados:</w:t>
      </w:r>
    </w:p>
    <w:p>
      <w:pPr>
        <w:pStyle w:val="ListBullet"/>
      </w:pPr>
      <w:r>
        <w:rPr>
          <w:rFonts w:ascii="Calibri" w:hAnsi="Calibri"/>
          <w:b/>
          <w:color w:val="843C0C"/>
          <w:sz w:val="20"/>
        </w:rPr>
        <w:t>CG1, ND3, D2</w:t>
      </w:r>
      <w:r>
        <w:rPr>
          <w:rFonts w:ascii="Calibri" w:hAnsi="Calibri"/>
          <w:sz w:val="20"/>
        </w:rPr>
        <w:t>: Genera nuevas ideas para la producción de soluciones prácticas y transformadoras en su área disciplinar.</w:t>
      </w:r>
    </w:p>
    <w:p>
      <w:pPr>
        <w:pStyle w:val="ListBullet"/>
      </w:pPr>
      <w:r>
        <w:rPr>
          <w:rFonts w:ascii="Calibri" w:hAnsi="Calibri"/>
          <w:b/>
          <w:color w:val="843C0C"/>
          <w:sz w:val="20"/>
        </w:rPr>
        <w:t>CG2, ND3, D1</w:t>
      </w:r>
      <w:r>
        <w:rPr>
          <w:rFonts w:ascii="Calibri" w:hAnsi="Calibri"/>
          <w:sz w:val="20"/>
        </w:rPr>
        <w:t>: Desarrolla tareas y soluciones en equipos inter y multidisciplinarios, en forma planificada, para favorecer el cumplimiento de objetivos en entornos complejos.</w:t>
      </w:r>
    </w:p>
    <w:p>
      <w:pPr>
        <w:pStyle w:val="ListBullet"/>
      </w:pPr>
      <w:r>
        <w:rPr>
          <w:rFonts w:ascii="Calibri" w:hAnsi="Calibri"/>
          <w:b/>
          <w:color w:val="843C0C"/>
          <w:sz w:val="20"/>
        </w:rPr>
        <w:t>CG2, ND3, D2</w:t>
      </w:r>
      <w:r>
        <w:rPr>
          <w:rFonts w:ascii="Calibri" w:hAnsi="Calibri"/>
          <w:sz w:val="20"/>
        </w:rPr>
        <w:t>: Favorece la comunicación efectiva, el reparto equilibrado de tareas y la cohesión del equipo, para contribuir a la consolidación y desarrollo del grupo.</w:t>
      </w:r>
    </w:p>
    <w:p>
      <w:pPr>
        <w:pStyle w:val="ListBullet"/>
      </w:pPr>
      <w:r>
        <w:rPr>
          <w:rFonts w:ascii="Calibri" w:hAnsi="Calibri"/>
          <w:b/>
          <w:color w:val="843C0C"/>
          <w:sz w:val="20"/>
        </w:rPr>
        <w:t>CG3, ND3, D1</w:t>
      </w:r>
      <w:r>
        <w:rPr>
          <w:rFonts w:ascii="Calibri" w:hAnsi="Calibri"/>
          <w:sz w:val="20"/>
        </w:rPr>
        <w:t>: Ejecuta propuestas de intervención de manera colaborativa con su equipo de trabajo para solucionar problemáticas sociales, económicas y/o medioambientales, respondiendo a intereses de la comunidad local y/o regional.</w:t>
      </w:r>
    </w:p>
    <w:p>
      <w:pPr>
        <w:pStyle w:val="ListBullet"/>
      </w:pPr>
      <w:r>
        <w:rPr>
          <w:rFonts w:ascii="Calibri" w:hAnsi="Calibri"/>
          <w:b/>
          <w:color w:val="843C0C"/>
          <w:sz w:val="20"/>
        </w:rPr>
        <w:t>CG4, ND3, D1</w:t>
      </w:r>
      <w:r>
        <w:rPr>
          <w:rFonts w:ascii="Calibri" w:hAnsi="Calibri"/>
          <w:sz w:val="20"/>
        </w:rPr>
        <w:t>: Escucha atentamente a los distintos actores involucrados en el trabajo profesional en contextos nacionales e internacionales</w:t>
      </w:r>
    </w:p>
    <w:p>
      <w:pPr>
        <w:pStyle w:val="ListBullet"/>
      </w:pPr>
      <w:r>
        <w:rPr>
          <w:rFonts w:ascii="Calibri" w:hAnsi="Calibri"/>
          <w:b/>
          <w:color w:val="843C0C"/>
          <w:sz w:val="20"/>
        </w:rPr>
        <w:t>CG4, ND3, D2</w:t>
      </w:r>
      <w:r>
        <w:rPr>
          <w:rFonts w:ascii="Calibri" w:hAnsi="Calibri"/>
          <w:sz w:val="20"/>
        </w:rPr>
        <w:t>: Empatiza ante las necesidades y requerimientos que se expresan en el trabajo profesional en contextos nacionales e internacionales</w:t>
      </w:r>
    </w:p>
    <w:p>
      <w:pPr>
        <w:pStyle w:val="ListBullet"/>
      </w:pPr>
      <w:r>
        <w:rPr>
          <w:rFonts w:ascii="Calibri" w:hAnsi="Calibri"/>
          <w:b/>
          <w:color w:val="843C0C"/>
          <w:sz w:val="20"/>
        </w:rPr>
        <w:t>CG4, ND3, D3</w:t>
      </w:r>
      <w:r>
        <w:rPr>
          <w:rFonts w:ascii="Calibri" w:hAnsi="Calibri"/>
          <w:sz w:val="20"/>
        </w:rPr>
        <w:t>: Expresa con claridad y respeto las propias necesidades y requerimientos en el trabajo profesional en contextos nacionales e internacionales</w:t>
      </w:r>
    </w:p>
    <w:p/>
    <w:p>
      <w:r>
        <w:rPr>
          <w:rFonts w:ascii="Calibri" w:hAnsi="Calibri"/>
          <w:b/>
          <w:color w:val="1F4E79"/>
          <w:sz w:val="20"/>
        </w:rPr>
        <w:t>UNIDADES DE APRENDIZAJE Y CONTENIDOS: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jc w:val="center"/>
            </w:pPr>
            <w:r>
              <w:rPr>
                <w:rFonts w:ascii="Calibri" w:hAnsi="Calibri"/>
                <w:b/>
                <w:i w:val="0"/>
                <w:color w:val="FFFFFF"/>
                <w:sz w:val="18"/>
              </w:rPr>
              <w:t>Resultado de aprendizaje y/o Desempeños</w:t>
            </w:r>
          </w:p>
        </w:tc>
        <w:tc>
          <w:tcPr>
            <w:tcW w:type="dxa" w:w="4703"/>
            <w:shd w:val="clear" w:color="auto" w:fill="1F4E79"/>
          </w:tcPr>
          <w:p>
            <w:pPr>
              <w:jc w:val="center"/>
            </w:pPr>
            <w:r>
              <w:rPr>
                <w:rFonts w:ascii="Calibri" w:hAnsi="Calibri"/>
                <w:b/>
                <w:i w:val="0"/>
                <w:color w:val="FFFFFF"/>
                <w:sz w:val="18"/>
              </w:rPr>
              <w:t>Unidades de Aprendizaje y contenidos</w:t>
            </w:r>
          </w:p>
        </w:tc>
      </w:tr>
      <w:tr>
        <w:tc>
          <w:tcPr>
            <w:tcW w:type="dxa" w:w="4703"/>
          </w:tcPr>
          <w:p>
            <w:pPr>
              <w:jc w:val="left"/>
            </w:pPr>
            <w:r>
              <w:rPr>
                <w:rFonts w:ascii="Calibri" w:hAnsi="Calibri"/>
                <w:b w:val="0"/>
                <w:i w:val="0"/>
                <w:sz w:val="18"/>
              </w:rPr>
              <w:t>CG1, D2: Explora y usa estrategias de aprendizaje y métodos de estudio pertinentes y eficientes para enfrentar los retos académicos de la vida universitaria.</w:t>
              <w:br/>
              <w:t>CG3, D1: Reconoce los principios y/o valores que están a la base de comportamientos ético- sociales y propios de su disciplina, desde un enfoque de género, derechos humanos, diversidad e inclusión.</w:t>
              <w:br/>
              <w:t>CG4, D1: Emplea correctamente el lenguaje escrito para la construcción de documentos académicos, en distintos contextos académicos.</w:t>
            </w:r>
          </w:p>
        </w:tc>
        <w:tc>
          <w:tcPr>
            <w:tcW w:type="dxa" w:w="4703"/>
          </w:tcPr>
          <w:p>
            <w:pPr>
              <w:jc w:val="left"/>
            </w:pPr>
            <w:r>
              <w:rPr>
                <w:rFonts w:ascii="Calibri" w:hAnsi="Calibri"/>
                <w:b w:val="0"/>
                <w:i w:val="0"/>
                <w:sz w:val="18"/>
              </w:rPr>
              <w:t>Unidad 1: Autorregulación y Gestión Personal en la Vida Universitaria</w:t>
              <w:br/>
              <w:br/>
              <w:t>Gestión personal en el ámbito académico y profesional.</w:t>
              <w:br/>
              <w:t>Estrategias de autorregulación y autonomía en el aprendizaje.</w:t>
              <w:br/>
              <w:t>Entorno universitario y recursos disponibles.</w:t>
              <w:br/>
              <w:t>Principios éticos, diversidad e inclusión en la vida universitaria.</w:t>
              <w:br/>
              <w:t>Herramientas para la gestión del tiempo y planificación estratégica.</w:t>
            </w:r>
          </w:p>
        </w:tc>
      </w:tr>
      <w:tr>
        <w:tc>
          <w:tcPr>
            <w:tcW w:type="dxa" w:w="4703"/>
          </w:tcPr>
          <w:p>
            <w:pPr>
              <w:jc w:val="left"/>
            </w:pPr>
            <w:r>
              <w:rPr>
                <w:rFonts w:ascii="Calibri" w:hAnsi="Calibri"/>
                <w:b w:val="0"/>
                <w:i w:val="0"/>
                <w:sz w:val="18"/>
              </w:rPr>
              <w:t>CG1, D2: Explora y usa estrategias de aprendizaje y métodos de estudio pertinentes y eficientes para enfrentar los retos académicos de la vida universitaria.</w:t>
              <w:br/>
              <w:t>CG2, D1: Participa en los espacios de encuentro acordados por el grupo, compartiendo información y sus experiencias, para el cumplimiento de los fines del equipo.</w:t>
              <w:br/>
              <w:t>CG2, D2: Asume responsablemente las tareas asignadas dentro del equipo, para la concreción de metas grupales.</w:t>
              <w:br/>
              <w:t>CG4, D3: Expresa correctamente opiniones, ideas y</w:t>
              <w:br/>
              <w:t>experiencias para el abordaje de temas y tareas relacionadas con actividades propias de la vida universitaria.</w:t>
            </w:r>
          </w:p>
        </w:tc>
        <w:tc>
          <w:tcPr>
            <w:tcW w:type="dxa" w:w="4703"/>
          </w:tcPr>
          <w:p>
            <w:pPr>
              <w:jc w:val="left"/>
            </w:pPr>
            <w:r>
              <w:rPr>
                <w:rFonts w:ascii="Calibri" w:hAnsi="Calibri"/>
                <w:b w:val="0"/>
                <w:i w:val="0"/>
                <w:sz w:val="18"/>
              </w:rPr>
              <w:t>Unidad 2: Estrategias de Estudio para la Resolución de Desafíos Académicos</w:t>
              <w:br/>
              <w:t>Métodos de estudio específicos para carreras de ingeniería.</w:t>
              <w:br/>
              <w:t>Estrategias para la resolución de problemas en el contexto universitario.</w:t>
              <w:br/>
              <w:t>Gestión del estrés en escenarios complejos y regulación emocional.</w:t>
              <w:br/>
              <w:t>Herramientas tecnológicas para la gestión del aprendizaje.</w:t>
              <w:br/>
              <w:t>Aprendizaje colaborativo y equipos de trabajo.</w:t>
            </w:r>
          </w:p>
        </w:tc>
      </w:tr>
      <w:tr>
        <w:tc>
          <w:tcPr>
            <w:tcW w:type="dxa" w:w="4703"/>
          </w:tcPr>
          <w:p>
            <w:pPr>
              <w:jc w:val="left"/>
            </w:pPr>
            <w:r>
              <w:rPr>
                <w:rFonts w:ascii="Calibri" w:hAnsi="Calibri"/>
                <w:b w:val="0"/>
                <w:i w:val="0"/>
                <w:sz w:val="18"/>
              </w:rPr>
              <w:t>CG4, D1: Emplea correctamente el lenguaje escrito para la construcción de documentos académicos, en distintos contextos académicos.</w:t>
              <w:br/>
              <w:t>CG4, D2: Comprende textos relacionados con temáticas disciplinares, escritos en lengua materna y en un segundo idioma, extrayendo información relevante para la realización de actividades académicas.</w:t>
              <w:br/>
              <w:t>CG4, D3: Expresa correctamente opiniones, ideas y experiencias para el abordaje de temas y tareas relacionadas con actividades propias de la vida universitaria.</w:t>
            </w:r>
          </w:p>
        </w:tc>
        <w:tc>
          <w:tcPr>
            <w:tcW w:type="dxa" w:w="4703"/>
          </w:tcPr>
          <w:p>
            <w:pPr>
              <w:jc w:val="left"/>
            </w:pPr>
            <w:r>
              <w:rPr>
                <w:rFonts w:ascii="Calibri" w:hAnsi="Calibri"/>
                <w:b w:val="0"/>
                <w:i w:val="0"/>
                <w:sz w:val="18"/>
              </w:rPr>
              <w:t>Unidad 3: Comunicación Académica y Profesional</w:t>
              <w:br/>
              <w:t xml:space="preserve">Géneros académicos asociados con la disciplina. </w:t>
              <w:br/>
              <w:t xml:space="preserve">Modelo de producción textual. Etapas en el proceso de  </w:t>
              <w:br/>
              <w:t xml:space="preserve">escritura. </w:t>
              <w:br/>
              <w:t xml:space="preserve"> Principios de oralidad en el contexto académico.  </w:t>
              <w:br/>
              <w:t>Herramientas y aplicaciones tecnológicas para  la comunicación de ideas.</w:t>
              <w:br/>
              <w:t>Normas bibliográficas y derechos de autor</w:t>
            </w:r>
          </w:p>
        </w:tc>
      </w:tr>
    </w:tbl>
    <w:p/>
    <w:p>
      <w:r>
        <w:rPr>
          <w:rFonts w:ascii="Calibri" w:hAnsi="Calibri"/>
          <w:b/>
          <w:color w:val="1F4E79"/>
          <w:sz w:val="20"/>
        </w:rPr>
        <w:t>METODOLOGÍA O ESTRATEGIA DE ENSEÑANZA - APRENDIZAJE: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Pr>
                <w:rFonts w:ascii="Calibri" w:hAnsi="Calibri"/>
                <w:b w:val="0"/>
                <w:i w:val="0"/>
                <w:sz w:val="18"/>
              </w:rPr>
              <w:t>Procedimiento de Pausas.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Aprendizaje por descubrimiento.</w:t>
            </w:r>
          </w:p>
        </w:tc>
        <w:tc>
          <w:tcPr>
            <w:tcW w:type="dxa" w:w="2351"/>
          </w:tcPr>
          <w:p>
            <w:pPr>
              <w:jc w:val="center"/>
            </w:pPr>
            <w:r>
              <w:rPr>
                <w:rFonts w:ascii="Calibri" w:hAnsi="Calibri"/>
                <w:b w:val="0"/>
                <w:i w:val="0"/>
                <w:sz w:val="18"/>
              </w:rPr>
              <w:t>X</w:t>
            </w:r>
          </w:p>
        </w:tc>
      </w:tr>
      <w:tr>
        <w:tc>
          <w:tcPr>
            <w:tcW w:type="dxa" w:w="2351"/>
          </w:tcPr>
          <w:p>
            <w:pPr>
              <w:jc w:val="left"/>
            </w:pPr>
            <w:r>
              <w:rPr>
                <w:rFonts w:ascii="Calibri" w:hAnsi="Calibri"/>
                <w:b w:val="0"/>
                <w:i w:val="0"/>
                <w:sz w:val="18"/>
              </w:rPr>
              <w:t>Estudio de Casos.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Aprendizaje basado en equipos.</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Juego de Roles.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Clase expositiva activa.</w:t>
            </w:r>
          </w:p>
        </w:tc>
        <w:tc>
          <w:tcPr>
            <w:tcW w:type="dxa" w:w="2351"/>
          </w:tcPr>
          <w:p>
            <w:pPr>
              <w:jc w:val="center"/>
            </w:pPr>
            <w:r>
              <w:rPr>
                <w:rFonts w:ascii="Calibri" w:hAnsi="Calibri"/>
                <w:b w:val="0"/>
                <w:i w:val="0"/>
                <w:sz w:val="18"/>
              </w:rPr>
              <w:t>X</w:t>
            </w:r>
          </w:p>
        </w:tc>
      </w:tr>
      <w:tr>
        <w:tc>
          <w:tcPr>
            <w:tcW w:type="dxa" w:w="2351"/>
          </w:tcPr>
          <w:p>
            <w:pPr>
              <w:jc w:val="left"/>
            </w:pPr>
            <w:r>
              <w:rPr>
                <w:rFonts w:ascii="Calibri" w:hAnsi="Calibri"/>
                <w:b w:val="0"/>
                <w:i w:val="0"/>
                <w:sz w:val="18"/>
              </w:rPr>
              <w:t>Aprendizaje colaborativo o cooperativo.</w:t>
            </w:r>
          </w:p>
        </w:tc>
        <w:tc>
          <w:tcPr>
            <w:tcW w:type="dxa" w:w="2351"/>
          </w:tcPr>
          <w:p>
            <w:pPr>
              <w:jc w:val="center"/>
            </w:pPr>
            <w:r>
              <w:rPr>
                <w:rFonts w:ascii="Calibri" w:hAnsi="Calibri"/>
                <w:b w:val="0"/>
                <w:i w:val="0"/>
                <w:sz w:val="18"/>
              </w:rPr>
              <w:t>X</w:t>
            </w:r>
          </w:p>
        </w:tc>
        <w:tc>
          <w:tcPr>
            <w:tcW w:type="dxa" w:w="2351"/>
          </w:tcPr>
          <w:p>
            <w:pPr>
              <w:jc w:val="left"/>
            </w:pPr>
            <w:r>
              <w:rPr>
                <w:rFonts w:ascii="Calibri" w:hAnsi="Calibri"/>
                <w:b w:val="0"/>
                <w:i w:val="0"/>
                <w:sz w:val="18"/>
              </w:rPr>
              <w:t>Simulación.</w:t>
            </w:r>
          </w:p>
        </w:tc>
        <w:tc>
          <w:tcPr>
            <w:tcW w:type="dxa" w:w="2351"/>
          </w:tcPr>
          <w:p>
            <w:pPr>
              <w:jc w:val="center"/>
            </w:pPr>
            <w:r>
              <w:rPr>
                <w:rFonts w:ascii="Calibri" w:hAnsi="Calibri"/>
                <w:b w:val="0"/>
                <w:i w:val="0"/>
                <w:sz w:val="18"/>
              </w:rPr>
              <w:t>X</w:t>
            </w:r>
          </w:p>
        </w:tc>
      </w:tr>
      <w:tr>
        <w:tc>
          <w:tcPr>
            <w:tcW w:type="dxa" w:w="2351"/>
          </w:tcPr>
          <w:p>
            <w:pPr>
              <w:jc w:val="left"/>
            </w:pPr>
            <w:r>
              <w:rPr>
                <w:rFonts w:ascii="Calibri" w:hAnsi="Calibri"/>
                <w:b w:val="0"/>
                <w:i w:val="0"/>
                <w:sz w:val="18"/>
              </w:rPr>
              <w:t>Aprendizaje basado en Problemas (ABP).</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Tutorías.</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Aprendizaje basado en Proyectos.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Salidas a terreno.</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Aprendizaje Servicio.</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Otro, especifique:</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Aprendizaje Invertido.</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r>
          </w:p>
        </w:tc>
        <w:tc>
          <w:tcPr>
            <w:tcW w:type="dxa" w:w="2351"/>
          </w:tcPr>
          <w:p>
            <w:pPr>
              <w:jc w:val="center"/>
            </w:pPr>
            <w:r>
              <w:rPr>
                <w:rFonts w:ascii="Calibri" w:hAnsi="Calibri"/>
                <w:b w:val="0"/>
                <w:i w:val="0"/>
                <w:sz w:val="18"/>
              </w:rPr>
            </w:r>
          </w:p>
        </w:tc>
      </w:tr>
    </w:tbl>
    <w:p/>
    <w:p>
      <w:r>
        <w:rPr>
          <w:rFonts w:ascii="Calibri" w:hAnsi="Calibri"/>
          <w:b/>
          <w:color w:val="1F4E79"/>
          <w:sz w:val="20"/>
        </w:rPr>
        <w:t>METODOLOGÍA O ESTRATEGIA DE EVALUACIÓN:</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jc w:val="left"/>
            </w:pPr>
            <w:r>
              <w:rPr>
                <w:rFonts w:ascii="Calibri" w:hAnsi="Calibri"/>
                <w:b/>
                <w:i w:val="0"/>
                <w:color w:val="FFFFFF"/>
                <w:sz w:val="18"/>
              </w:rPr>
              <w:t>Tipo de evaluación:</w:t>
            </w:r>
          </w:p>
        </w:tc>
        <w:tc>
          <w:tcPr>
            <w:tcW w:type="dxa" w:w="4703"/>
            <w:shd w:val="clear" w:color="auto" w:fill="1F4E79"/>
          </w:tcPr>
          <w:p>
            <w:pPr>
              <w:jc w:val="left"/>
            </w:pPr>
            <w:r>
              <w:rPr>
                <w:rFonts w:ascii="Calibri" w:hAnsi="Calibri"/>
                <w:b/>
                <w:i w:val="0"/>
                <w:color w:val="FFFFFF"/>
                <w:sz w:val="18"/>
              </w:rPr>
              <w:t>Porcentaje (%) que corresponde:</w:t>
            </w:r>
          </w:p>
        </w:tc>
      </w:tr>
      <w:tr>
        <w:tc>
          <w:tcPr>
            <w:tcW w:type="dxa" w:w="4703"/>
          </w:tcPr>
          <w:p>
            <w:pPr>
              <w:jc w:val="left"/>
            </w:pPr>
            <w:r>
              <w:rPr>
                <w:rFonts w:ascii="Calibri" w:hAnsi="Calibri"/>
                <w:b w:val="0"/>
                <w:i w:val="0"/>
                <w:sz w:val="18"/>
              </w:rPr>
              <w:t>Evaluaciones formativas</w:t>
            </w:r>
          </w:p>
        </w:tc>
        <w:tc>
          <w:tcPr>
            <w:tcW w:type="dxa" w:w="4703"/>
          </w:tcPr>
          <w:p>
            <w:pPr>
              <w:jc w:val="left"/>
            </w:pPr>
            <w:r>
              <w:rPr>
                <w:rFonts w:ascii="Calibri" w:hAnsi="Calibri"/>
                <w:b w:val="0"/>
                <w:i w:val="0"/>
                <w:sz w:val="18"/>
              </w:rPr>
              <w:t>0%</w:t>
            </w:r>
          </w:p>
        </w:tc>
      </w:tr>
      <w:tr>
        <w:tc>
          <w:tcPr>
            <w:tcW w:type="dxa" w:w="4703"/>
          </w:tcPr>
          <w:p>
            <w:pPr>
              <w:jc w:val="left"/>
            </w:pPr>
            <w:r>
              <w:rPr>
                <w:rFonts w:ascii="Calibri" w:hAnsi="Calibri"/>
                <w:b w:val="0"/>
                <w:i w:val="0"/>
                <w:sz w:val="18"/>
              </w:rPr>
              <w:t>Evaluación escrita de Producto (Talleres, pruebas, tareas,</w:t>
              <w:br/>
              <w:t>guías, entrevistas, etc.)</w:t>
            </w:r>
          </w:p>
        </w:tc>
        <w:tc>
          <w:tcPr>
            <w:tcW w:type="dxa" w:w="4703"/>
          </w:tcPr>
          <w:p>
            <w:pPr>
              <w:jc w:val="left"/>
            </w:pPr>
            <w:r>
              <w:rPr>
                <w:rFonts w:ascii="Calibri" w:hAnsi="Calibri"/>
                <w:b w:val="0"/>
                <w:i w:val="0"/>
                <w:sz w:val="18"/>
              </w:rPr>
              <w:t>15 %</w:t>
            </w:r>
          </w:p>
        </w:tc>
      </w:tr>
      <w:tr>
        <w:tc>
          <w:tcPr>
            <w:tcW w:type="dxa" w:w="4703"/>
          </w:tcPr>
          <w:p>
            <w:pPr>
              <w:jc w:val="left"/>
            </w:pPr>
            <w:r>
              <w:rPr>
                <w:rFonts w:ascii="Calibri" w:hAnsi="Calibri"/>
                <w:b w:val="0"/>
                <w:i w:val="0"/>
                <w:sz w:val="18"/>
              </w:rPr>
              <w:t>Evaluación escrita de Proceso (Portafolios, bitácoras,</w:t>
              <w:br/>
              <w:t>reflexiones, etc.)</w:t>
            </w:r>
          </w:p>
        </w:tc>
        <w:tc>
          <w:tcPr>
            <w:tcW w:type="dxa" w:w="4703"/>
          </w:tcPr>
          <w:p>
            <w:pPr>
              <w:jc w:val="left"/>
            </w:pPr>
            <w:r>
              <w:rPr>
                <w:rFonts w:ascii="Calibri" w:hAnsi="Calibri"/>
                <w:b w:val="0"/>
                <w:i w:val="0"/>
                <w:sz w:val="18"/>
              </w:rPr>
              <w:t>25 %</w:t>
            </w:r>
          </w:p>
        </w:tc>
      </w:tr>
      <w:tr>
        <w:tc>
          <w:tcPr>
            <w:tcW w:type="dxa" w:w="4703"/>
          </w:tcPr>
          <w:p>
            <w:pPr>
              <w:jc w:val="left"/>
            </w:pPr>
            <w:r>
              <w:rPr>
                <w:rFonts w:ascii="Calibri" w:hAnsi="Calibri"/>
                <w:b w:val="0"/>
                <w:i w:val="0"/>
                <w:sz w:val="18"/>
              </w:rPr>
              <w:t>Evaluación de actividades de expresión oral grupal. (Presentaciones, exposiciones, foros, diálogos, etc.)</w:t>
            </w:r>
          </w:p>
        </w:tc>
        <w:tc>
          <w:tcPr>
            <w:tcW w:type="dxa" w:w="4703"/>
          </w:tcPr>
          <w:p>
            <w:pPr>
              <w:jc w:val="left"/>
            </w:pPr>
            <w:r>
              <w:rPr>
                <w:rFonts w:ascii="Calibri" w:hAnsi="Calibri"/>
                <w:b w:val="0"/>
                <w:i w:val="0"/>
                <w:sz w:val="18"/>
              </w:rPr>
              <w:t>25%</w:t>
            </w:r>
          </w:p>
        </w:tc>
      </w:tr>
      <w:tr>
        <w:tc>
          <w:tcPr>
            <w:tcW w:type="dxa" w:w="4703"/>
          </w:tcPr>
          <w:p>
            <w:pPr>
              <w:jc w:val="left"/>
            </w:pPr>
            <w:r>
              <w:rPr>
                <w:rFonts w:ascii="Calibri" w:hAnsi="Calibri"/>
                <w:b w:val="0"/>
                <w:i w:val="0"/>
                <w:sz w:val="18"/>
              </w:rPr>
              <w:t>Evaluación de actividades de expresión oral individual. (Presentaciones, exposiciones, foros, diálogos, etc.)</w:t>
            </w:r>
          </w:p>
        </w:tc>
        <w:tc>
          <w:tcPr>
            <w:tcW w:type="dxa" w:w="4703"/>
          </w:tcPr>
          <w:p>
            <w:pPr>
              <w:jc w:val="left"/>
            </w:pPr>
            <w:r>
              <w:rPr>
                <w:rFonts w:ascii="Calibri" w:hAnsi="Calibri"/>
                <w:b w:val="0"/>
                <w:i w:val="0"/>
                <w:sz w:val="18"/>
              </w:rPr>
              <w:t>35%</w:t>
            </w:r>
          </w:p>
        </w:tc>
      </w:tr>
    </w:tbl>
    <w:p>
      <w:r>
        <w:rPr>
          <w:rFonts w:ascii="Calibri" w:hAnsi="Calibri"/>
          <w:sz w:val="20"/>
        </w:rPr>
        <w:t>Descripción general:*La nota final de la asignatura corresponde al promedio de todas las evaluaciones realizadas durante el semestre, según la ponderación contenida en el programa oficial de la asignatura. Los alumnos con Nota Semestral  igual o superior a 4,0, aprueban la asignatura.En el evento que un estudiante obtenga una nota final igual o superior a 3,0 (tres coma cero) pero inferior a 4,0 (cuatro coma cero) tendrá derecho a rendir una Prueba Sumativa Extraordinaria, cuya ponderación corresponderá a un 30% de la calificación final. La Nota Semestral tiene una ponderación del 70% de la Nota Final. Quienes rindan la prueba sumativa extraordinaria y logren un promedio igual o superior a 4,0 (cuatro coma cero), aprobarán la asignatura con nota 4,0 (cuatro coma cero), en caso contrario reprobará la asignatura con la nota final.El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académica.(Programa sujeto a Reglamento de Estudios Facultad de Ingeniería)Descripción general:*La nota final de la asignatura corresponde al promedio de todas las evaluaciones realizadas durante el semestre, según la ponderación contenida en el programa oficial de la asignatura. Los alumnos con Nota Semestral  igual o superior a 4,0, aprueban la asignatura.En el evento que un estudiante obtenga una nota final igual o superior a 3,0 (tres coma cero) pero inferior a 4,0 (cuatro coma cero) tendrá derecho a rendir una Prueba Sumativa Extraordinaria, cuya ponderación corresponderá a un 30% de la calificación final. La Nota Semestral tiene una ponderación del 70% de la Nota Final. Quienes rindan la prueba sumativa extraordinaria y logren un promedio igual o superior a 4,0 (cuatro coma cero), aprobarán la asignatura con nota 4,0 (cuatro coma cero), en caso contrario reprobará la asignatura con la nota final.El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académica.(Programa sujeto a Reglamento de Estudios Facultad de Ingeniería)</w:t>
      </w:r>
    </w:p>
    <w:p/>
    <w:p>
      <w:r>
        <w:rPr>
          <w:rFonts w:ascii="Calibri" w:hAnsi="Calibri"/>
          <w:b/>
          <w:color w:val="1F4E79"/>
          <w:sz w:val="20"/>
        </w:rPr>
        <w:t>BIBLIOGRAFÍA BÁSICA OBLIGATORIA: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pPr>
              <w:jc w:val="left"/>
            </w:pPr>
            <w:r>
              <w:rPr>
                <w:rFonts w:ascii="Calibri" w:hAnsi="Calibri"/>
                <w:b/>
                <w:i w:val="0"/>
                <w:color w:val="FFFFFF"/>
                <w:sz w:val="16"/>
              </w:rPr>
              <w:t>Autor</w:t>
            </w:r>
          </w:p>
        </w:tc>
        <w:tc>
          <w:tcPr>
            <w:tcW w:type="dxa" w:w="1568"/>
            <w:shd w:val="clear" w:color="auto" w:fill="1F4E79"/>
          </w:tcPr>
          <w:p>
            <w:pPr>
              <w:jc w:val="left"/>
            </w:pPr>
            <w:r>
              <w:rPr>
                <w:rFonts w:ascii="Calibri" w:hAnsi="Calibri"/>
                <w:b/>
                <w:i w:val="0"/>
                <w:color w:val="FFFFFF"/>
                <w:sz w:val="16"/>
              </w:rPr>
              <w:t>Título</w:t>
            </w:r>
          </w:p>
        </w:tc>
        <w:tc>
          <w:tcPr>
            <w:tcW w:type="dxa" w:w="1568"/>
            <w:shd w:val="clear" w:color="auto" w:fill="1F4E79"/>
          </w:tcPr>
          <w:p>
            <w:pPr>
              <w:jc w:val="left"/>
            </w:pPr>
            <w:r>
              <w:rPr>
                <w:rFonts w:ascii="Calibri" w:hAnsi="Calibri"/>
                <w:b/>
                <w:i w:val="0"/>
                <w:color w:val="FFFFFF"/>
                <w:sz w:val="16"/>
              </w:rPr>
              <w:t>Editorial</w:t>
            </w:r>
          </w:p>
        </w:tc>
        <w:tc>
          <w:tcPr>
            <w:tcW w:type="dxa" w:w="1568"/>
            <w:shd w:val="clear" w:color="auto" w:fill="1F4E79"/>
          </w:tcPr>
          <w:p>
            <w:pPr>
              <w:jc w:val="left"/>
            </w:pPr>
            <w:r>
              <w:rPr>
                <w:rFonts w:ascii="Calibri" w:hAnsi="Calibri"/>
                <w:b/>
                <w:i w:val="0"/>
                <w:color w:val="FFFFFF"/>
                <w:sz w:val="16"/>
              </w:rPr>
              <w:t>Año</w:t>
            </w:r>
          </w:p>
        </w:tc>
        <w:tc>
          <w:tcPr>
            <w:tcW w:type="dxa" w:w="1568"/>
            <w:shd w:val="clear" w:color="auto" w:fill="1F4E79"/>
          </w:tcPr>
          <w:p>
            <w:pPr>
              <w:jc w:val="left"/>
            </w:pPr>
            <w:r>
              <w:rPr>
                <w:rFonts w:ascii="Calibri" w:hAnsi="Calibri"/>
                <w:b/>
                <w:i w:val="0"/>
                <w:color w:val="FFFFFF"/>
                <w:sz w:val="16"/>
              </w:rPr>
              <w:t>ISBN</w:t>
            </w:r>
          </w:p>
        </w:tc>
        <w:tc>
          <w:tcPr>
            <w:tcW w:type="dxa" w:w="1568"/>
            <w:shd w:val="clear" w:color="auto" w:fill="1F4E79"/>
          </w:tcPr>
          <w:p>
            <w:pPr>
              <w:jc w:val="left"/>
            </w:pPr>
            <w:r>
              <w:rPr>
                <w:rFonts w:ascii="Calibri" w:hAnsi="Calibri"/>
                <w:b/>
                <w:i w:val="0"/>
                <w:color w:val="FFFFFF"/>
                <w:sz w:val="16"/>
              </w:rPr>
              <w:t>Nº Ejemplares disponibles</w:t>
            </w:r>
          </w:p>
        </w:tc>
      </w:tr>
      <w:tr>
        <w:tc>
          <w:tcPr>
            <w:tcW w:type="dxa" w:w="1568"/>
          </w:tcPr>
          <w:p>
            <w:pPr>
              <w:jc w:val="left"/>
            </w:pPr>
            <w:r>
              <w:rPr>
                <w:rFonts w:ascii="Calibri" w:hAnsi="Calibri"/>
                <w:b w:val="0"/>
                <w:i w:val="0"/>
                <w:sz w:val="16"/>
              </w:rPr>
              <w:t>Manes, Facundo Niro, Mateo.</w:t>
            </w:r>
          </w:p>
        </w:tc>
        <w:tc>
          <w:tcPr>
            <w:tcW w:type="dxa" w:w="1568"/>
          </w:tcPr>
          <w:p>
            <w:pPr>
              <w:jc w:val="left"/>
            </w:pPr>
            <w:r>
              <w:rPr>
                <w:rFonts w:ascii="Calibri" w:hAnsi="Calibri"/>
                <w:b w:val="0"/>
                <w:i w:val="0"/>
                <w:sz w:val="16"/>
              </w:rPr>
              <w:t>Usar el cerebro: conocer nuestra mente para vivir</w:t>
              <w:br/>
              <w:t>mejor.</w:t>
            </w:r>
          </w:p>
        </w:tc>
        <w:tc>
          <w:tcPr>
            <w:tcW w:type="dxa" w:w="1568"/>
          </w:tcPr>
          <w:p>
            <w:pPr>
              <w:jc w:val="left"/>
            </w:pPr>
            <w:r>
              <w:rPr>
                <w:rFonts w:ascii="Calibri" w:hAnsi="Calibri"/>
                <w:b w:val="0"/>
                <w:i w:val="0"/>
                <w:sz w:val="16"/>
              </w:rPr>
              <w:t>Planeta</w:t>
            </w:r>
          </w:p>
        </w:tc>
        <w:tc>
          <w:tcPr>
            <w:tcW w:type="dxa" w:w="1568"/>
          </w:tcPr>
          <w:p>
            <w:pPr>
              <w:jc w:val="left"/>
            </w:pPr>
            <w:r>
              <w:rPr>
                <w:rFonts w:ascii="Calibri" w:hAnsi="Calibri"/>
                <w:b w:val="0"/>
                <w:i w:val="0"/>
                <w:sz w:val="16"/>
              </w:rPr>
              <w:t>2019</w:t>
            </w:r>
          </w:p>
        </w:tc>
        <w:tc>
          <w:tcPr>
            <w:tcW w:type="dxa" w:w="1568"/>
          </w:tcPr>
          <w:p>
            <w:pPr>
              <w:jc w:val="left"/>
            </w:pPr>
            <w:r>
              <w:rPr>
                <w:rFonts w:ascii="Calibri" w:hAnsi="Calibri"/>
                <w:b w:val="0"/>
                <w:i w:val="0"/>
                <w:sz w:val="16"/>
              </w:rPr>
              <w:t>9789504936923</w:t>
            </w:r>
          </w:p>
        </w:tc>
        <w:tc>
          <w:tcPr>
            <w:tcW w:type="dxa" w:w="1568"/>
          </w:tcPr>
          <w:p>
            <w:pPr>
              <w:jc w:val="left"/>
            </w:pPr>
            <w:r>
              <w:rPr>
                <w:rFonts w:ascii="Calibri" w:hAnsi="Calibri"/>
                <w:b w:val="0"/>
                <w:i w:val="0"/>
                <w:sz w:val="16"/>
              </w:rPr>
              <w:t>8</w:t>
            </w:r>
          </w:p>
        </w:tc>
      </w:tr>
      <w:tr>
        <w:tc>
          <w:tcPr>
            <w:tcW w:type="dxa" w:w="1568"/>
          </w:tcPr>
          <w:p>
            <w:pPr>
              <w:jc w:val="left"/>
            </w:pPr>
            <w:r>
              <w:rPr>
                <w:rFonts w:ascii="Calibri" w:hAnsi="Calibri"/>
                <w:b w:val="0"/>
                <w:i w:val="0"/>
                <w:sz w:val="16"/>
              </w:rPr>
              <w:t>Fonseca Yerena, María del Socorro;</w:t>
              <w:br/>
              <w:t>Correa Pérez, Alicia.</w:t>
            </w:r>
          </w:p>
        </w:tc>
        <w:tc>
          <w:tcPr>
            <w:tcW w:type="dxa" w:w="1568"/>
          </w:tcPr>
          <w:p>
            <w:pPr>
              <w:jc w:val="left"/>
            </w:pPr>
            <w:r>
              <w:rPr>
                <w:rFonts w:ascii="Calibri" w:hAnsi="Calibri"/>
                <w:b w:val="0"/>
                <w:i w:val="0"/>
                <w:sz w:val="16"/>
              </w:rPr>
              <w:t>Comunicación oral y escrita</w:t>
            </w:r>
          </w:p>
        </w:tc>
        <w:tc>
          <w:tcPr>
            <w:tcW w:type="dxa" w:w="1568"/>
          </w:tcPr>
          <w:p>
            <w:pPr>
              <w:jc w:val="left"/>
            </w:pPr>
            <w:r>
              <w:rPr>
                <w:rFonts w:ascii="Calibri" w:hAnsi="Calibri"/>
                <w:b w:val="0"/>
                <w:i w:val="0"/>
                <w:sz w:val="16"/>
              </w:rPr>
              <w:t>Pearson Educación</w:t>
            </w:r>
          </w:p>
        </w:tc>
        <w:tc>
          <w:tcPr>
            <w:tcW w:type="dxa" w:w="1568"/>
          </w:tcPr>
          <w:p>
            <w:pPr>
              <w:jc w:val="left"/>
            </w:pPr>
            <w:r>
              <w:rPr>
                <w:rFonts w:ascii="Calibri" w:hAnsi="Calibri"/>
                <w:b w:val="0"/>
                <w:i w:val="0"/>
                <w:sz w:val="16"/>
              </w:rPr>
              <w:t>2016</w:t>
            </w:r>
          </w:p>
        </w:tc>
        <w:tc>
          <w:tcPr>
            <w:tcW w:type="dxa" w:w="1568"/>
          </w:tcPr>
          <w:p>
            <w:pPr>
              <w:jc w:val="left"/>
            </w:pPr>
            <w:r>
              <w:rPr>
                <w:rFonts w:ascii="Calibri" w:hAnsi="Calibri"/>
                <w:b w:val="0"/>
                <w:i w:val="0"/>
                <w:sz w:val="16"/>
              </w:rPr>
              <w:t>9786073236881</w:t>
            </w:r>
          </w:p>
        </w:tc>
        <w:tc>
          <w:tcPr>
            <w:tcW w:type="dxa" w:w="1568"/>
          </w:tcPr>
          <w:p>
            <w:pPr>
              <w:jc w:val="left"/>
            </w:pPr>
            <w:r>
              <w:rPr>
                <w:rFonts w:ascii="Calibri" w:hAnsi="Calibri"/>
                <w:b w:val="0"/>
                <w:i w:val="0"/>
                <w:sz w:val="16"/>
              </w:rPr>
              <w:t>1- Acceso en línea</w:t>
            </w:r>
          </w:p>
        </w:tc>
      </w:tr>
    </w:tbl>
    <w:p/>
    <w:p>
      <w:r>
        <w:rPr>
          <w:rFonts w:ascii="Calibri" w:hAnsi="Calibri"/>
          <w:b/>
          <w:color w:val="1F4E79"/>
          <w:sz w:val="20"/>
        </w:rPr>
        <w:t>BIBLIOGRAFÍA COMPLEMENTARIA: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pPr>
              <w:jc w:val="left"/>
            </w:pPr>
            <w:r>
              <w:rPr>
                <w:rFonts w:ascii="Calibri" w:hAnsi="Calibri"/>
                <w:b/>
                <w:i w:val="0"/>
                <w:color w:val="FFFFFF"/>
                <w:sz w:val="16"/>
              </w:rPr>
              <w:t>Autor</w:t>
            </w:r>
          </w:p>
        </w:tc>
        <w:tc>
          <w:tcPr>
            <w:tcW w:type="dxa" w:w="1568"/>
            <w:shd w:val="clear" w:color="auto" w:fill="1F4E79"/>
          </w:tcPr>
          <w:p>
            <w:pPr>
              <w:jc w:val="left"/>
            </w:pPr>
            <w:r>
              <w:rPr>
                <w:rFonts w:ascii="Calibri" w:hAnsi="Calibri"/>
                <w:b/>
                <w:i w:val="0"/>
                <w:color w:val="FFFFFF"/>
                <w:sz w:val="16"/>
              </w:rPr>
              <w:t>Título</w:t>
            </w:r>
          </w:p>
        </w:tc>
        <w:tc>
          <w:tcPr>
            <w:tcW w:type="dxa" w:w="1568"/>
            <w:shd w:val="clear" w:color="auto" w:fill="1F4E79"/>
          </w:tcPr>
          <w:p>
            <w:pPr>
              <w:jc w:val="left"/>
            </w:pPr>
            <w:r>
              <w:rPr>
                <w:rFonts w:ascii="Calibri" w:hAnsi="Calibri"/>
                <w:b/>
                <w:i w:val="0"/>
                <w:color w:val="FFFFFF"/>
                <w:sz w:val="16"/>
              </w:rPr>
              <w:t>Editorial</w:t>
            </w:r>
          </w:p>
        </w:tc>
        <w:tc>
          <w:tcPr>
            <w:tcW w:type="dxa" w:w="1568"/>
            <w:shd w:val="clear" w:color="auto" w:fill="1F4E79"/>
          </w:tcPr>
          <w:p>
            <w:pPr>
              <w:jc w:val="left"/>
            </w:pPr>
            <w:r>
              <w:rPr>
                <w:rFonts w:ascii="Calibri" w:hAnsi="Calibri"/>
                <w:b/>
                <w:i w:val="0"/>
                <w:color w:val="FFFFFF"/>
                <w:sz w:val="16"/>
              </w:rPr>
              <w:t>Año</w:t>
            </w:r>
          </w:p>
        </w:tc>
        <w:tc>
          <w:tcPr>
            <w:tcW w:type="dxa" w:w="1568"/>
            <w:shd w:val="clear" w:color="auto" w:fill="1F4E79"/>
          </w:tcPr>
          <w:p>
            <w:pPr>
              <w:jc w:val="left"/>
            </w:pPr>
            <w:r>
              <w:rPr>
                <w:rFonts w:ascii="Calibri" w:hAnsi="Calibri"/>
                <w:b/>
                <w:i w:val="0"/>
                <w:color w:val="FFFFFF"/>
                <w:sz w:val="16"/>
              </w:rPr>
              <w:t>ISBN</w:t>
            </w:r>
          </w:p>
        </w:tc>
        <w:tc>
          <w:tcPr>
            <w:tcW w:type="dxa" w:w="1568"/>
            <w:shd w:val="clear" w:color="auto" w:fill="1F4E79"/>
          </w:tcPr>
          <w:p>
            <w:pPr>
              <w:jc w:val="left"/>
            </w:pPr>
            <w:r>
              <w:rPr>
                <w:rFonts w:ascii="Calibri" w:hAnsi="Calibri"/>
                <w:b/>
                <w:i w:val="0"/>
                <w:color w:val="FFFFFF"/>
                <w:sz w:val="16"/>
              </w:rPr>
              <w:t>Nº Ejemplares disponibles</w:t>
            </w:r>
          </w:p>
        </w:tc>
      </w:tr>
      <w:tr>
        <w:tc>
          <w:tcPr>
            <w:tcW w:type="dxa" w:w="1568"/>
          </w:tcPr>
          <w:p>
            <w:pPr>
              <w:jc w:val="left"/>
            </w:pPr>
            <w:r>
              <w:rPr>
                <w:rFonts w:ascii="Calibri" w:hAnsi="Calibri"/>
                <w:b w:val="0"/>
                <w:i w:val="0"/>
                <w:sz w:val="16"/>
              </w:rPr>
              <w:t>Ontoria Peria,</w:t>
              <w:br/>
              <w:t>Antonio</w:t>
            </w:r>
          </w:p>
        </w:tc>
        <w:tc>
          <w:tcPr>
            <w:tcW w:type="dxa" w:w="1568"/>
          </w:tcPr>
          <w:p>
            <w:pPr>
              <w:jc w:val="left"/>
            </w:pPr>
            <w:r>
              <w:rPr>
                <w:rFonts w:ascii="Calibri" w:hAnsi="Calibri"/>
                <w:b w:val="0"/>
                <w:i w:val="0"/>
                <w:sz w:val="16"/>
              </w:rPr>
              <w:t>Potenciar la capacidad</w:t>
              <w:br/>
              <w:t>de aprender y pensar</w:t>
            </w:r>
          </w:p>
        </w:tc>
        <w:tc>
          <w:tcPr>
            <w:tcW w:type="dxa" w:w="1568"/>
          </w:tcPr>
          <w:p>
            <w:pPr>
              <w:jc w:val="left"/>
            </w:pPr>
            <w:r>
              <w:rPr>
                <w:rFonts w:ascii="Calibri" w:hAnsi="Calibri"/>
                <w:b w:val="0"/>
                <w:i w:val="0"/>
                <w:sz w:val="16"/>
              </w:rPr>
              <w:t>Narcea</w:t>
            </w:r>
          </w:p>
        </w:tc>
        <w:tc>
          <w:tcPr>
            <w:tcW w:type="dxa" w:w="1568"/>
          </w:tcPr>
          <w:p>
            <w:pPr>
              <w:jc w:val="left"/>
            </w:pPr>
            <w:r>
              <w:rPr>
                <w:rFonts w:ascii="Calibri" w:hAnsi="Calibri"/>
                <w:b w:val="0"/>
                <w:i w:val="0"/>
                <w:sz w:val="16"/>
              </w:rPr>
              <w:t>2016</w:t>
            </w:r>
          </w:p>
        </w:tc>
        <w:tc>
          <w:tcPr>
            <w:tcW w:type="dxa" w:w="1568"/>
          </w:tcPr>
          <w:p>
            <w:pPr>
              <w:jc w:val="left"/>
            </w:pPr>
            <w:r>
              <w:rPr>
                <w:rFonts w:ascii="Calibri" w:hAnsi="Calibri"/>
                <w:b w:val="0"/>
                <w:i w:val="0"/>
                <w:sz w:val="16"/>
              </w:rPr>
              <w:t>9788427716667</w:t>
            </w:r>
          </w:p>
        </w:tc>
        <w:tc>
          <w:tcPr>
            <w:tcW w:type="dxa" w:w="1568"/>
          </w:tcPr>
          <w:p>
            <w:pPr>
              <w:jc w:val="left"/>
            </w:pPr>
            <w:r>
              <w:rPr>
                <w:rFonts w:ascii="Calibri" w:hAnsi="Calibri"/>
                <w:b w:val="0"/>
                <w:i w:val="0"/>
                <w:sz w:val="16"/>
              </w:rPr>
              <w:t>14</w:t>
            </w:r>
          </w:p>
        </w:tc>
      </w:tr>
      <w:tr>
        <w:tc>
          <w:tcPr>
            <w:tcW w:type="dxa" w:w="1568"/>
          </w:tcPr>
          <w:p>
            <w:pPr>
              <w:jc w:val="left"/>
            </w:pPr>
            <w:r>
              <w:rPr>
                <w:rFonts w:ascii="Calibri" w:hAnsi="Calibri"/>
                <w:b w:val="0"/>
                <w:i w:val="0"/>
                <w:sz w:val="16"/>
              </w:rPr>
              <w:t>Rojas, Enrique</w:t>
            </w:r>
          </w:p>
        </w:tc>
        <w:tc>
          <w:tcPr>
            <w:tcW w:type="dxa" w:w="1568"/>
          </w:tcPr>
          <w:p>
            <w:pPr>
              <w:jc w:val="left"/>
            </w:pPr>
            <w:r>
              <w:rPr>
                <w:rFonts w:ascii="Calibri" w:hAnsi="Calibri"/>
                <w:b w:val="0"/>
                <w:i w:val="0"/>
                <w:sz w:val="16"/>
              </w:rPr>
              <w:t>La conquista de la Voluntad</w:t>
            </w:r>
          </w:p>
        </w:tc>
        <w:tc>
          <w:tcPr>
            <w:tcW w:type="dxa" w:w="1568"/>
          </w:tcPr>
          <w:p>
            <w:pPr>
              <w:jc w:val="left"/>
            </w:pPr>
            <w:r>
              <w:rPr>
                <w:rFonts w:ascii="Calibri" w:hAnsi="Calibri"/>
                <w:b w:val="0"/>
                <w:i w:val="0"/>
                <w:sz w:val="16"/>
              </w:rPr>
              <w:t>Grupo Planeta Spain</w:t>
            </w:r>
          </w:p>
        </w:tc>
        <w:tc>
          <w:tcPr>
            <w:tcW w:type="dxa" w:w="1568"/>
          </w:tcPr>
          <w:p>
            <w:pPr>
              <w:jc w:val="left"/>
            </w:pPr>
            <w:r>
              <w:rPr>
                <w:rFonts w:ascii="Calibri" w:hAnsi="Calibri"/>
                <w:b w:val="0"/>
                <w:i w:val="0"/>
                <w:sz w:val="16"/>
              </w:rPr>
              <w:t>2011</w:t>
            </w:r>
          </w:p>
        </w:tc>
        <w:tc>
          <w:tcPr>
            <w:tcW w:type="dxa" w:w="1568"/>
          </w:tcPr>
          <w:p>
            <w:pPr>
              <w:jc w:val="left"/>
            </w:pPr>
            <w:r>
              <w:rPr>
                <w:rFonts w:ascii="Calibri" w:hAnsi="Calibri"/>
                <w:b w:val="0"/>
                <w:i w:val="0"/>
                <w:sz w:val="16"/>
              </w:rPr>
              <w:t>9788484609117</w:t>
            </w:r>
          </w:p>
        </w:tc>
        <w:tc>
          <w:tcPr>
            <w:tcW w:type="dxa" w:w="1568"/>
          </w:tcPr>
          <w:p>
            <w:pPr>
              <w:jc w:val="left"/>
            </w:pPr>
            <w:r>
              <w:rPr>
                <w:rFonts w:ascii="Calibri" w:hAnsi="Calibri"/>
                <w:b w:val="0"/>
                <w:i w:val="0"/>
                <w:sz w:val="16"/>
              </w:rPr>
              <w:t>24</w:t>
            </w:r>
          </w:p>
        </w:tc>
      </w:tr>
    </w:tbl>
    <w:p/>
    <w:p>
      <w:r>
        <w:rPr>
          <w:rFonts w:ascii="Calibri" w:hAnsi="Calibri"/>
          <w:b/>
          <w:color w:val="1F4E79"/>
          <w:sz w:val="20"/>
        </w:rPr>
        <w:t>LINKOGRAFÍA:</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E79"/>
          </w:tcPr>
          <w:p>
            <w:pPr>
              <w:jc w:val="center"/>
            </w:pPr>
            <w:r>
              <w:rPr>
                <w:rFonts w:ascii="Calibri" w:hAnsi="Calibri"/>
                <w:b/>
                <w:i w:val="0"/>
                <w:color w:val="FFFFFF"/>
                <w:sz w:val="16"/>
              </w:rPr>
              <w:t>Tipo de Documento</w:t>
            </w:r>
          </w:p>
        </w:tc>
        <w:tc>
          <w:tcPr>
            <w:tcW w:type="dxa" w:w="1176"/>
            <w:shd w:val="clear" w:color="auto" w:fill="1F4E79"/>
          </w:tcPr>
          <w:p>
            <w:pPr>
              <w:jc w:val="center"/>
            </w:pPr>
            <w:r>
              <w:rPr>
                <w:rFonts w:ascii="Calibri" w:hAnsi="Calibri"/>
                <w:b/>
                <w:i w:val="0"/>
                <w:color w:val="FFFFFF"/>
                <w:sz w:val="16"/>
              </w:rPr>
              <w:t>Autor</w:t>
            </w:r>
          </w:p>
        </w:tc>
        <w:tc>
          <w:tcPr>
            <w:tcW w:type="dxa" w:w="1176"/>
            <w:shd w:val="clear" w:color="auto" w:fill="1F4E79"/>
          </w:tcPr>
          <w:p>
            <w:pPr>
              <w:jc w:val="center"/>
            </w:pPr>
            <w:r>
              <w:rPr>
                <w:rFonts w:ascii="Calibri" w:hAnsi="Calibri"/>
                <w:b/>
                <w:i w:val="0"/>
                <w:color w:val="FFFFFF"/>
                <w:sz w:val="16"/>
              </w:rPr>
              <w:t>Título Artículo / Documento / Sitio Web</w:t>
            </w:r>
          </w:p>
        </w:tc>
        <w:tc>
          <w:tcPr>
            <w:tcW w:type="dxa" w:w="1176"/>
            <w:shd w:val="clear" w:color="auto" w:fill="1F4E79"/>
          </w:tcPr>
          <w:p>
            <w:pPr>
              <w:jc w:val="center"/>
            </w:pPr>
            <w:r>
              <w:rPr>
                <w:rFonts w:ascii="Calibri" w:hAnsi="Calibri"/>
                <w:b/>
                <w:i w:val="0"/>
                <w:color w:val="FFFFFF"/>
                <w:sz w:val="16"/>
              </w:rPr>
              <w:t>Año</w:t>
            </w:r>
          </w:p>
        </w:tc>
        <w:tc>
          <w:tcPr>
            <w:tcW w:type="dxa" w:w="1176"/>
            <w:shd w:val="clear" w:color="auto" w:fill="1F4E79"/>
          </w:tcPr>
          <w:p>
            <w:pPr>
              <w:jc w:val="center"/>
            </w:pPr>
            <w:r>
              <w:rPr>
                <w:rFonts w:ascii="Calibri" w:hAnsi="Calibri"/>
                <w:b/>
                <w:i w:val="0"/>
                <w:color w:val="FFFFFF"/>
                <w:sz w:val="16"/>
              </w:rPr>
              <w:t>Título e-Revista / e-Libro</w:t>
            </w:r>
          </w:p>
        </w:tc>
        <w:tc>
          <w:tcPr>
            <w:tcW w:type="dxa" w:w="1176"/>
            <w:shd w:val="clear" w:color="auto" w:fill="1F4E79"/>
          </w:tcPr>
          <w:p>
            <w:pPr>
              <w:jc w:val="center"/>
            </w:pPr>
            <w:r>
              <w:rPr>
                <w:rFonts w:ascii="Calibri" w:hAnsi="Calibri"/>
                <w:b/>
                <w:i w:val="0"/>
                <w:color w:val="FFFFFF"/>
                <w:sz w:val="16"/>
              </w:rPr>
              <w:t>Vol(Nº)</w:t>
            </w:r>
          </w:p>
        </w:tc>
        <w:tc>
          <w:tcPr>
            <w:tcW w:type="dxa" w:w="1176"/>
            <w:shd w:val="clear" w:color="auto" w:fill="1F4E79"/>
          </w:tcPr>
          <w:p>
            <w:pPr>
              <w:jc w:val="center"/>
            </w:pPr>
            <w:r>
              <w:rPr>
                <w:rFonts w:ascii="Calibri" w:hAnsi="Calibri"/>
                <w:b/>
                <w:i w:val="0"/>
                <w:color w:val="FFFFFF"/>
                <w:sz w:val="16"/>
              </w:rPr>
              <w:t>Dirección Electrónica (URL)</w:t>
            </w:r>
          </w:p>
        </w:tc>
        <w:tc>
          <w:tcPr>
            <w:tcW w:type="dxa" w:w="1176"/>
            <w:shd w:val="clear" w:color="auto" w:fill="1F4E79"/>
          </w:tcPr>
          <w:p>
            <w:pPr>
              <w:jc w:val="center"/>
            </w:pPr>
            <w:r>
              <w:rPr>
                <w:rFonts w:ascii="Calibri" w:hAnsi="Calibri"/>
                <w:b/>
                <w:i w:val="0"/>
                <w:color w:val="FFFFFF"/>
                <w:sz w:val="16"/>
              </w:rPr>
              <w:t>Disponible en</w:t>
            </w:r>
          </w:p>
        </w:tc>
      </w:tr>
      <w:tr>
        <w:tc>
          <w:tcPr>
            <w:tcW w:type="dxa" w:w="1176"/>
          </w:tcPr>
          <w:p>
            <w:pPr>
              <w:jc w:val="left"/>
            </w:pPr>
            <w:r>
              <w:rPr>
                <w:rFonts w:ascii="Calibri" w:hAnsi="Calibri"/>
                <w:b w:val="0"/>
                <w:i w:val="0"/>
                <w:sz w:val="16"/>
              </w:rPr>
              <w:t>Libro electrónico</w:t>
            </w:r>
          </w:p>
        </w:tc>
        <w:tc>
          <w:tcPr>
            <w:tcW w:type="dxa" w:w="1176"/>
          </w:tcPr>
          <w:p>
            <w:pPr>
              <w:jc w:val="left"/>
            </w:pPr>
            <w:r>
              <w:rPr>
                <w:rFonts w:ascii="Calibri" w:hAnsi="Calibri"/>
                <w:b w:val="0"/>
                <w:i w:val="0"/>
                <w:sz w:val="16"/>
              </w:rPr>
              <w:t>Montes, Soledad Navarro,</w:t>
              <w:br/>
              <w:t>Federico</w:t>
            </w:r>
          </w:p>
        </w:tc>
        <w:tc>
          <w:tcPr>
            <w:tcW w:type="dxa" w:w="1176"/>
          </w:tcPr>
          <w:p>
            <w:pPr>
              <w:jc w:val="left"/>
            </w:pPr>
            <w:r>
              <w:rPr>
                <w:rFonts w:ascii="Calibri" w:hAnsi="Calibri"/>
                <w:b w:val="0"/>
                <w:i w:val="0"/>
                <w:sz w:val="16"/>
              </w:rPr>
              <w:t>Hablar, persuadir, aprender: manual para</w:t>
              <w:br/>
              <w:t>la comunicación oral en contextos</w:t>
              <w:br/>
              <w:t>académicos</w:t>
            </w:r>
          </w:p>
        </w:tc>
        <w:tc>
          <w:tcPr>
            <w:tcW w:type="dxa" w:w="1176"/>
          </w:tcPr>
          <w:p>
            <w:pPr>
              <w:jc w:val="left"/>
            </w:pPr>
            <w:r>
              <w:rPr>
                <w:rFonts w:ascii="Calibri" w:hAnsi="Calibri"/>
                <w:b w:val="0"/>
                <w:i w:val="0"/>
                <w:sz w:val="16"/>
              </w:rPr>
              <w:t>2019</w:t>
            </w:r>
          </w:p>
        </w:tc>
        <w:tc>
          <w:tcPr>
            <w:tcW w:type="dxa" w:w="1176"/>
          </w:tcPr>
          <w:p>
            <w:pPr>
              <w:jc w:val="left"/>
            </w:pPr>
            <w:r>
              <w:rPr>
                <w:rFonts w:ascii="Calibri" w:hAnsi="Calibri"/>
                <w:b w:val="0"/>
                <w:i w:val="0"/>
                <w:sz w:val="16"/>
              </w:rPr>
              <w:t>Universidad de Chile</w:t>
            </w:r>
          </w:p>
        </w:tc>
        <w:tc>
          <w:tcPr>
            <w:tcW w:type="dxa" w:w="1176"/>
          </w:tcPr>
          <w:p>
            <w:pPr>
              <w:jc w:val="left"/>
            </w:pPr>
            <w:r>
              <w:rPr>
                <w:rFonts w:ascii="Calibri" w:hAnsi="Calibri"/>
                <w:b w:val="0"/>
                <w:i w:val="0"/>
                <w:sz w:val="16"/>
              </w:rPr>
              <w:t>1</w:t>
            </w:r>
          </w:p>
        </w:tc>
        <w:tc>
          <w:tcPr>
            <w:tcW w:type="dxa" w:w="1176"/>
          </w:tcPr>
          <w:p>
            <w:pPr>
              <w:jc w:val="left"/>
            </w:pPr>
            <w:r>
              <w:rPr>
                <w:rFonts w:ascii="Calibri" w:hAnsi="Calibri"/>
                <w:b w:val="0"/>
                <w:i w:val="0"/>
                <w:sz w:val="16"/>
              </w:rPr>
              <w:t>https://libros.uchile.cl/1060</w:t>
            </w:r>
          </w:p>
        </w:tc>
        <w:tc>
          <w:tcPr>
            <w:tcW w:type="dxa" w:w="1176"/>
          </w:tcPr>
          <w:p>
            <w:pPr>
              <w:jc w:val="left"/>
            </w:pPr>
            <w:r>
              <w:rPr>
                <w:rFonts w:ascii="Calibri" w:hAnsi="Calibri"/>
                <w:b w:val="0"/>
                <w:i w:val="0"/>
                <w:sz w:val="16"/>
              </w:rPr>
            </w:r>
          </w:p>
        </w:tc>
      </w:tr>
    </w:tbl>
    <w:p/>
    <w:p>
      <w:r>
        <w:rPr>
          <w:rFonts w:ascii="Calibri" w:hAnsi="Calibri"/>
          <w:b/>
          <w:color w:val="1F4E79"/>
          <w:sz w:val="20"/>
        </w:rPr>
        <w:t>OTROS RECURSOS:</w:t>
      </w:r>
    </w:p>
    <w:p>
      <w:r>
        <w:rPr>
          <w:rFonts w:ascii="Calibri" w:hAnsi="Calibri"/>
          <w:sz w:val="20"/>
        </w:rPr>
        <w:t>Material Didáctico de Apoyo a la Docencia</w:t>
        <w:br/>
        <w:t>Material audiovisual complementario</w:t>
      </w:r>
    </w:p>
    <w:p/>
    <w:p>
      <w:r>
        <w:rPr>
          <w:rFonts w:ascii="Calibri" w:hAnsi="Calibri"/>
          <w:b/>
          <w:color w:val="1F4E79"/>
          <w:sz w:val="20"/>
        </w:rPr>
        <w:t>DATOS ACTUALIZACIÓN:</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Pr>
                <w:rFonts w:ascii="Calibri" w:hAnsi="Calibri"/>
                <w:b/>
                <w:i w:val="0"/>
                <w:sz w:val="18"/>
              </w:rPr>
              <w:t>Responsable(s) del programa:</w:t>
            </w:r>
          </w:p>
        </w:tc>
        <w:tc>
          <w:tcPr>
            <w:tcW w:type="dxa" w:w="4703"/>
          </w:tcPr>
          <w:p>
            <w:pPr>
              <w:jc w:val="left"/>
            </w:pPr>
            <w:r>
              <w:rPr>
                <w:rFonts w:ascii="Calibri" w:hAnsi="Calibri"/>
                <w:b w:val="0"/>
                <w:i w:val="0"/>
                <w:sz w:val="18"/>
              </w:rPr>
              <w:t>Coordinadora CFG111</w:t>
            </w:r>
          </w:p>
        </w:tc>
      </w:tr>
      <w:tr>
        <w:tc>
          <w:tcPr>
            <w:tcW w:type="dxa" w:w="4703"/>
          </w:tcPr>
          <w:p>
            <w:pPr>
              <w:jc w:val="left"/>
            </w:pPr>
            <w:r>
              <w:rPr>
                <w:rFonts w:ascii="Calibri" w:hAnsi="Calibri"/>
                <w:b/>
                <w:i w:val="0"/>
                <w:sz w:val="18"/>
              </w:rPr>
              <w:t>Docente(s) a cargo:</w:t>
            </w:r>
          </w:p>
        </w:tc>
        <w:tc>
          <w:tcPr>
            <w:tcW w:type="dxa" w:w="4703"/>
          </w:tcPr>
          <w:p>
            <w:pPr>
              <w:jc w:val="left"/>
            </w:pPr>
            <w:r>
              <w:rPr>
                <w:rFonts w:ascii="Calibri" w:hAnsi="Calibri"/>
                <w:b w:val="0"/>
                <w:i w:val="0"/>
                <w:sz w:val="18"/>
              </w:rPr>
            </w:r>
          </w:p>
        </w:tc>
      </w:tr>
      <w:tr>
        <w:tc>
          <w:tcPr>
            <w:tcW w:type="dxa" w:w="4703"/>
          </w:tcPr>
          <w:p>
            <w:pPr>
              <w:jc w:val="left"/>
            </w:pPr>
            <w:r>
              <w:rPr>
                <w:rFonts w:ascii="Calibri" w:hAnsi="Calibri"/>
                <w:b/>
                <w:i w:val="0"/>
                <w:sz w:val="18"/>
              </w:rPr>
              <w:t>Versión / Fecha de Actualización:</w:t>
            </w:r>
          </w:p>
        </w:tc>
        <w:tc>
          <w:tcPr>
            <w:tcW w:type="dxa" w:w="4703"/>
          </w:tcPr>
          <w:p>
            <w:pPr>
              <w:jc w:val="left"/>
            </w:pPr>
            <w:r>
              <w:rPr>
                <w:rFonts w:ascii="Calibri" w:hAnsi="Calibri"/>
                <w:b w:val="0"/>
                <w:i w:val="0"/>
                <w:sz w:val="18"/>
              </w:rPr>
              <w:t>V 2.2 2026</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