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703"/>
        <w:gridCol w:w="4703"/>
      </w:tblGrid>
      <w:tr>
        <w:tc>
          <w:tcPr>
            <w:tcW w:type="dxa" w:w="2268"/>
            <w:shd w:val="clear" w:color="auto" w:fill="1F4E79"/>
          </w:tcPr>
          <w:p>
            <w:pPr>
              <w:jc w:val="center"/>
            </w:pPr>
            <w:r>
              <w:drawing>
                <wp:inline xmlns:a="http://schemas.openxmlformats.org/drawingml/2006/main" xmlns:pic="http://schemas.openxmlformats.org/drawingml/2006/picture">
                  <wp:extent cx="1080000" cy="601727"/>
                  <wp:docPr id="1" name="Picture 1"/>
                  <wp:cNvGraphicFramePr>
                    <a:graphicFrameLocks noChangeAspect="1"/>
                  </wp:cNvGraphicFramePr>
                  <a:graphic>
                    <a:graphicData uri="http://schemas.openxmlformats.org/drawingml/2006/picture">
                      <pic:pic>
                        <pic:nvPicPr>
                          <pic:cNvPr id="0" name="logo_uv.jpg"/>
                          <pic:cNvPicPr/>
                        </pic:nvPicPr>
                        <pic:blipFill>
                          <a:blip r:embed="rId9"/>
                          <a:stretch>
                            <a:fillRect/>
                          </a:stretch>
                        </pic:blipFill>
                        <pic:spPr>
                          <a:xfrm>
                            <a:off x="0" y="0"/>
                            <a:ext cx="1080000" cy="601727"/>
                          </a:xfrm>
                          <a:prstGeom prst="rect"/>
                        </pic:spPr>
                      </pic:pic>
                    </a:graphicData>
                  </a:graphic>
                </wp:inline>
              </w:drawing>
            </w:r>
          </w:p>
        </w:tc>
        <w:tc>
          <w:tcPr>
            <w:tcW w:type="dxa" w:w="4703"/>
            <w:shd w:val="clear" w:color="auto" w:fill="1F4E79"/>
          </w:tcPr>
          <w:p>
            <w:pPr>
              <w:jc w:val="center"/>
            </w:pPr>
            <w:r>
              <w:rPr>
                <w:rFonts w:ascii="Calibri" w:hAnsi="Calibri"/>
                <w:b/>
                <w:i w:val="0"/>
                <w:color w:val="FFFFFF"/>
                <w:sz w:val="28"/>
              </w:rPr>
              <w:t>PROGRAMA DE ASIGNATURA UV</w:t>
            </w:r>
          </w:p>
        </w:tc>
      </w:tr>
    </w:tbl>
    <w:p/>
    <w:p/>
    <w:tbl>
      <w:tblPr>
        <w:tblStyle w:val="TableGrid"/>
        <w:tblW w:type="auto" w:w="0"/>
        <w:tblLook w:firstColumn="1" w:firstRow="1" w:lastColumn="0" w:lastRow="0" w:noHBand="0" w:noVBand="1" w:val="04A0"/>
      </w:tblPr>
      <w:tblGrid>
        <w:gridCol w:w="9406"/>
      </w:tblGrid>
      <w:tr>
        <w:tc>
          <w:tcPr>
            <w:tcW w:type="dxa" w:w="9406"/>
            <w:shd w:val="clear" w:color="auto" w:fill="1F4E79"/>
          </w:tcPr>
          <w:p>
            <w:r>
              <w:rPr>
                <w:rFonts w:ascii="Calibri" w:hAnsi="Calibri"/>
                <w:b/>
                <w:color w:val="FFFFFF"/>
                <w:sz w:val="24"/>
              </w:rPr>
              <w:t>DESCRIPCIÓN GENERAL DE LA ASIGNATURA</w:t>
            </w:r>
          </w:p>
        </w:tc>
      </w:tr>
    </w:tbl>
    <w:p/>
    <w:p>
      <w:r>
        <w:rPr>
          <w:rFonts w:ascii="Calibri" w:hAnsi="Calibri"/>
          <w:b/>
          <w:color w:val="1F4E79"/>
          <w:sz w:val="20"/>
        </w:rPr>
        <w:t>IDENTIFICACIÓN DE LA ASIGNATURA:</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pPr>
              <w:jc w:val="left"/>
            </w:pPr>
            <w:r>
              <w:rPr>
                <w:rFonts w:ascii="Calibri" w:hAnsi="Calibri"/>
                <w:b/>
                <w:i w:val="0"/>
                <w:sz w:val="18"/>
              </w:rPr>
              <w:t>Facultad:</w:t>
            </w:r>
          </w:p>
        </w:tc>
        <w:tc>
          <w:tcPr>
            <w:tcW w:type="dxa" w:w="3136"/>
            <w:gridSpan w:val="2"/>
          </w:tcPr>
          <w:p>
            <w:pPr>
              <w:jc w:val="left"/>
            </w:pPr>
            <w:r>
              <w:rPr>
                <w:rFonts w:ascii="Calibri" w:hAnsi="Calibri"/>
                <w:b w:val="0"/>
                <w:i w:val="0"/>
                <w:sz w:val="18"/>
              </w:rPr>
              <w:t>Ingeniería</w:t>
            </w:r>
          </w:p>
        </w:tc>
        <w:tc>
          <w:tcPr>
            <w:tcW w:type="dxa" w:w="1568"/>
          </w:tcPr>
          <w:p>
            <w:pPr>
              <w:jc w:val="left"/>
            </w:pPr>
            <w:r>
              <w:rPr>
                <w:rFonts w:ascii="Calibri" w:hAnsi="Calibri"/>
                <w:b/>
                <w:i w:val="0"/>
                <w:sz w:val="18"/>
              </w:rPr>
              <w:t>Carrera:</w:t>
            </w:r>
          </w:p>
        </w:tc>
        <w:tc>
          <w:tcPr>
            <w:tcW w:type="dxa" w:w="3136"/>
            <w:gridSpan w:val="2"/>
          </w:tcPr>
          <w:p>
            <w:pPr>
              <w:jc w:val="left"/>
            </w:pPr>
            <w:r>
              <w:rPr>
                <w:rFonts w:ascii="Calibri" w:hAnsi="Calibri"/>
                <w:b w:val="0"/>
                <w:i w:val="0"/>
                <w:sz w:val="18"/>
              </w:rPr>
              <w:t>Ingeniería Civil Biomédica</w:t>
              <w:br/>
              <w:t>Ingeniería Civil Ambiental</w:t>
              <w:br/>
              <w:t>Ingeniería Civil Informática</w:t>
              <w:br/>
              <w:t xml:space="preserve">Ingeniería Civil Industrial </w:t>
              <w:br/>
              <w:t>Ingeniería Civil Oceánica</w:t>
              <w:br/>
              <w:t xml:space="preserve">Ingeniería Civil </w:t>
              <w:br/>
              <w:t>Ingeniería Civil Matemática</w:t>
            </w:r>
          </w:p>
        </w:tc>
      </w:tr>
      <w:tr>
        <w:tc>
          <w:tcPr>
            <w:tcW w:type="dxa" w:w="1568"/>
          </w:tcPr>
          <w:p>
            <w:pPr>
              <w:jc w:val="left"/>
            </w:pPr>
            <w:r>
              <w:rPr>
                <w:rFonts w:ascii="Calibri" w:hAnsi="Calibri"/>
                <w:b/>
                <w:i w:val="0"/>
                <w:sz w:val="18"/>
              </w:rPr>
              <w:t>Nombre:</w:t>
            </w:r>
          </w:p>
        </w:tc>
        <w:tc>
          <w:tcPr>
            <w:tcW w:type="dxa" w:w="3136"/>
            <w:gridSpan w:val="2"/>
          </w:tcPr>
          <w:p>
            <w:pPr>
              <w:jc w:val="left"/>
            </w:pPr>
            <w:r>
              <w:rPr>
                <w:rFonts w:ascii="Calibri" w:hAnsi="Calibri"/>
                <w:b w:val="0"/>
                <w:i w:val="0"/>
                <w:sz w:val="18"/>
              </w:rPr>
              <w:t>Física Mecánica</w:t>
            </w:r>
          </w:p>
        </w:tc>
        <w:tc>
          <w:tcPr>
            <w:tcW w:type="dxa" w:w="1568"/>
          </w:tcPr>
          <w:p>
            <w:pPr>
              <w:jc w:val="left"/>
            </w:pPr>
            <w:r>
              <w:rPr>
                <w:rFonts w:ascii="Calibri" w:hAnsi="Calibri"/>
                <w:b/>
                <w:i w:val="0"/>
                <w:sz w:val="18"/>
              </w:rPr>
              <w:t>Código:</w:t>
            </w:r>
          </w:p>
        </w:tc>
        <w:tc>
          <w:tcPr>
            <w:tcW w:type="dxa" w:w="3136"/>
            <w:gridSpan w:val="2"/>
          </w:tcPr>
          <w:p>
            <w:pPr>
              <w:jc w:val="left"/>
            </w:pPr>
            <w:r>
              <w:rPr>
                <w:rFonts w:ascii="Calibri" w:hAnsi="Calibri"/>
                <w:b w:val="0"/>
                <w:i w:val="0"/>
                <w:sz w:val="18"/>
              </w:rPr>
              <w:t>FIS 211</w:t>
            </w:r>
          </w:p>
        </w:tc>
      </w:tr>
      <w:tr>
        <w:tc>
          <w:tcPr>
            <w:tcW w:type="dxa" w:w="1568"/>
          </w:tcPr>
          <w:p>
            <w:pPr>
              <w:jc w:val="left"/>
            </w:pPr>
            <w:r>
              <w:rPr>
                <w:rFonts w:ascii="Calibri" w:hAnsi="Calibri"/>
                <w:b/>
                <w:i w:val="0"/>
                <w:sz w:val="18"/>
              </w:rPr>
              <w:t>Nivel:</w:t>
            </w:r>
          </w:p>
        </w:tc>
        <w:tc>
          <w:tcPr>
            <w:tcW w:type="dxa" w:w="3136"/>
            <w:gridSpan w:val="2"/>
          </w:tcPr>
          <w:p>
            <w:pPr>
              <w:jc w:val="left"/>
            </w:pPr>
            <w:r>
              <w:rPr>
                <w:rFonts w:ascii="Calibri" w:hAnsi="Calibri"/>
                <w:b w:val="0"/>
                <w:i w:val="0"/>
                <w:sz w:val="18"/>
              </w:rPr>
              <w:t>III Semestre del 1° Ciclo</w:t>
            </w:r>
          </w:p>
        </w:tc>
        <w:tc>
          <w:tcPr>
            <w:tcW w:type="dxa" w:w="1568"/>
          </w:tcPr>
          <w:p>
            <w:pPr>
              <w:jc w:val="left"/>
            </w:pPr>
            <w:r>
              <w:rPr>
                <w:rFonts w:ascii="Calibri" w:hAnsi="Calibri"/>
                <w:b/>
                <w:i w:val="0"/>
                <w:sz w:val="18"/>
              </w:rPr>
              <w:t>Duración:</w:t>
            </w:r>
          </w:p>
        </w:tc>
        <w:tc>
          <w:tcPr>
            <w:tcW w:type="dxa" w:w="3136"/>
            <w:gridSpan w:val="2"/>
          </w:tcPr>
          <w:p>
            <w:pPr>
              <w:jc w:val="left"/>
            </w:pPr>
            <w:r>
              <w:rPr>
                <w:rFonts w:ascii="Calibri" w:hAnsi="Calibri"/>
                <w:b w:val="0"/>
                <w:i w:val="0"/>
                <w:sz w:val="18"/>
              </w:rPr>
              <w:t>Semestral</w:t>
            </w:r>
          </w:p>
        </w:tc>
      </w:tr>
      <w:tr>
        <w:tc>
          <w:tcPr>
            <w:tcW w:type="dxa" w:w="1568"/>
          </w:tcPr>
          <w:p>
            <w:pPr>
              <w:jc w:val="left"/>
            </w:pPr>
            <w:r>
              <w:rPr>
                <w:rFonts w:ascii="Calibri" w:hAnsi="Calibri"/>
                <w:b/>
                <w:i w:val="0"/>
                <w:sz w:val="18"/>
              </w:rPr>
              <w:t>Requisito(s):</w:t>
            </w:r>
          </w:p>
        </w:tc>
        <w:tc>
          <w:tcPr>
            <w:tcW w:type="dxa" w:w="7840"/>
            <w:gridSpan w:val="5"/>
          </w:tcPr>
          <w:p>
            <w:pPr>
              <w:jc w:val="left"/>
            </w:pPr>
            <w:r>
              <w:rPr>
                <w:rFonts w:ascii="Calibri" w:hAnsi="Calibri"/>
                <w:b w:val="0"/>
                <w:i w:val="0"/>
                <w:sz w:val="18"/>
              </w:rPr>
              <w:t>Cálculo Diferencial (MAT 121)</w:t>
              <w:br/>
              <w:t>Fundamentos de Física (FIS 111)</w:t>
            </w:r>
          </w:p>
        </w:tc>
      </w:tr>
      <w:tr>
        <w:tc>
          <w:tcPr>
            <w:tcW w:type="dxa" w:w="4704"/>
            <w:gridSpan w:val="3"/>
          </w:tcPr>
          <w:p>
            <w:pPr>
              <w:jc w:val="center"/>
            </w:pPr>
            <w:r>
              <w:rPr>
                <w:rFonts w:ascii="Calibri" w:hAnsi="Calibri"/>
                <w:b/>
                <w:i w:val="0"/>
                <w:sz w:val="16"/>
              </w:rPr>
              <w:t>Horas cronológicas semanales</w:t>
            </w:r>
          </w:p>
          <w:p>
            <w:pPr>
              <w:jc w:val="center"/>
            </w:pPr>
            <w:r>
              <w:rPr>
                <w:rFonts w:ascii="Calibri" w:hAnsi="Calibri"/>
                <w:b/>
                <w:i w:val="0"/>
                <w:sz w:val="16"/>
              </w:rPr>
            </w:r>
          </w:p>
          <w:p>
            <w:pPr>
              <w:jc w:val="center"/>
            </w:pPr>
            <w:r>
              <w:rPr>
                <w:rFonts w:ascii="Calibri" w:hAnsi="Calibri"/>
                <w:b/>
                <w:i w:val="0"/>
                <w:sz w:val="16"/>
              </w:rPr>
            </w:r>
          </w:p>
        </w:tc>
        <w:tc>
          <w:tcPr>
            <w:tcW w:type="dxa" w:w="1568"/>
          </w:tcPr>
          <w:p>
            <w:pPr>
              <w:jc w:val="center"/>
            </w:pPr>
            <w:r>
              <w:rPr>
                <w:rFonts w:ascii="Calibri" w:hAnsi="Calibri"/>
                <w:b/>
                <w:i w:val="0"/>
                <w:sz w:val="16"/>
              </w:rPr>
              <w:t>N° de semanas</w:t>
            </w:r>
          </w:p>
        </w:tc>
        <w:tc>
          <w:tcPr>
            <w:tcW w:type="dxa" w:w="1568"/>
          </w:tcPr>
          <w:p>
            <w:pPr>
              <w:jc w:val="center"/>
            </w:pPr>
            <w:r>
              <w:rPr>
                <w:rFonts w:ascii="Calibri" w:hAnsi="Calibri"/>
                <w:b/>
                <w:i w:val="0"/>
                <w:sz w:val="16"/>
              </w:rPr>
              <w:t>Total horas semestrales</w:t>
            </w:r>
          </w:p>
        </w:tc>
        <w:tc>
          <w:tcPr>
            <w:tcW w:type="dxa" w:w="1568"/>
          </w:tcPr>
          <w:p>
            <w:pPr>
              <w:jc w:val="center"/>
            </w:pPr>
            <w:r>
              <w:rPr>
                <w:rFonts w:ascii="Calibri" w:hAnsi="Calibri"/>
                <w:b/>
                <w:i w:val="0"/>
                <w:sz w:val="16"/>
              </w:rPr>
              <w:t>N° de créditos</w:t>
            </w:r>
          </w:p>
        </w:tc>
      </w:tr>
      <w:tr>
        <w:tc>
          <w:tcPr>
            <w:tcW w:type="dxa" w:w="1568"/>
          </w:tcPr>
          <w:p>
            <w:pPr>
              <w:jc w:val="center"/>
            </w:pPr>
            <w:r>
              <w:rPr>
                <w:rFonts w:ascii="Calibri" w:hAnsi="Calibri"/>
                <w:b/>
                <w:i w:val="0"/>
                <w:sz w:val="16"/>
              </w:rPr>
              <w:t>Docencia Directa</w:t>
              <w:br/>
              <w:t>(A)</w:t>
            </w:r>
          </w:p>
        </w:tc>
        <w:tc>
          <w:tcPr>
            <w:tcW w:type="dxa" w:w="1568"/>
          </w:tcPr>
          <w:p>
            <w:pPr>
              <w:jc w:val="center"/>
            </w:pPr>
            <w:r>
              <w:rPr>
                <w:rFonts w:ascii="Calibri" w:hAnsi="Calibri"/>
                <w:b/>
                <w:i w:val="0"/>
                <w:sz w:val="16"/>
              </w:rPr>
              <w:t>Trabajo Autónomo</w:t>
              <w:br/>
              <w:t>(B)</w:t>
            </w:r>
          </w:p>
        </w:tc>
        <w:tc>
          <w:tcPr>
            <w:tcW w:type="dxa" w:w="1568"/>
          </w:tcPr>
          <w:p>
            <w:pPr>
              <w:jc w:val="center"/>
            </w:pPr>
            <w:r>
              <w:rPr>
                <w:rFonts w:ascii="Calibri" w:hAnsi="Calibri"/>
                <w:b/>
                <w:i w:val="0"/>
                <w:sz w:val="16"/>
              </w:rPr>
              <w:t>Total</w:t>
              <w:br/>
              <w:t>(C=A+B)</w:t>
            </w:r>
          </w:p>
        </w:tc>
        <w:tc>
          <w:tcPr>
            <w:tcW w:type="dxa" w:w="1568"/>
          </w:tcPr>
          <w:p>
            <w:pPr>
              <w:jc w:val="center"/>
            </w:pPr>
            <w:r>
              <w:rPr>
                <w:rFonts w:ascii="Calibri" w:hAnsi="Calibri"/>
                <w:b/>
                <w:i w:val="0"/>
                <w:sz w:val="16"/>
              </w:rPr>
              <w:t>N° de semanas</w:t>
              <w:br/>
              <w:t>(D)</w:t>
            </w:r>
          </w:p>
        </w:tc>
        <w:tc>
          <w:tcPr>
            <w:tcW w:type="dxa" w:w="1568"/>
          </w:tcPr>
          <w:p>
            <w:pPr>
              <w:jc w:val="center"/>
            </w:pPr>
            <w:r>
              <w:rPr>
                <w:rFonts w:ascii="Calibri" w:hAnsi="Calibri"/>
                <w:b/>
                <w:i w:val="0"/>
                <w:sz w:val="16"/>
              </w:rPr>
              <w:t>Total horas</w:t>
              <w:br/>
              <w:t>(E=C*D)</w:t>
            </w:r>
          </w:p>
        </w:tc>
        <w:tc>
          <w:tcPr>
            <w:tcW w:type="dxa" w:w="1568"/>
          </w:tcPr>
          <w:p>
            <w:pPr>
              <w:jc w:val="center"/>
            </w:pPr>
            <w:r>
              <w:rPr>
                <w:rFonts w:ascii="Calibri" w:hAnsi="Calibri"/>
                <w:b/>
                <w:i w:val="0"/>
                <w:sz w:val="16"/>
              </w:rPr>
              <w:t>N° créditos</w:t>
              <w:br/>
              <w:t>(F=E/27)</w:t>
            </w:r>
          </w:p>
        </w:tc>
      </w:tr>
      <w:tr>
        <w:tc>
          <w:tcPr>
            <w:tcW w:type="dxa" w:w="1568"/>
          </w:tcPr>
          <w:p>
            <w:pPr>
              <w:jc w:val="center"/>
            </w:pPr>
            <w:r>
              <w:rPr>
                <w:rFonts w:ascii="Calibri" w:hAnsi="Calibri"/>
                <w:b w:val="0"/>
                <w:i w:val="0"/>
                <w:sz w:val="18"/>
              </w:rPr>
              <w:t>5,25</w:t>
            </w:r>
          </w:p>
        </w:tc>
        <w:tc>
          <w:tcPr>
            <w:tcW w:type="dxa" w:w="1568"/>
          </w:tcPr>
          <w:p>
            <w:pPr>
              <w:jc w:val="center"/>
            </w:pPr>
            <w:r>
              <w:rPr>
                <w:rFonts w:ascii="Calibri" w:hAnsi="Calibri"/>
                <w:b w:val="0"/>
                <w:i w:val="0"/>
                <w:sz w:val="18"/>
              </w:rPr>
              <w:t>3,75</w:t>
            </w:r>
          </w:p>
        </w:tc>
        <w:tc>
          <w:tcPr>
            <w:tcW w:type="dxa" w:w="1568"/>
          </w:tcPr>
          <w:p>
            <w:pPr>
              <w:jc w:val="center"/>
            </w:pPr>
            <w:r>
              <w:rPr>
                <w:rFonts w:ascii="Calibri" w:hAnsi="Calibri"/>
                <w:b w:val="0"/>
                <w:i w:val="0"/>
                <w:sz w:val="18"/>
              </w:rPr>
              <w:t>9,0</w:t>
            </w:r>
          </w:p>
        </w:tc>
        <w:tc>
          <w:tcPr>
            <w:tcW w:type="dxa" w:w="1568"/>
          </w:tcPr>
          <w:p>
            <w:pPr>
              <w:jc w:val="center"/>
            </w:pPr>
            <w:r>
              <w:rPr>
                <w:rFonts w:ascii="Calibri" w:hAnsi="Calibri"/>
                <w:b w:val="0"/>
                <w:i w:val="0"/>
                <w:sz w:val="18"/>
              </w:rPr>
              <w:t>18</w:t>
            </w:r>
          </w:p>
        </w:tc>
        <w:tc>
          <w:tcPr>
            <w:tcW w:type="dxa" w:w="1568"/>
          </w:tcPr>
          <w:p>
            <w:pPr>
              <w:jc w:val="center"/>
            </w:pPr>
            <w:r>
              <w:rPr>
                <w:rFonts w:ascii="Calibri" w:hAnsi="Calibri"/>
                <w:b w:val="0"/>
                <w:i w:val="0"/>
                <w:sz w:val="18"/>
              </w:rPr>
              <w:t>162</w:t>
            </w:r>
          </w:p>
        </w:tc>
        <w:tc>
          <w:tcPr>
            <w:tcW w:type="dxa" w:w="1568"/>
          </w:tcPr>
          <w:p>
            <w:pPr>
              <w:jc w:val="center"/>
            </w:pPr>
            <w:r>
              <w:rPr>
                <w:rFonts w:ascii="Calibri" w:hAnsi="Calibri"/>
                <w:b w:val="0"/>
                <w:i w:val="0"/>
                <w:sz w:val="18"/>
              </w:rPr>
              <w:t>6</w:t>
            </w:r>
          </w:p>
        </w:tc>
      </w:tr>
    </w:tbl>
    <w:p/>
    <w:p>
      <w:r>
        <w:rPr>
          <w:rFonts w:ascii="Calibri" w:hAnsi="Calibri"/>
          <w:b/>
          <w:color w:val="1F4E79"/>
          <w:sz w:val="20"/>
        </w:rPr>
        <w:t>DESCRIPCIÓN DE LA ASIGNATURA:</w:t>
      </w:r>
    </w:p>
    <w:tbl>
      <w:tblPr>
        <w:tblStyle w:val="TableGrid"/>
        <w:tblW w:type="auto" w:w="0"/>
        <w:tblLook w:firstColumn="1" w:firstRow="1" w:lastColumn="0" w:lastRow="0" w:noHBand="0" w:noVBand="1" w:val="04A0"/>
      </w:tblPr>
      <w:tblGrid>
        <w:gridCol w:w="9406"/>
      </w:tblGrid>
      <w:tr>
        <w:tc>
          <w:tcPr>
            <w:tcW w:type="dxa" w:w="9406"/>
          </w:tcPr>
          <w:p>
            <w:r>
              <w:rPr>
                <w:rFonts w:ascii="Calibri" w:hAnsi="Calibri"/>
                <w:sz w:val="20"/>
              </w:rPr>
              <w:t xml:space="preserve">La asignatura Física Mecánica se encuentra adscrita al primer nivel de dominio del plan curricular, correspondiente al área de Ciencias Básicas y se imparte en el III semestre del Plan de Estudios de las Carreras de Ingeniería Civil Biomédica, Ingeniería Civil Ambiental, Ingeniería Civil Informática, Ingeniería Civil Industrial, Ingeniería Civil Oceánica, Ingeniería Civil e Ingeniería Civil Matemática. </w:t>
              <w:br/>
              <w:t>Su modalidad de enseñanza es presencial con clases teóricas de cátedra, y prácticas de Laboratorio, dirigido a desarrollar y poner en práctica los tópicos vistos en las clases, para reforzar y potenciar los conceptos teóricos, acompañando al estudiante en forma individual o grupal para hacer el seguimiento de su trabajo.</w:t>
              <w:br/>
              <w:t>Esta asignatura es una parte fundamental de la física que se enfoca en los principios fundamentales que gobiernan el movimiento y la interacción de objetos en el espacio tridimensional. A lo largo de este curso, explorarán una amplia gama de conceptos relacionados con el movimiento, las fuerzas y la energía.</w:t>
              <w:br/>
              <w:t>Este curso proporcionará a los estudiantes una base sólida en los principios fundamentales de la mecánica, lo que les permitirá abordar una amplia variedad de problemas relacionados con el movimiento y las fuerzas en el mundo real.</w:t>
              <w:br/>
              <w:t>Esta asignatura aporta al perfil de Licenciatura a través de resultados de aprendizaje que tributan a las siguientes competencias específicas de licenciatura en el primer nivel de dominio:</w:t>
              <w:br/>
              <w:br/>
              <w:t xml:space="preserve"> Competencia de Licenciatura:</w:t>
              <w:br/>
              <w:br/>
              <w:t>CL1. Resuelve problemas de ciencias de la Ingeniería mediante la generación, análisis e interpretación de información incorporando los aspectos sociales, económicos, ambientales y de innovación.</w:t>
              <w:br/>
              <w:t>ND1. Aplica el pensamiento lógico matemático para resolver problemas de nivel inicial usando técnicas de las ciencias básicas en el ámbito de la ingeniería.</w:t>
              <w:br/>
              <w:t>Esta asignatura aporta al logro del perfil de egreso y licenciatura a través de indicadores de desempeño que tributan a las siguientes competencias genéricas en su primer nivel de desempeño:</w:t>
              <w:br/>
              <w:br/>
              <w:t>Competencia Genérica:</w:t>
              <w:br/>
              <w:t>C.G. SELLO UV N°2: Colabora en equipos multidisciplinarios asumiendo diversos roles, liderando tareas y soluciones en entornos complejos en pos de un objetivo común.</w:t>
              <w:br/>
              <w:br/>
              <w:t>CG2, N1: Integra equipos activamente, ejecutando tareas académicas con responsabilidad y oportunidad, para el abordaje y resolución colaborativa de problemáticas y desafíos propios de la vida universitaria.</w:t>
              <w:br/>
              <w:t>C.G. SELLO UV N°4: Maneja habilidades comunicativas orales, escritas e interpersonales, para el desempeño eficaz en contextos laborales nacionales e internacionales.</w:t>
              <w:br/>
              <w:br/>
              <w:t>CG4, N1: Utiliza herramientas de expresión oral y escrita para la comunicación efectiva de sus ideas, opiniones y emociones en contextos académicos.</w:t>
            </w:r>
          </w:p>
        </w:tc>
      </w:tr>
    </w:tbl>
    <w:p/>
    <w:p>
      <w:r>
        <w:rPr>
          <w:rFonts w:ascii="Calibri" w:hAnsi="Calibri"/>
          <w:b/>
          <w:color w:val="1F4E79"/>
          <w:sz w:val="20"/>
        </w:rPr>
        <w:t>APORTE AL PERFIL DE EGRESO:</w:t>
      </w:r>
    </w:p>
    <w:tbl>
      <w:tblPr>
        <w:tblStyle w:val="TableGrid"/>
        <w:tblW w:type="auto" w:w="0"/>
        <w:jc w:val="left"/>
        <w:tblLook w:firstColumn="1" w:firstRow="1" w:lastColumn="0" w:lastRow="0" w:noHBand="0" w:noVBand="1" w:val="04A0"/>
      </w:tblPr>
      <w:tblGrid>
        <w:gridCol w:w="9406"/>
      </w:tblGrid>
      <w:tr>
        <w:tc>
          <w:tcPr>
            <w:tcW w:type="dxa" w:w="9406"/>
          </w:tcPr>
          <w:p>
            <w:pPr>
              <w:spacing w:before="40" w:after="40"/>
            </w:pPr>
            <w:r>
              <w:rPr>
                <w:rFonts w:ascii="Calibri" w:hAnsi="Calibri"/>
                <w:b/>
                <w:sz w:val="20"/>
                <w:u w:val="none"/>
              </w:rPr>
              <w:t xml:space="preserve">✓  </w:t>
            </w:r>
            <w:r>
              <w:rPr>
                <w:rFonts w:ascii="Calibri" w:hAnsi="Calibri"/>
                <w:b w:val="0"/>
                <w:sz w:val="20"/>
                <w:u w:val="none"/>
              </w:rPr>
              <w:t>Esta asignatura aporta al perfil de Licenciatura a través de resultados de aprendizaje que tributan a las siguientes competencias específicas de licenciatura en el primer nivel de dominio:</w:t>
            </w:r>
          </w:p>
          <w:p/>
          <w:p>
            <w:r>
              <w:rPr>
                <w:rFonts w:ascii="Calibri" w:hAnsi="Calibri"/>
                <w:b w:val="0"/>
                <w:sz w:val="20"/>
                <w:u w:val="single"/>
              </w:rPr>
              <w:t>Competencia de Licenciatura:</w:t>
            </w:r>
          </w:p>
          <w:p>
            <w:pPr>
              <w:ind w:left="283"/>
            </w:pPr>
            <w:r>
              <w:rPr>
                <w:rFonts w:ascii="Calibri" w:hAnsi="Calibri"/>
                <w:b w:val="0"/>
                <w:sz w:val="20"/>
                <w:u w:val="none"/>
              </w:rPr>
              <w:t xml:space="preserve">- </w:t>
            </w:r>
            <w:r>
              <w:rPr>
                <w:rFonts w:ascii="Calibri" w:hAnsi="Calibri"/>
                <w:b/>
                <w:sz w:val="20"/>
                <w:u w:val="none"/>
              </w:rPr>
              <w:t>CL1.</w:t>
            </w:r>
            <w:r>
              <w:rPr>
                <w:rFonts w:ascii="Calibri" w:hAnsi="Calibri"/>
                <w:b w:val="0"/>
                <w:sz w:val="20"/>
                <w:u w:val="none"/>
              </w:rPr>
              <w:t xml:space="preserve"> Resuelve problemas de ciencias de la Ingeniería mediante la generación, análisis e interpretación de información incorporando los aspectos sociales, económicos, ambientales y de innovación.</w:t>
            </w:r>
          </w:p>
          <w:p>
            <w:pPr>
              <w:ind w:left="708"/>
            </w:pPr>
            <w:r>
              <w:rPr>
                <w:rFonts w:ascii="Calibri" w:hAnsi="Calibri"/>
                <w:b w:val="0"/>
                <w:sz w:val="20"/>
                <w:u w:val="none"/>
              </w:rPr>
              <w:t xml:space="preserve">- </w:t>
            </w:r>
            <w:r>
              <w:rPr>
                <w:rFonts w:ascii="Calibri" w:hAnsi="Calibri"/>
                <w:b/>
                <w:sz w:val="20"/>
                <w:u w:val="none"/>
              </w:rPr>
              <w:t>N1.</w:t>
            </w:r>
            <w:r>
              <w:rPr>
                <w:rFonts w:ascii="Calibri" w:hAnsi="Calibri"/>
                <w:b w:val="0"/>
                <w:sz w:val="20"/>
                <w:u w:val="none"/>
              </w:rPr>
              <w:t xml:space="preserve"> Aplica el pensamiento lógico matemático para resolver problemas de nivel inicial usando técnicas de las ciencias básicas en el ámbito de la ingeniería.</w:t>
            </w:r>
          </w:p>
          <w:p/>
        </w:tc>
      </w:tr>
      <w:tr>
        <w:tc>
          <w:tcPr>
            <w:tcW w:type="dxa" w:w="9406"/>
          </w:tcPr>
          <w:p>
            <w:pPr>
              <w:spacing w:before="40" w:after="40"/>
            </w:pPr>
            <w:r>
              <w:rPr>
                <w:rFonts w:ascii="Calibri" w:hAnsi="Calibri"/>
                <w:b/>
                <w:sz w:val="20"/>
                <w:u w:val="none"/>
              </w:rPr>
              <w:t xml:space="preserve">✓  </w:t>
            </w:r>
            <w:r>
              <w:rPr>
                <w:rFonts w:ascii="Calibri" w:hAnsi="Calibri"/>
                <w:b w:val="0"/>
                <w:sz w:val="20"/>
                <w:u w:val="none"/>
              </w:rPr>
              <w:t>Esta asignatura aporta al logro del perfil de egreso y licenciatura a través de indicadores de desempeño que tributan a las siguientes competencias genéricas en su nivel inicial de desempeño:</w:t>
            </w:r>
          </w:p>
          <w:p/>
          <w:p>
            <w:r>
              <w:rPr>
                <w:rFonts w:ascii="Calibri" w:hAnsi="Calibri"/>
                <w:b w:val="0"/>
                <w:sz w:val="20"/>
                <w:u w:val="single"/>
              </w:rPr>
              <w:t>Competencia Genérica:</w:t>
            </w:r>
          </w:p>
          <w:p>
            <w:pPr>
              <w:ind w:left="283"/>
            </w:pPr>
            <w:r>
              <w:rPr>
                <w:rFonts w:ascii="Calibri" w:hAnsi="Calibri"/>
                <w:b w:val="0"/>
                <w:sz w:val="20"/>
                <w:u w:val="none"/>
              </w:rPr>
              <w:t xml:space="preserve">- </w:t>
            </w:r>
            <w:r>
              <w:rPr>
                <w:rFonts w:ascii="Calibri" w:hAnsi="Calibri"/>
                <w:b/>
                <w:sz w:val="20"/>
                <w:u w:val="none"/>
              </w:rPr>
              <w:t>CG2.</w:t>
            </w:r>
            <w:r>
              <w:rPr>
                <w:rFonts w:ascii="Calibri" w:hAnsi="Calibri"/>
                <w:b w:val="0"/>
                <w:sz w:val="20"/>
                <w:u w:val="none"/>
              </w:rPr>
              <w:t xml:space="preserve"> Colabora en  equipos multidisciplinarios asumiendo  diversos roles, liderando tareas y soluciones en entornos complejos en pos de un objetivo común.</w:t>
            </w:r>
          </w:p>
          <w:p>
            <w:pPr>
              <w:ind w:left="708"/>
            </w:pPr>
            <w:r>
              <w:rPr>
                <w:rFonts w:ascii="Calibri" w:hAnsi="Calibri"/>
                <w:b w:val="0"/>
                <w:sz w:val="20"/>
                <w:u w:val="none"/>
              </w:rPr>
              <w:t xml:space="preserve">- </w:t>
            </w:r>
            <w:r>
              <w:rPr>
                <w:rFonts w:ascii="Calibri" w:hAnsi="Calibri"/>
                <w:b/>
                <w:sz w:val="20"/>
                <w:u w:val="none"/>
              </w:rPr>
              <w:t>N1.</w:t>
            </w:r>
            <w:r>
              <w:rPr>
                <w:rFonts w:ascii="Calibri" w:hAnsi="Calibri"/>
                <w:b w:val="0"/>
                <w:sz w:val="20"/>
                <w:u w:val="none"/>
              </w:rPr>
              <w:t xml:space="preserve"> Integra equipos activamente, ejecutando tareas académicas con responsabilidad y oportunidad, para el abordaje y resolución colaborativa de problemáticas y desafíos propios de la vida universitaria.</w:t>
            </w:r>
          </w:p>
          <w:p>
            <w:pPr>
              <w:ind w:left="283"/>
            </w:pPr>
            <w:r>
              <w:rPr>
                <w:rFonts w:ascii="Calibri" w:hAnsi="Calibri"/>
                <w:b w:val="0"/>
                <w:sz w:val="20"/>
                <w:u w:val="none"/>
              </w:rPr>
              <w:t xml:space="preserve">- </w:t>
            </w:r>
            <w:r>
              <w:rPr>
                <w:rFonts w:ascii="Calibri" w:hAnsi="Calibri"/>
                <w:b/>
                <w:sz w:val="20"/>
                <w:u w:val="none"/>
              </w:rPr>
              <w:t>CG4.</w:t>
            </w:r>
            <w:r>
              <w:rPr>
                <w:rFonts w:ascii="Calibri" w:hAnsi="Calibri"/>
                <w:b w:val="0"/>
                <w:sz w:val="20"/>
                <w:u w:val="none"/>
              </w:rPr>
              <w:t xml:space="preserve"> Actúa de manera eficaz en contextos comunicativos a nivel nacional e internacional</w:t>
            </w:r>
          </w:p>
          <w:p>
            <w:pPr>
              <w:ind w:left="708"/>
            </w:pPr>
            <w:r>
              <w:rPr>
                <w:rFonts w:ascii="Calibri" w:hAnsi="Calibri"/>
                <w:b w:val="0"/>
                <w:sz w:val="20"/>
                <w:u w:val="none"/>
              </w:rPr>
              <w:t xml:space="preserve">- </w:t>
            </w:r>
            <w:r>
              <w:rPr>
                <w:rFonts w:ascii="Calibri" w:hAnsi="Calibri"/>
                <w:b/>
                <w:sz w:val="20"/>
                <w:u w:val="none"/>
              </w:rPr>
              <w:t>N1.</w:t>
            </w:r>
            <w:r>
              <w:rPr>
                <w:rFonts w:ascii="Calibri" w:hAnsi="Calibri"/>
                <w:b w:val="0"/>
                <w:sz w:val="20"/>
                <w:u w:val="none"/>
              </w:rPr>
              <w:t xml:space="preserve"> Utiliza herramientas de expresión oral y escrita para la comunicación efectiva de sus ideas, opiniones y emociones en contextos académicos</w:t>
            </w:r>
          </w:p>
          <w:p/>
        </w:tc>
      </w:tr>
    </w:tbl>
    <w:p/>
    <w:p/>
    <w:tbl>
      <w:tblPr>
        <w:tblStyle w:val="TableGrid"/>
        <w:tblW w:type="auto" w:w="0"/>
        <w:tblLook w:firstColumn="1" w:firstRow="1" w:lastColumn="0" w:lastRow="0" w:noHBand="0" w:noVBand="1" w:val="04A0"/>
      </w:tblPr>
      <w:tblGrid>
        <w:gridCol w:w="9406"/>
      </w:tblGrid>
      <w:tr>
        <w:tc>
          <w:tcPr>
            <w:tcW w:type="dxa" w:w="9406"/>
            <w:shd w:val="clear" w:color="auto" w:fill="1F4E79"/>
          </w:tcPr>
          <w:p>
            <w:r>
              <w:rPr>
                <w:rFonts w:ascii="Calibri" w:hAnsi="Calibri"/>
                <w:b/>
                <w:color w:val="FFFFFF"/>
                <w:sz w:val="24"/>
              </w:rPr>
              <w:t>PROGRAMA DE LA ASIGNATURA</w:t>
            </w:r>
          </w:p>
        </w:tc>
      </w:tr>
    </w:tbl>
    <w:p/>
    <w:p>
      <w:r>
        <w:rPr>
          <w:rFonts w:ascii="Calibri" w:hAnsi="Calibri"/>
          <w:b/>
          <w:color w:val="1F4E79"/>
          <w:sz w:val="20"/>
        </w:rPr>
        <w:t>IDENTIFICACIÓN DE LA ASIGNATURA:</w:t>
      </w:r>
    </w:p>
    <w:tbl>
      <w:tblPr>
        <w:tblStyle w:val="TableGrid"/>
        <w:tblW w:type="auto" w:w="0"/>
        <w:tblLook w:firstColumn="1" w:firstRow="1" w:lastColumn="0" w:lastRow="0" w:noHBand="0" w:noVBand="1" w:val="04A0"/>
      </w:tblPr>
      <w:tblGrid>
        <w:gridCol w:w="4703"/>
        <w:gridCol w:w="4703"/>
      </w:tblGrid>
      <w:tr>
        <w:tc>
          <w:tcPr>
            <w:tcW w:type="dxa" w:w="4703"/>
          </w:tcPr>
          <w:p>
            <w:pPr>
              <w:jc w:val="left"/>
            </w:pPr>
            <w:r>
              <w:rPr>
                <w:rFonts w:ascii="Calibri" w:hAnsi="Calibri"/>
                <w:b/>
                <w:i w:val="0"/>
                <w:sz w:val="18"/>
              </w:rPr>
              <w:t>Nombre</w:t>
            </w:r>
          </w:p>
        </w:tc>
        <w:tc>
          <w:tcPr>
            <w:tcW w:type="dxa" w:w="4703"/>
          </w:tcPr>
          <w:p>
            <w:pPr>
              <w:jc w:val="left"/>
            </w:pPr>
            <w:r>
              <w:rPr>
                <w:rFonts w:ascii="Calibri" w:hAnsi="Calibri"/>
                <w:b w:val="0"/>
                <w:i w:val="0"/>
                <w:sz w:val="18"/>
              </w:rPr>
              <w:t>Física Mecánica</w:t>
            </w:r>
          </w:p>
        </w:tc>
      </w:tr>
      <w:tr>
        <w:tc>
          <w:tcPr>
            <w:tcW w:type="dxa" w:w="4703"/>
          </w:tcPr>
          <w:p>
            <w:pPr>
              <w:jc w:val="left"/>
            </w:pPr>
            <w:r>
              <w:rPr>
                <w:rFonts w:ascii="Calibri" w:hAnsi="Calibri"/>
                <w:b/>
                <w:i w:val="0"/>
                <w:sz w:val="18"/>
              </w:rPr>
              <w:t>Código</w:t>
            </w:r>
          </w:p>
        </w:tc>
        <w:tc>
          <w:tcPr>
            <w:tcW w:type="dxa" w:w="4703"/>
          </w:tcPr>
          <w:p>
            <w:pPr>
              <w:jc w:val="left"/>
            </w:pPr>
            <w:r>
              <w:rPr>
                <w:rFonts w:ascii="Calibri" w:hAnsi="Calibri"/>
                <w:b w:val="0"/>
                <w:i w:val="0"/>
                <w:sz w:val="18"/>
              </w:rPr>
              <w:t>FIS 211</w:t>
            </w:r>
          </w:p>
        </w:tc>
      </w:tr>
      <w:tr>
        <w:tc>
          <w:tcPr>
            <w:tcW w:type="dxa" w:w="4703"/>
          </w:tcPr>
          <w:p>
            <w:pPr>
              <w:jc w:val="left"/>
            </w:pPr>
            <w:r>
              <w:rPr>
                <w:rFonts w:ascii="Calibri" w:hAnsi="Calibri"/>
                <w:b/>
                <w:i w:val="0"/>
                <w:sz w:val="18"/>
              </w:rPr>
              <w:t>Requisito(s)</w:t>
            </w:r>
          </w:p>
        </w:tc>
        <w:tc>
          <w:tcPr>
            <w:tcW w:type="dxa" w:w="4703"/>
          </w:tcPr>
          <w:p>
            <w:pPr>
              <w:jc w:val="left"/>
            </w:pPr>
            <w:r>
              <w:rPr>
                <w:rFonts w:ascii="Calibri" w:hAnsi="Calibri"/>
                <w:b w:val="0"/>
                <w:i w:val="0"/>
                <w:sz w:val="18"/>
              </w:rPr>
              <w:t>Cálculo Diferencial (MAT 121)</w:t>
              <w:br/>
              <w:t>Fundamentos de Física (FIS 111)</w:t>
            </w:r>
          </w:p>
        </w:tc>
      </w:tr>
    </w:tbl>
    <w:p/>
    <w:p>
      <w:r>
        <w:rPr>
          <w:rFonts w:ascii="Calibri" w:hAnsi="Calibri"/>
          <w:b/>
          <w:color w:val="1F4E79"/>
          <w:sz w:val="20"/>
        </w:rPr>
        <w:t>RESULTADOS DE APRENDIZAJE Y DESEMPEÑOS:</w:t>
      </w:r>
    </w:p>
    <w:tbl>
      <w:tblPr>
        <w:tblStyle w:val="TableGrid"/>
        <w:tblW w:type="auto" w:w="0"/>
        <w:tblLook w:firstColumn="1" w:firstRow="1" w:lastColumn="0" w:lastRow="0" w:noHBand="0" w:noVBand="1" w:val="04A0"/>
      </w:tblPr>
      <w:tblGrid>
        <w:gridCol w:w="9406"/>
      </w:tblGrid>
      <w:tr>
        <w:tc>
          <w:tcPr>
            <w:tcW w:type="dxa" w:w="9406"/>
          </w:tcPr>
          <w:p>
            <w:r>
              <w:rPr>
                <w:rFonts w:ascii="Calibri" w:hAnsi="Calibri"/>
                <w:b w:val="0"/>
                <w:sz w:val="20"/>
                <w:u w:val="none"/>
              </w:rPr>
              <w:t>Al final de la asignatura los estudiantes serán capaces de demostrar los siguientes resultados:</w:t>
            </w:r>
          </w:p>
          <w:p>
            <w:r>
              <w:rPr>
                <w:rFonts w:ascii="Calibri" w:hAnsi="Calibri"/>
                <w:b w:val="0"/>
                <w:sz w:val="20"/>
                <w:u w:val="none"/>
              </w:rPr>
              <w:t xml:space="preserve">• </w:t>
            </w:r>
            <w:r>
              <w:rPr>
                <w:rFonts w:ascii="Calibri" w:hAnsi="Calibri"/>
                <w:b/>
                <w:color w:val="843C0C"/>
                <w:sz w:val="20"/>
              </w:rPr>
              <w:t>CG2, ND1, D2</w:t>
            </w:r>
            <w:r>
              <w:rPr>
                <w:rFonts w:ascii="Calibri" w:hAnsi="Calibri"/>
                <w:b w:val="0"/>
                <w:sz w:val="20"/>
                <w:u w:val="none"/>
              </w:rPr>
              <w:t>: Asume responsablemente las tareas asignadas dentro del equipo, para la concreción de metas grupales.</w:t>
            </w:r>
          </w:p>
          <w:p>
            <w:r>
              <w:rPr>
                <w:rFonts w:ascii="Calibri" w:hAnsi="Calibri"/>
                <w:b w:val="0"/>
                <w:sz w:val="20"/>
                <w:u w:val="none"/>
              </w:rPr>
              <w:t xml:space="preserve">• </w:t>
            </w:r>
            <w:r>
              <w:rPr>
                <w:rFonts w:ascii="Calibri" w:hAnsi="Calibri"/>
                <w:b/>
                <w:color w:val="843C0C"/>
                <w:sz w:val="20"/>
              </w:rPr>
              <w:t>CG4, ND1, D1</w:t>
            </w:r>
            <w:r>
              <w:rPr>
                <w:rFonts w:ascii="Calibri" w:hAnsi="Calibri"/>
                <w:b w:val="0"/>
                <w:sz w:val="20"/>
                <w:u w:val="none"/>
              </w:rPr>
              <w:t>: Emplea correctamente el lenguaje escrito para la construcción de documentos académicos, en distintos contextos académicos.</w:t>
            </w:r>
          </w:p>
          <w:p>
            <w:r>
              <w:rPr>
                <w:rFonts w:ascii="Calibri" w:hAnsi="Calibri"/>
                <w:b w:val="0"/>
                <w:sz w:val="20"/>
                <w:u w:val="none"/>
              </w:rPr>
              <w:t xml:space="preserve">• </w:t>
            </w:r>
            <w:r>
              <w:rPr>
                <w:rFonts w:ascii="Calibri" w:hAnsi="Calibri"/>
                <w:b/>
                <w:color w:val="1F4E79"/>
                <w:sz w:val="20"/>
              </w:rPr>
              <w:t>CL1, ND1, RA1</w:t>
            </w:r>
            <w:r>
              <w:rPr>
                <w:rFonts w:ascii="Calibri" w:hAnsi="Calibri"/>
                <w:b w:val="0"/>
                <w:sz w:val="20"/>
                <w:u w:val="none"/>
              </w:rPr>
              <w:t>: Aplica conocimientos, métodos y herramientas de las ciencias básicas en situaciones simplificadas de ingeniería, para fortalecer el pensamiento lógico matemático.</w:t>
            </w:r>
          </w:p>
          <w:p>
            <w:r>
              <w:rPr>
                <w:rFonts w:ascii="Calibri" w:hAnsi="Calibri"/>
                <w:b w:val="0"/>
                <w:sz w:val="20"/>
                <w:u w:val="none"/>
              </w:rPr>
              <w:t xml:space="preserve">• </w:t>
            </w:r>
            <w:r>
              <w:rPr>
                <w:rFonts w:ascii="Calibri" w:hAnsi="Calibri"/>
                <w:b/>
                <w:color w:val="1F4E79"/>
                <w:sz w:val="20"/>
              </w:rPr>
              <w:t>CL1, ND1, RA2</w:t>
            </w:r>
            <w:r>
              <w:rPr>
                <w:rFonts w:ascii="Calibri" w:hAnsi="Calibri"/>
                <w:b w:val="0"/>
                <w:sz w:val="20"/>
                <w:u w:val="none"/>
              </w:rPr>
              <w:t>: Resuelve problemas de nivel inicial usando técnica de las ciencias básicas para comprender fenómenos en el ámbito de la ingeniería.</w:t>
            </w:r>
          </w:p>
        </w:tc>
      </w:tr>
    </w:tbl>
    <w:p/>
    <w:p>
      <w:r>
        <w:rPr>
          <w:rFonts w:ascii="Calibri" w:hAnsi="Calibri"/>
          <w:b/>
          <w:color w:val="1F4E79"/>
          <w:sz w:val="20"/>
        </w:rPr>
        <w:t>UNIDADES DE APRENDIZAJE Y CONTENIDOS:</w:t>
      </w:r>
    </w:p>
    <w:tbl>
      <w:tblPr>
        <w:tblStyle w:val="TableGrid"/>
        <w:tblW w:type="auto" w:w="0"/>
        <w:tblLook w:firstColumn="1" w:firstRow="1" w:lastColumn="0" w:lastRow="0" w:noHBand="0" w:noVBand="1" w:val="04A0"/>
      </w:tblPr>
      <w:tblGrid>
        <w:gridCol w:w="4703"/>
        <w:gridCol w:w="4703"/>
      </w:tblGrid>
      <w:tr>
        <w:tc>
          <w:tcPr>
            <w:tcW w:type="dxa" w:w="4703"/>
            <w:shd w:val="clear" w:color="auto" w:fill="1F4E79"/>
          </w:tcPr>
          <w:p>
            <w:pPr>
              <w:jc w:val="center"/>
            </w:pPr>
            <w:r>
              <w:rPr>
                <w:rFonts w:ascii="Calibri" w:hAnsi="Calibri"/>
                <w:b/>
                <w:i w:val="0"/>
                <w:color w:val="FFFFFF"/>
                <w:sz w:val="18"/>
              </w:rPr>
              <w:t>Resultado de aprendizaje y/o Desempeños</w:t>
            </w:r>
          </w:p>
        </w:tc>
        <w:tc>
          <w:tcPr>
            <w:tcW w:type="dxa" w:w="4703"/>
            <w:shd w:val="clear" w:color="auto" w:fill="1F4E79"/>
          </w:tcPr>
          <w:p>
            <w:pPr>
              <w:jc w:val="center"/>
            </w:pPr>
            <w:r>
              <w:rPr>
                <w:rFonts w:ascii="Calibri" w:hAnsi="Calibri"/>
                <w:b/>
                <w:i w:val="0"/>
                <w:color w:val="FFFFFF"/>
                <w:sz w:val="18"/>
              </w:rPr>
              <w:t>Unidades de Aprendizaje y contenidos</w:t>
            </w:r>
          </w:p>
        </w:tc>
      </w:tr>
      <w:tr>
        <w:tc>
          <w:tcPr>
            <w:tcW w:type="dxa" w:w="4703"/>
          </w:tcPr>
          <w:p>
            <w:pPr>
              <w:jc w:val="left"/>
            </w:pPr>
            <w:r>
              <w:rPr>
                <w:rFonts w:ascii="Calibri" w:hAnsi="Calibri"/>
                <w:b w:val="0"/>
                <w:i w:val="0"/>
                <w:sz w:val="18"/>
              </w:rPr>
              <w:t>CL1, N1, RA1: Aplica conocimientos, métodos y herramientas de las ciencias básicas en situaciones simplificadas de ingeniería, para fortalecer el pensamiento lógico matemático.</w:t>
              <w:tab/>
              <w:br/>
              <w:br/>
              <w:t>CL1, N1, RA2: Resuelve problemas de nivel inicial usando técnica de las ciencias básicas para comprender fenómenos en el ámbito de la ingeniería.</w:t>
              <w:br/>
              <w:br/>
              <w:t>CG2, D2: Asume responsablemente las tareas asignadas dentro del equipo, para la concreción de metas grupales.</w:t>
              <w:br/>
              <w:br/>
              <w:t>CG4, D1: Emplea correctamente el lenguaje escrito para la construcción de documentos, en distintos contextos académicos.</w:t>
            </w:r>
          </w:p>
        </w:tc>
        <w:tc>
          <w:tcPr>
            <w:tcW w:type="dxa" w:w="4703"/>
          </w:tcPr>
          <w:p>
            <w:pPr>
              <w:jc w:val="left"/>
            </w:pPr>
            <w:r>
              <w:rPr>
                <w:rFonts w:ascii="Calibri" w:hAnsi="Calibri"/>
                <w:b w:val="0"/>
                <w:i w:val="0"/>
                <w:sz w:val="18"/>
              </w:rPr>
              <w:t>Unidad 1: MOVIMIENTO EN DOS DIMENSIONES</w:t>
              <w:br/>
              <w:t>Contenidos:</w:t>
              <w:br/>
              <w:t>Movimiento en 2 dimensiones</w:t>
              <w:br/>
              <w:t>Movimiento parabólico</w:t>
              <w:br/>
              <w:t>Movimiento Circular</w:t>
            </w:r>
          </w:p>
        </w:tc>
      </w:tr>
      <w:tr>
        <w:tc>
          <w:tcPr>
            <w:tcW w:type="dxa" w:w="4703"/>
          </w:tcPr>
          <w:p>
            <w:pPr>
              <w:jc w:val="left"/>
            </w:pPr>
            <w:r>
              <w:rPr>
                <w:rFonts w:ascii="Calibri" w:hAnsi="Calibri"/>
                <w:b w:val="0"/>
                <w:i w:val="0"/>
                <w:sz w:val="18"/>
              </w:rPr>
              <w:t>CL1, N1, RA1: Aplica conocimientos, métodos y herramientas de las ciencias básicas en situaciones simplificadas de ingeniería, para fortalecer el pensamiento lógico matemático.</w:t>
              <w:tab/>
              <w:br/>
              <w:br/>
              <w:t>CL1, N1, RA2: Resuelve problemas de nivel inicial usando técnica de las ciencias básicas para comprender fenómenos en el ámbito de la ingeniería.</w:t>
              <w:br/>
              <w:br/>
              <w:t>CG2, D2: Asume responsablemente las tareas asignadas dentro del equipo, para la concreción de metas grupales.</w:t>
              <w:br/>
              <w:br/>
              <w:t>CG4, D1: Emplea correctamente el lenguaje escrito para la construcción de documentos, en distintos contextos académicos.</w:t>
            </w:r>
          </w:p>
        </w:tc>
        <w:tc>
          <w:tcPr>
            <w:tcW w:type="dxa" w:w="4703"/>
          </w:tcPr>
          <w:p>
            <w:pPr>
              <w:jc w:val="left"/>
            </w:pPr>
            <w:r>
              <w:rPr>
                <w:rFonts w:ascii="Calibri" w:hAnsi="Calibri"/>
                <w:b w:val="0"/>
                <w:i w:val="0"/>
                <w:sz w:val="18"/>
              </w:rPr>
              <w:t>Unidad 2: LEYES DE NEWTON</w:t>
              <w:br/>
              <w:t>Contenidos:</w:t>
              <w:br/>
              <w:t xml:space="preserve">Leyes de Newton. </w:t>
              <w:br/>
              <w:t>Fuerzas de gravedad y de contacto entre superficies planas.</w:t>
              <w:br/>
              <w:t>Aplicación de las leyes de Newton.</w:t>
              <w:br/>
              <w:t>Dinámica del movimiento circular.</w:t>
            </w:r>
          </w:p>
        </w:tc>
      </w:tr>
      <w:tr>
        <w:tc>
          <w:tcPr>
            <w:tcW w:type="dxa" w:w="4703"/>
          </w:tcPr>
          <w:p>
            <w:pPr>
              <w:jc w:val="left"/>
            </w:pPr>
            <w:r>
              <w:rPr>
                <w:rFonts w:ascii="Calibri" w:hAnsi="Calibri"/>
                <w:b w:val="0"/>
                <w:i w:val="0"/>
                <w:sz w:val="18"/>
              </w:rPr>
              <w:t>CL1, N1, RA1: Aplica conocimientos, métodos y herramientas de las ciencias básicas en situaciones simplificadas de ingeniería, para fortalecer el pensamiento lógico matemático.</w:t>
              <w:tab/>
              <w:br/>
              <w:br/>
              <w:t>CL1, N1, RA2: Resuelve problemas de nivel inicial usando técnica de las ciencias básicas para comprender fenómenos en el ámbito de la ingeniería.</w:t>
              <w:br/>
              <w:br/>
              <w:t>CG2, D2: Asume responsablemente las tareas asignadas dentro del equipo, para la concreción de metas grupales.</w:t>
              <w:br/>
              <w:br/>
              <w:t>CG4, D1: Emplea correctamente el lenguaje escrito para la construcción de documentos, en distintos contextos académicos.</w:t>
            </w:r>
          </w:p>
        </w:tc>
        <w:tc>
          <w:tcPr>
            <w:tcW w:type="dxa" w:w="4703"/>
          </w:tcPr>
          <w:p>
            <w:pPr>
              <w:jc w:val="left"/>
            </w:pPr>
            <w:r>
              <w:rPr>
                <w:rFonts w:ascii="Calibri" w:hAnsi="Calibri"/>
                <w:b w:val="0"/>
                <w:i w:val="0"/>
                <w:sz w:val="18"/>
              </w:rPr>
              <w:t>Unidad 3: TRANSFERENCIA DE ENERGÍA POR ACCIÓN DE FUERZAS.</w:t>
              <w:br/>
              <w:t>Contenidos:</w:t>
              <w:br/>
              <w:t>Definición de trabajo mecánico</w:t>
              <w:br/>
              <w:t>Trabajo neto y energía cinética</w:t>
              <w:br/>
              <w:t>Fuerza elástica</w:t>
              <w:br/>
              <w:t>Fuerzas conservativas</w:t>
              <w:br/>
              <w:t>Energía potencial</w:t>
              <w:br/>
              <w:t xml:space="preserve">Teorema del trabajo y la energía </w:t>
              <w:br/>
              <w:t>Potencia.</w:t>
            </w:r>
          </w:p>
        </w:tc>
      </w:tr>
      <w:tr>
        <w:tc>
          <w:tcPr>
            <w:tcW w:type="dxa" w:w="4703"/>
          </w:tcPr>
          <w:p>
            <w:pPr>
              <w:jc w:val="left"/>
            </w:pPr>
            <w:r>
              <w:rPr>
                <w:rFonts w:ascii="Calibri" w:hAnsi="Calibri"/>
                <w:b w:val="0"/>
                <w:i w:val="0"/>
                <w:sz w:val="18"/>
              </w:rPr>
              <w:t>CL1, N1, RA1: Aplica conocimientos, métodos y herramientas de las ciencias básicas en situaciones simplificadas de ingeniería, para fortalecer el pensamiento lógico matemático.</w:t>
              <w:tab/>
              <w:br/>
              <w:br/>
              <w:t>CL1, N1, RA2: Resuelve problemas de nivel inicial usando técnica de las ciencias básicas para comprender fenómenos en el ámbito de la ingeniería.</w:t>
              <w:br/>
              <w:br/>
              <w:t>CG2, D2: Asume responsablemente las tareas asignadas dentro del equipo, para la concreción de metas grupales.</w:t>
              <w:br/>
              <w:br/>
              <w:t>CG4, D1: Emplea correctamente el lenguaje escrito para la construcción de documentos, en distintos contextos académicos.</w:t>
            </w:r>
          </w:p>
        </w:tc>
        <w:tc>
          <w:tcPr>
            <w:tcW w:type="dxa" w:w="4703"/>
          </w:tcPr>
          <w:p>
            <w:pPr>
              <w:jc w:val="left"/>
            </w:pPr>
            <w:r>
              <w:rPr>
                <w:rFonts w:ascii="Calibri" w:hAnsi="Calibri"/>
                <w:b w:val="0"/>
                <w:i w:val="0"/>
                <w:sz w:val="18"/>
              </w:rPr>
              <w:t>Unidad 4: SISTEMA DE PARTÍCULAS</w:t>
              <w:br/>
              <w:t xml:space="preserve">Contenidos:  </w:t>
              <w:br/>
              <w:t>Centro de masas</w:t>
              <w:br/>
              <w:t>Momentum Lineal</w:t>
              <w:br/>
              <w:t>Conservación del Momentum Lineal</w:t>
              <w:br/>
              <w:t>Colisiones</w:t>
            </w:r>
          </w:p>
        </w:tc>
      </w:tr>
      <w:tr>
        <w:tc>
          <w:tcPr>
            <w:tcW w:type="dxa" w:w="4703"/>
          </w:tcPr>
          <w:p>
            <w:pPr>
              <w:jc w:val="left"/>
            </w:pPr>
            <w:r>
              <w:rPr>
                <w:rFonts w:ascii="Calibri" w:hAnsi="Calibri"/>
                <w:b w:val="0"/>
                <w:i w:val="0"/>
                <w:sz w:val="18"/>
              </w:rPr>
              <w:t>CL1, N1, RA1: Aplica conocimientos, métodos y herramientas de las ciencias básicas en situaciones simplificadas de ingeniería, para fortalecer el pensamiento lógico matemático.</w:t>
              <w:tab/>
              <w:br/>
              <w:br/>
              <w:t>CL1, N1, RA2: Resuelve problemas de nivel inicial usando técnica de las ciencias básicas para comprender fenómenos en el ámbito de la ingeniería.</w:t>
              <w:br/>
              <w:br/>
              <w:t>CG2, D2: Asume responsablemente las tareas asignadas dentro del equipo, para la concreción de metas grupales.</w:t>
              <w:br/>
              <w:br/>
              <w:t>CG4, D1: Emplea correctamente el lenguaje escrito para la construcción de documentos, en distintos contextos académicos.</w:t>
            </w:r>
          </w:p>
        </w:tc>
        <w:tc>
          <w:tcPr>
            <w:tcW w:type="dxa" w:w="4703"/>
          </w:tcPr>
          <w:p>
            <w:pPr>
              <w:jc w:val="left"/>
            </w:pPr>
            <w:r>
              <w:rPr>
                <w:rFonts w:ascii="Calibri" w:hAnsi="Calibri"/>
                <w:b w:val="0"/>
                <w:i w:val="0"/>
                <w:sz w:val="18"/>
              </w:rPr>
              <w:t>Unidad 5: MOVIMIENTO ROTACIONAL</w:t>
              <w:br/>
              <w:t>Contenidos:</w:t>
              <w:br/>
              <w:t>Torque</w:t>
              <w:br/>
              <w:t>Momento de Inercia</w:t>
              <w:br/>
              <w:t>Equilibrio estático</w:t>
              <w:br/>
              <w:t>Teorema de Steiner</w:t>
              <w:br/>
              <w:t>Dinámica de rotación de un cuerpo rígido en torno a un eje fijo.</w:t>
              <w:br/>
              <w:t>Trabajo, energía y potencia en el movimiento rotacional.</w:t>
              <w:br/>
              <w:t>Movimiento de Rodadura</w:t>
              <w:br/>
              <w:t>Momento angular</w:t>
              <w:br/>
              <w:t>Conservación del Momentum Angular</w:t>
              <w:br/>
              <w:t>Colisiones</w:t>
            </w:r>
          </w:p>
        </w:tc>
      </w:tr>
    </w:tbl>
    <w:p/>
    <w:p>
      <w:r>
        <w:rPr>
          <w:rFonts w:ascii="Calibri" w:hAnsi="Calibri"/>
          <w:b/>
          <w:color w:val="1F4E79"/>
          <w:sz w:val="20"/>
        </w:rPr>
        <w:t>METODOLOGÍA O ESTRATEGIA DE ENSEÑANZA - APRENDIZAJE:</w:t>
      </w:r>
    </w:p>
    <w:tbl>
      <w:tblPr>
        <w:tblStyle w:val="TableGrid"/>
        <w:tblW w:type="auto" w:w="0"/>
        <w:tblLook w:firstColumn="1" w:firstRow="1" w:lastColumn="0" w:lastRow="0" w:noHBand="0" w:noVBand="1" w:val="04A0"/>
      </w:tblPr>
      <w:tblGrid>
        <w:gridCol w:w="9406"/>
      </w:tblGrid>
      <w:tr>
        <w:tc>
          <w:tcPr>
            <w:tcW w:type="dxa" w:w="9406"/>
          </w:tcPr>
          <w:p>
            <w:r>
              <w:rPr>
                <w:rFonts w:ascii="Calibri" w:hAnsi="Calibri"/>
                <w:sz w:val="20"/>
              </w:rPr>
              <w:t>Clase Expositiva Participativa</w:t>
              <w:br/>
              <w:t>Análisis de casos</w:t>
              <w:br/>
              <w:t>Experiencias de Laboratorio</w:t>
              <w:br/>
              <w:t>Se permitirá el uso de herramientas de Inteligencia Artificial (IA) generativa como apoyo en las actividades de aprendizaje. Su utilización estará autorizada y condicionada a las indicaciones expresas que entregue el o la docente para cada actividad, debiendo los estudiantes declarar siempre la herramienta empleada y el tipo de apoyo recibido, enmarcando su uso en los principios institucionales de transparencia y responsabilidad.</w:t>
            </w:r>
          </w:p>
        </w:tc>
      </w:tr>
    </w:tbl>
    <w:p/>
    <w:p>
      <w:r>
        <w:rPr>
          <w:rFonts w:ascii="Calibri" w:hAnsi="Calibri"/>
          <w:b/>
          <w:color w:val="1F4E79"/>
          <w:sz w:val="20"/>
        </w:rPr>
        <w:t>METODOLOGÍA O ESTRATEGIA DE EVALUACIÓN:</w:t>
      </w:r>
    </w:p>
    <w:tbl>
      <w:tblPr>
        <w:tblStyle w:val="TableGrid"/>
        <w:tblW w:type="auto" w:w="0"/>
        <w:tblLook w:firstColumn="1" w:firstRow="1" w:lastColumn="0" w:lastRow="0" w:noHBand="0" w:noVBand="1" w:val="04A0"/>
      </w:tblPr>
      <w:tblGrid>
        <w:gridCol w:w="4703"/>
        <w:gridCol w:w="4703"/>
      </w:tblGrid>
      <w:tr>
        <w:tc>
          <w:tcPr>
            <w:tcW w:type="dxa" w:w="4703"/>
            <w:shd w:val="clear" w:color="auto" w:fill="1F4E79"/>
          </w:tcPr>
          <w:p>
            <w:pPr>
              <w:jc w:val="left"/>
            </w:pPr>
            <w:r>
              <w:rPr>
                <w:rFonts w:ascii="Calibri" w:hAnsi="Calibri"/>
                <w:b/>
                <w:i w:val="0"/>
                <w:color w:val="FFFFFF"/>
                <w:sz w:val="18"/>
              </w:rPr>
              <w:t>Tipo de evaluación:</w:t>
            </w:r>
          </w:p>
        </w:tc>
        <w:tc>
          <w:tcPr>
            <w:tcW w:type="dxa" w:w="4703"/>
            <w:shd w:val="clear" w:color="auto" w:fill="1F4E79"/>
          </w:tcPr>
          <w:p>
            <w:pPr>
              <w:jc w:val="left"/>
            </w:pPr>
            <w:r>
              <w:rPr>
                <w:rFonts w:ascii="Calibri" w:hAnsi="Calibri"/>
                <w:b/>
                <w:i w:val="0"/>
                <w:color w:val="FFFFFF"/>
                <w:sz w:val="18"/>
              </w:rPr>
              <w:t>Porcentaje (%) que corresponde:</w:t>
            </w:r>
          </w:p>
        </w:tc>
      </w:tr>
      <w:tr>
        <w:tc>
          <w:tcPr>
            <w:tcW w:type="dxa" w:w="4703"/>
          </w:tcPr>
          <w:p>
            <w:pPr>
              <w:jc w:val="left"/>
            </w:pPr>
            <w:r>
              <w:rPr>
                <w:rFonts w:ascii="Calibri" w:hAnsi="Calibri"/>
                <w:b w:val="0"/>
                <w:i w:val="0"/>
                <w:sz w:val="18"/>
              </w:rPr>
              <w:t>Prueba sumativa 1</w:t>
            </w:r>
          </w:p>
        </w:tc>
        <w:tc>
          <w:tcPr>
            <w:tcW w:type="dxa" w:w="4703"/>
          </w:tcPr>
          <w:p>
            <w:pPr>
              <w:jc w:val="left"/>
            </w:pPr>
            <w:r>
              <w:rPr>
                <w:rFonts w:ascii="Calibri" w:hAnsi="Calibri"/>
                <w:b w:val="0"/>
                <w:i w:val="0"/>
                <w:sz w:val="18"/>
              </w:rPr>
              <w:t>20%</w:t>
            </w:r>
          </w:p>
        </w:tc>
      </w:tr>
      <w:tr>
        <w:tc>
          <w:tcPr>
            <w:tcW w:type="dxa" w:w="4703"/>
          </w:tcPr>
          <w:p>
            <w:pPr>
              <w:jc w:val="left"/>
            </w:pPr>
            <w:r>
              <w:rPr>
                <w:rFonts w:ascii="Calibri" w:hAnsi="Calibri"/>
                <w:b w:val="0"/>
                <w:i w:val="0"/>
                <w:sz w:val="18"/>
              </w:rPr>
              <w:t>Prueba sumativa 2</w:t>
            </w:r>
          </w:p>
        </w:tc>
        <w:tc>
          <w:tcPr>
            <w:tcW w:type="dxa" w:w="4703"/>
          </w:tcPr>
          <w:p>
            <w:pPr>
              <w:jc w:val="left"/>
            </w:pPr>
            <w:r>
              <w:rPr>
                <w:rFonts w:ascii="Calibri" w:hAnsi="Calibri"/>
                <w:b w:val="0"/>
                <w:i w:val="0"/>
                <w:sz w:val="18"/>
              </w:rPr>
              <w:t>25%</w:t>
            </w:r>
          </w:p>
        </w:tc>
      </w:tr>
      <w:tr>
        <w:tc>
          <w:tcPr>
            <w:tcW w:type="dxa" w:w="4703"/>
          </w:tcPr>
          <w:p>
            <w:pPr>
              <w:jc w:val="left"/>
            </w:pPr>
            <w:r>
              <w:rPr>
                <w:rFonts w:ascii="Calibri" w:hAnsi="Calibri"/>
                <w:b w:val="0"/>
                <w:i w:val="0"/>
                <w:sz w:val="18"/>
              </w:rPr>
              <w:t>Prueba sumativa 3</w:t>
            </w:r>
          </w:p>
        </w:tc>
        <w:tc>
          <w:tcPr>
            <w:tcW w:type="dxa" w:w="4703"/>
          </w:tcPr>
          <w:p>
            <w:pPr>
              <w:jc w:val="left"/>
            </w:pPr>
            <w:r>
              <w:rPr>
                <w:rFonts w:ascii="Calibri" w:hAnsi="Calibri"/>
                <w:b w:val="0"/>
                <w:i w:val="0"/>
                <w:sz w:val="18"/>
              </w:rPr>
              <w:t>30%</w:t>
            </w:r>
          </w:p>
        </w:tc>
      </w:tr>
      <w:tr>
        <w:tc>
          <w:tcPr>
            <w:tcW w:type="dxa" w:w="9406"/>
            <w:gridSpan w:val="2"/>
          </w:tcPr>
          <w:p>
            <w:r>
              <w:rPr>
                <w:rFonts w:ascii="Calibri" w:hAnsi="Calibri"/>
                <w:sz w:val="18"/>
              </w:rPr>
              <w:t>Entrega de 4 informes de laboratorio (40% de la nota total del laboratorio)Prueba final de laboratorio (60% de la nota total del laboratorio)</w:t>
              <w:br/>
              <w:t>Descripción general:La nota final de la asignatura corresponde al promedio de todas las evaluaciones realizadas durante el semestre, según la ponderación contenida en el programa oficial de la asignatura.En el evento que un estudiante obtenga una nota final igual o superior a 3,0 (tres coma cero) pero inferior a 4,0 (cuatro coma cero) tendrá derecho a rendir una Prueba Sumativa Extraordinaria, cuya ponderación corresponderá a un 30% de la calificación final. La Nota Semestral tiene una  ponderación del 70% de la Nota Final. Quienes rindan la prueba sumativa extraordinaria y logren un promedio igual o superior a 4,0 (cuatro coma cero), aprobarán la asignatura con nota 4,0 (cuatro coma cero), en caso contrario reprobará la asignatura con la nota final.El uso de IA no está permitido para la resolución de evaluaciones, ya sean formativas, sumativas o sumativas extraordinarias, salvo indicación expresa y explícita del docente. Delegar la realización completa de las pruebas a la IA o presentar el contenido generado por estas herramientas como propio (plagio) constituye una vulneración a los principios de integridad académica.(Programa sujeto a Reglamento de Estudios Facultad de Ingeniería).</w:t>
            </w:r>
          </w:p>
        </w:tc>
      </w:tr>
    </w:tbl>
    <w:p/>
    <w:p>
      <w:r>
        <w:rPr>
          <w:rFonts w:ascii="Calibri" w:hAnsi="Calibri"/>
          <w:b/>
          <w:color w:val="1F4E79"/>
          <w:sz w:val="20"/>
        </w:rPr>
        <w:t>BIBLIOGRAFÍA BÁSICA OBLIGATORIA:</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1F4E79"/>
          </w:tcPr>
          <w:p>
            <w:pPr>
              <w:jc w:val="left"/>
            </w:pPr>
            <w:r>
              <w:rPr>
                <w:rFonts w:ascii="Calibri" w:hAnsi="Calibri"/>
                <w:b/>
                <w:i w:val="0"/>
                <w:color w:val="FFFFFF"/>
                <w:sz w:val="16"/>
              </w:rPr>
              <w:t>Autor</w:t>
            </w:r>
          </w:p>
        </w:tc>
        <w:tc>
          <w:tcPr>
            <w:tcW w:type="dxa" w:w="1568"/>
            <w:shd w:val="clear" w:color="auto" w:fill="1F4E79"/>
          </w:tcPr>
          <w:p>
            <w:pPr>
              <w:jc w:val="left"/>
            </w:pPr>
            <w:r>
              <w:rPr>
                <w:rFonts w:ascii="Calibri" w:hAnsi="Calibri"/>
                <w:b/>
                <w:i w:val="0"/>
                <w:color w:val="FFFFFF"/>
                <w:sz w:val="16"/>
              </w:rPr>
              <w:t>Título</w:t>
            </w:r>
          </w:p>
        </w:tc>
        <w:tc>
          <w:tcPr>
            <w:tcW w:type="dxa" w:w="1568"/>
            <w:shd w:val="clear" w:color="auto" w:fill="1F4E79"/>
          </w:tcPr>
          <w:p>
            <w:pPr>
              <w:jc w:val="left"/>
            </w:pPr>
            <w:r>
              <w:rPr>
                <w:rFonts w:ascii="Calibri" w:hAnsi="Calibri"/>
                <w:b/>
                <w:i w:val="0"/>
                <w:color w:val="FFFFFF"/>
                <w:sz w:val="16"/>
              </w:rPr>
              <w:t>Editorial</w:t>
            </w:r>
          </w:p>
        </w:tc>
        <w:tc>
          <w:tcPr>
            <w:tcW w:type="dxa" w:w="1568"/>
            <w:shd w:val="clear" w:color="auto" w:fill="1F4E79"/>
          </w:tcPr>
          <w:p>
            <w:pPr>
              <w:jc w:val="left"/>
            </w:pPr>
            <w:r>
              <w:rPr>
                <w:rFonts w:ascii="Calibri" w:hAnsi="Calibri"/>
                <w:b/>
                <w:i w:val="0"/>
                <w:color w:val="FFFFFF"/>
                <w:sz w:val="16"/>
              </w:rPr>
              <w:t>Año</w:t>
            </w:r>
          </w:p>
        </w:tc>
        <w:tc>
          <w:tcPr>
            <w:tcW w:type="dxa" w:w="1568"/>
            <w:shd w:val="clear" w:color="auto" w:fill="1F4E79"/>
          </w:tcPr>
          <w:p>
            <w:pPr>
              <w:jc w:val="left"/>
            </w:pPr>
            <w:r>
              <w:rPr>
                <w:rFonts w:ascii="Calibri" w:hAnsi="Calibri"/>
                <w:b/>
                <w:i w:val="0"/>
                <w:color w:val="FFFFFF"/>
                <w:sz w:val="16"/>
              </w:rPr>
              <w:t>ISBN</w:t>
            </w:r>
          </w:p>
        </w:tc>
        <w:tc>
          <w:tcPr>
            <w:tcW w:type="dxa" w:w="1568"/>
            <w:shd w:val="clear" w:color="auto" w:fill="1F4E79"/>
          </w:tcPr>
          <w:p>
            <w:pPr>
              <w:jc w:val="left"/>
            </w:pPr>
            <w:r>
              <w:rPr>
                <w:rFonts w:ascii="Calibri" w:hAnsi="Calibri"/>
                <w:b/>
                <w:i w:val="0"/>
                <w:color w:val="FFFFFF"/>
                <w:sz w:val="16"/>
              </w:rPr>
              <w:t>Nº Ejemplares disponibles</w:t>
            </w:r>
          </w:p>
        </w:tc>
      </w:tr>
      <w:tr>
        <w:tc>
          <w:tcPr>
            <w:tcW w:type="dxa" w:w="1568"/>
          </w:tcPr>
          <w:p>
            <w:pPr>
              <w:jc w:val="left"/>
            </w:pPr>
            <w:r>
              <w:rPr>
                <w:rFonts w:ascii="Calibri" w:hAnsi="Calibri"/>
                <w:b w:val="0"/>
                <w:i w:val="0"/>
                <w:sz w:val="16"/>
              </w:rPr>
              <w:t>Resnick, Robert; Halliday, David; Krane, Kenneth</w:t>
            </w:r>
          </w:p>
        </w:tc>
        <w:tc>
          <w:tcPr>
            <w:tcW w:type="dxa" w:w="1568"/>
          </w:tcPr>
          <w:p>
            <w:pPr>
              <w:jc w:val="left"/>
            </w:pPr>
            <w:r>
              <w:rPr>
                <w:rFonts w:ascii="Calibri" w:hAnsi="Calibri"/>
                <w:b w:val="0"/>
                <w:i w:val="0"/>
                <w:sz w:val="16"/>
              </w:rPr>
              <w:t>Física, V1</w:t>
            </w:r>
          </w:p>
        </w:tc>
        <w:tc>
          <w:tcPr>
            <w:tcW w:type="dxa" w:w="1568"/>
          </w:tcPr>
          <w:p>
            <w:pPr>
              <w:jc w:val="left"/>
            </w:pPr>
            <w:r>
              <w:rPr>
                <w:rFonts w:ascii="Calibri" w:hAnsi="Calibri"/>
                <w:b w:val="0"/>
                <w:i w:val="0"/>
                <w:sz w:val="16"/>
              </w:rPr>
              <w:t>Cecsa</w:t>
            </w:r>
          </w:p>
        </w:tc>
        <w:tc>
          <w:tcPr>
            <w:tcW w:type="dxa" w:w="1568"/>
          </w:tcPr>
          <w:p>
            <w:pPr>
              <w:jc w:val="left"/>
            </w:pPr>
            <w:r>
              <w:rPr>
                <w:rFonts w:ascii="Calibri" w:hAnsi="Calibri"/>
                <w:b w:val="0"/>
                <w:i w:val="0"/>
                <w:sz w:val="16"/>
              </w:rPr>
              <w:t>2007</w:t>
            </w:r>
          </w:p>
        </w:tc>
        <w:tc>
          <w:tcPr>
            <w:tcW w:type="dxa" w:w="1568"/>
          </w:tcPr>
          <w:p>
            <w:pPr>
              <w:jc w:val="left"/>
            </w:pPr>
            <w:r>
              <w:rPr>
                <w:rFonts w:ascii="Calibri" w:hAnsi="Calibri"/>
                <w:b w:val="0"/>
                <w:i w:val="0"/>
                <w:sz w:val="16"/>
              </w:rPr>
              <w:t>9789702402572</w:t>
            </w:r>
          </w:p>
        </w:tc>
        <w:tc>
          <w:tcPr>
            <w:tcW w:type="dxa" w:w="1568"/>
          </w:tcPr>
          <w:p>
            <w:pPr>
              <w:jc w:val="left"/>
            </w:pPr>
            <w:r>
              <w:rPr>
                <w:rFonts w:ascii="Calibri" w:hAnsi="Calibri"/>
                <w:b w:val="0"/>
                <w:i w:val="0"/>
                <w:sz w:val="16"/>
              </w:rPr>
              <w:t>135, https://bibliotecadigitalodilo.uv.cl/info/fisica-i-00789972</w:t>
            </w:r>
          </w:p>
        </w:tc>
      </w:tr>
      <w:tr>
        <w:tc>
          <w:tcPr>
            <w:tcW w:type="dxa" w:w="1568"/>
          </w:tcPr>
          <w:p>
            <w:pPr>
              <w:jc w:val="left"/>
            </w:pPr>
            <w:r>
              <w:rPr>
                <w:rFonts w:ascii="Calibri" w:hAnsi="Calibri"/>
                <w:b w:val="0"/>
                <w:i w:val="0"/>
                <w:sz w:val="16"/>
              </w:rPr>
              <w:t>Tipler, Paul; Mosca, Gene.</w:t>
            </w:r>
          </w:p>
        </w:tc>
        <w:tc>
          <w:tcPr>
            <w:tcW w:type="dxa" w:w="1568"/>
          </w:tcPr>
          <w:p>
            <w:pPr>
              <w:jc w:val="left"/>
            </w:pPr>
            <w:r>
              <w:rPr>
                <w:rFonts w:ascii="Calibri" w:hAnsi="Calibri"/>
                <w:b w:val="0"/>
                <w:i w:val="0"/>
                <w:sz w:val="16"/>
              </w:rPr>
              <w:t>Física para la ciencia y tecnología. Vol.1</w:t>
            </w:r>
          </w:p>
        </w:tc>
        <w:tc>
          <w:tcPr>
            <w:tcW w:type="dxa" w:w="1568"/>
          </w:tcPr>
          <w:p>
            <w:pPr>
              <w:jc w:val="left"/>
            </w:pPr>
            <w:r>
              <w:rPr>
                <w:rFonts w:ascii="Calibri" w:hAnsi="Calibri"/>
                <w:b w:val="0"/>
                <w:i w:val="0"/>
                <w:sz w:val="16"/>
              </w:rPr>
              <w:t>Reverté</w:t>
            </w:r>
          </w:p>
        </w:tc>
        <w:tc>
          <w:tcPr>
            <w:tcW w:type="dxa" w:w="1568"/>
          </w:tcPr>
          <w:p>
            <w:pPr>
              <w:jc w:val="left"/>
            </w:pPr>
            <w:r>
              <w:rPr>
                <w:rFonts w:ascii="Calibri" w:hAnsi="Calibri"/>
                <w:b w:val="0"/>
                <w:i w:val="0"/>
                <w:sz w:val="16"/>
              </w:rPr>
              <w:t>2016</w:t>
            </w:r>
          </w:p>
        </w:tc>
        <w:tc>
          <w:tcPr>
            <w:tcW w:type="dxa" w:w="1568"/>
          </w:tcPr>
          <w:p>
            <w:pPr>
              <w:jc w:val="left"/>
            </w:pPr>
            <w:r>
              <w:rPr>
                <w:rFonts w:ascii="Calibri" w:hAnsi="Calibri"/>
                <w:b w:val="0"/>
                <w:i w:val="0"/>
                <w:sz w:val="16"/>
              </w:rPr>
              <w:t>9788429144291</w:t>
            </w:r>
          </w:p>
        </w:tc>
        <w:tc>
          <w:tcPr>
            <w:tcW w:type="dxa" w:w="1568"/>
          </w:tcPr>
          <w:p>
            <w:pPr>
              <w:jc w:val="left"/>
            </w:pPr>
            <w:r>
              <w:rPr>
                <w:rFonts w:ascii="Calibri" w:hAnsi="Calibri"/>
                <w:b w:val="0"/>
                <w:i w:val="0"/>
                <w:sz w:val="16"/>
              </w:rPr>
              <w:t>6</w:t>
            </w:r>
          </w:p>
        </w:tc>
      </w:tr>
      <w:tr>
        <w:tc>
          <w:tcPr>
            <w:tcW w:type="dxa" w:w="1568"/>
          </w:tcPr>
          <w:p>
            <w:pPr>
              <w:jc w:val="left"/>
            </w:pPr>
            <w:r>
              <w:rPr>
                <w:rFonts w:ascii="Calibri" w:hAnsi="Calibri"/>
                <w:b w:val="0"/>
                <w:i w:val="0"/>
                <w:sz w:val="16"/>
              </w:rPr>
              <w:t>Serway, Raymond A ; Jewett, John W.</w:t>
            </w:r>
          </w:p>
        </w:tc>
        <w:tc>
          <w:tcPr>
            <w:tcW w:type="dxa" w:w="1568"/>
          </w:tcPr>
          <w:p>
            <w:pPr>
              <w:jc w:val="left"/>
            </w:pPr>
            <w:r>
              <w:rPr>
                <w:rFonts w:ascii="Calibri" w:hAnsi="Calibri"/>
                <w:b w:val="0"/>
                <w:i w:val="0"/>
                <w:sz w:val="16"/>
              </w:rPr>
              <w:t>Física, V1</w:t>
            </w:r>
          </w:p>
        </w:tc>
        <w:tc>
          <w:tcPr>
            <w:tcW w:type="dxa" w:w="1568"/>
          </w:tcPr>
          <w:p>
            <w:pPr>
              <w:jc w:val="left"/>
            </w:pPr>
            <w:r>
              <w:rPr>
                <w:rFonts w:ascii="Calibri" w:hAnsi="Calibri"/>
                <w:b w:val="0"/>
                <w:i w:val="0"/>
                <w:sz w:val="16"/>
              </w:rPr>
              <w:t>Cengage Learning</w:t>
            </w:r>
          </w:p>
        </w:tc>
        <w:tc>
          <w:tcPr>
            <w:tcW w:type="dxa" w:w="1568"/>
          </w:tcPr>
          <w:p>
            <w:pPr>
              <w:jc w:val="left"/>
            </w:pPr>
            <w:r>
              <w:rPr>
                <w:rFonts w:ascii="Calibri" w:hAnsi="Calibri"/>
                <w:b w:val="0"/>
                <w:i w:val="0"/>
                <w:sz w:val="16"/>
              </w:rPr>
              <w:t>2019</w:t>
            </w:r>
          </w:p>
        </w:tc>
        <w:tc>
          <w:tcPr>
            <w:tcW w:type="dxa" w:w="1568"/>
          </w:tcPr>
          <w:p>
            <w:pPr>
              <w:jc w:val="left"/>
            </w:pPr>
            <w:r>
              <w:rPr>
                <w:rFonts w:ascii="Calibri" w:hAnsi="Calibri"/>
                <w:b w:val="0"/>
                <w:i w:val="0"/>
                <w:sz w:val="16"/>
              </w:rPr>
              <w:t>9786075191980</w:t>
            </w:r>
          </w:p>
        </w:tc>
        <w:tc>
          <w:tcPr>
            <w:tcW w:type="dxa" w:w="1568"/>
          </w:tcPr>
          <w:p>
            <w:pPr>
              <w:jc w:val="left"/>
            </w:pPr>
            <w:r>
              <w:rPr>
                <w:rFonts w:ascii="Calibri" w:hAnsi="Calibri"/>
                <w:b w:val="0"/>
                <w:i w:val="0"/>
                <w:sz w:val="16"/>
              </w:rPr>
              <w:t>15</w:t>
            </w:r>
          </w:p>
        </w:tc>
      </w:tr>
    </w:tbl>
    <w:p/>
    <w:p>
      <w:r>
        <w:rPr>
          <w:rFonts w:ascii="Calibri" w:hAnsi="Calibri"/>
          <w:b/>
          <w:color w:val="1F4E79"/>
          <w:sz w:val="20"/>
        </w:rPr>
        <w:t>LINKOGRAFÍA:</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1F4E79"/>
          </w:tcPr>
          <w:p>
            <w:pPr>
              <w:jc w:val="center"/>
            </w:pPr>
            <w:r>
              <w:rPr>
                <w:rFonts w:ascii="Calibri" w:hAnsi="Calibri"/>
                <w:b/>
                <w:i w:val="0"/>
                <w:color w:val="FFFFFF"/>
                <w:sz w:val="16"/>
              </w:rPr>
              <w:t>Tipo de Documento</w:t>
            </w:r>
          </w:p>
        </w:tc>
        <w:tc>
          <w:tcPr>
            <w:tcW w:type="dxa" w:w="1176"/>
            <w:shd w:val="clear" w:color="auto" w:fill="1F4E79"/>
          </w:tcPr>
          <w:p>
            <w:pPr>
              <w:jc w:val="center"/>
            </w:pPr>
            <w:r>
              <w:rPr>
                <w:rFonts w:ascii="Calibri" w:hAnsi="Calibri"/>
                <w:b/>
                <w:i w:val="0"/>
                <w:color w:val="FFFFFF"/>
                <w:sz w:val="16"/>
              </w:rPr>
              <w:t>Autor</w:t>
            </w:r>
          </w:p>
        </w:tc>
        <w:tc>
          <w:tcPr>
            <w:tcW w:type="dxa" w:w="1176"/>
            <w:shd w:val="clear" w:color="auto" w:fill="1F4E79"/>
          </w:tcPr>
          <w:p>
            <w:pPr>
              <w:jc w:val="center"/>
            </w:pPr>
            <w:r>
              <w:rPr>
                <w:rFonts w:ascii="Calibri" w:hAnsi="Calibri"/>
                <w:b/>
                <w:i w:val="0"/>
                <w:color w:val="FFFFFF"/>
                <w:sz w:val="16"/>
              </w:rPr>
              <w:t>Título Artículo / Documento / Sitio Web</w:t>
            </w:r>
          </w:p>
        </w:tc>
        <w:tc>
          <w:tcPr>
            <w:tcW w:type="dxa" w:w="1176"/>
            <w:shd w:val="clear" w:color="auto" w:fill="1F4E79"/>
          </w:tcPr>
          <w:p>
            <w:pPr>
              <w:jc w:val="center"/>
            </w:pPr>
            <w:r>
              <w:rPr>
                <w:rFonts w:ascii="Calibri" w:hAnsi="Calibri"/>
                <w:b/>
                <w:i w:val="0"/>
                <w:color w:val="FFFFFF"/>
                <w:sz w:val="16"/>
              </w:rPr>
              <w:t>Año</w:t>
            </w:r>
          </w:p>
        </w:tc>
        <w:tc>
          <w:tcPr>
            <w:tcW w:type="dxa" w:w="1176"/>
            <w:shd w:val="clear" w:color="auto" w:fill="1F4E79"/>
          </w:tcPr>
          <w:p>
            <w:pPr>
              <w:jc w:val="center"/>
            </w:pPr>
            <w:r>
              <w:rPr>
                <w:rFonts w:ascii="Calibri" w:hAnsi="Calibri"/>
                <w:b/>
                <w:i w:val="0"/>
                <w:color w:val="FFFFFF"/>
                <w:sz w:val="16"/>
              </w:rPr>
              <w:t>Título e-Revista / e-Libro</w:t>
            </w:r>
          </w:p>
        </w:tc>
        <w:tc>
          <w:tcPr>
            <w:tcW w:type="dxa" w:w="1176"/>
            <w:shd w:val="clear" w:color="auto" w:fill="1F4E79"/>
          </w:tcPr>
          <w:p>
            <w:pPr>
              <w:jc w:val="center"/>
            </w:pPr>
            <w:r>
              <w:rPr>
                <w:rFonts w:ascii="Calibri" w:hAnsi="Calibri"/>
                <w:b/>
                <w:i w:val="0"/>
                <w:color w:val="FFFFFF"/>
                <w:sz w:val="16"/>
              </w:rPr>
              <w:t>Vol(Nº)</w:t>
            </w:r>
          </w:p>
        </w:tc>
        <w:tc>
          <w:tcPr>
            <w:tcW w:type="dxa" w:w="1176"/>
            <w:shd w:val="clear" w:color="auto" w:fill="1F4E79"/>
          </w:tcPr>
          <w:p>
            <w:pPr>
              <w:jc w:val="center"/>
            </w:pPr>
            <w:r>
              <w:rPr>
                <w:rFonts w:ascii="Calibri" w:hAnsi="Calibri"/>
                <w:b/>
                <w:i w:val="0"/>
                <w:color w:val="FFFFFF"/>
                <w:sz w:val="16"/>
              </w:rPr>
              <w:t>Dirección Electrónica (URL)</w:t>
            </w:r>
          </w:p>
        </w:tc>
        <w:tc>
          <w:tcPr>
            <w:tcW w:type="dxa" w:w="1176"/>
            <w:shd w:val="clear" w:color="auto" w:fill="1F4E79"/>
          </w:tcPr>
          <w:p>
            <w:pPr>
              <w:jc w:val="center"/>
            </w:pPr>
            <w:r>
              <w:rPr>
                <w:rFonts w:ascii="Calibri" w:hAnsi="Calibri"/>
                <w:b/>
                <w:i w:val="0"/>
                <w:color w:val="FFFFFF"/>
                <w:sz w:val="16"/>
              </w:rPr>
              <w:t>Disponible en</w:t>
            </w:r>
          </w:p>
        </w:tc>
      </w:tr>
      <w:tr>
        <w:tc>
          <w:tcPr>
            <w:tcW w:type="dxa" w:w="1176"/>
          </w:tcPr>
          <w:p>
            <w:pPr>
              <w:jc w:val="left"/>
            </w:pPr>
            <w:r>
              <w:rPr>
                <w:rFonts w:ascii="Calibri" w:hAnsi="Calibri"/>
                <w:b w:val="0"/>
                <w:i w:val="0"/>
                <w:sz w:val="16"/>
              </w:rPr>
            </w:r>
          </w:p>
        </w:tc>
        <w:tc>
          <w:tcPr>
            <w:tcW w:type="dxa" w:w="1176"/>
          </w:tcPr>
          <w:p>
            <w:pPr>
              <w:jc w:val="left"/>
            </w:pPr>
            <w:r>
              <w:rPr>
                <w:rFonts w:ascii="Calibri" w:hAnsi="Calibri"/>
                <w:b w:val="0"/>
                <w:i w:val="0"/>
                <w:sz w:val="16"/>
              </w:rPr>
            </w:r>
          </w:p>
        </w:tc>
        <w:tc>
          <w:tcPr>
            <w:tcW w:type="dxa" w:w="1176"/>
          </w:tcPr>
          <w:p>
            <w:pPr>
              <w:jc w:val="left"/>
            </w:pPr>
            <w:r>
              <w:rPr>
                <w:rFonts w:ascii="Calibri" w:hAnsi="Calibri"/>
                <w:b w:val="0"/>
                <w:i w:val="0"/>
                <w:sz w:val="16"/>
              </w:rPr>
            </w:r>
          </w:p>
        </w:tc>
        <w:tc>
          <w:tcPr>
            <w:tcW w:type="dxa" w:w="1176"/>
          </w:tcPr>
          <w:p>
            <w:pPr>
              <w:jc w:val="left"/>
            </w:pPr>
            <w:r>
              <w:rPr>
                <w:rFonts w:ascii="Calibri" w:hAnsi="Calibri"/>
                <w:b w:val="0"/>
                <w:i w:val="0"/>
                <w:sz w:val="16"/>
              </w:rPr>
            </w:r>
          </w:p>
        </w:tc>
        <w:tc>
          <w:tcPr>
            <w:tcW w:type="dxa" w:w="1176"/>
          </w:tcPr>
          <w:p>
            <w:pPr>
              <w:jc w:val="left"/>
            </w:pPr>
            <w:r>
              <w:rPr>
                <w:rFonts w:ascii="Calibri" w:hAnsi="Calibri"/>
                <w:b w:val="0"/>
                <w:i w:val="0"/>
                <w:sz w:val="16"/>
              </w:rPr>
            </w:r>
          </w:p>
        </w:tc>
        <w:tc>
          <w:tcPr>
            <w:tcW w:type="dxa" w:w="1176"/>
          </w:tcPr>
          <w:p>
            <w:pPr>
              <w:jc w:val="left"/>
            </w:pPr>
            <w:r>
              <w:rPr>
                <w:rFonts w:ascii="Calibri" w:hAnsi="Calibri"/>
                <w:b w:val="0"/>
                <w:i w:val="0"/>
                <w:sz w:val="16"/>
              </w:rPr>
            </w:r>
          </w:p>
        </w:tc>
        <w:tc>
          <w:tcPr>
            <w:tcW w:type="dxa" w:w="1176"/>
          </w:tcPr>
          <w:p>
            <w:pPr>
              <w:jc w:val="left"/>
            </w:pPr>
            <w:r>
              <w:rPr>
                <w:rFonts w:ascii="Calibri" w:hAnsi="Calibri"/>
                <w:b w:val="0"/>
                <w:i w:val="0"/>
                <w:sz w:val="16"/>
              </w:rPr>
            </w:r>
          </w:p>
        </w:tc>
        <w:tc>
          <w:tcPr>
            <w:tcW w:type="dxa" w:w="1176"/>
          </w:tcPr>
          <w:p>
            <w:pPr>
              <w:jc w:val="left"/>
            </w:pPr>
            <w:r>
              <w:rPr>
                <w:rFonts w:ascii="Calibri" w:hAnsi="Calibri"/>
                <w:b w:val="0"/>
                <w:i w:val="0"/>
                <w:sz w:val="16"/>
              </w:rPr>
            </w:r>
          </w:p>
        </w:tc>
      </w:tr>
    </w:tbl>
    <w:p/>
    <w:p>
      <w:r>
        <w:rPr>
          <w:rFonts w:ascii="Calibri" w:hAnsi="Calibri"/>
          <w:b/>
          <w:color w:val="1F4E79"/>
          <w:sz w:val="20"/>
        </w:rPr>
        <w:t>DATOS ACTUALIZACIÓN:</w:t>
      </w:r>
    </w:p>
    <w:tbl>
      <w:tblPr>
        <w:tblStyle w:val="TableGrid"/>
        <w:tblW w:type="auto" w:w="0"/>
        <w:tblLook w:firstColumn="1" w:firstRow="1" w:lastColumn="0" w:lastRow="0" w:noHBand="0" w:noVBand="1" w:val="04A0"/>
      </w:tblPr>
      <w:tblGrid>
        <w:gridCol w:w="4703"/>
        <w:gridCol w:w="4703"/>
      </w:tblGrid>
      <w:tr>
        <w:tc>
          <w:tcPr>
            <w:tcW w:type="dxa" w:w="4703"/>
          </w:tcPr>
          <w:p>
            <w:pPr>
              <w:jc w:val="left"/>
            </w:pPr>
            <w:r>
              <w:rPr>
                <w:rFonts w:ascii="Calibri" w:hAnsi="Calibri"/>
                <w:b/>
                <w:i w:val="0"/>
                <w:sz w:val="18"/>
              </w:rPr>
              <w:t>Responsable(s) del programa:</w:t>
            </w:r>
          </w:p>
        </w:tc>
        <w:tc>
          <w:tcPr>
            <w:tcW w:type="dxa" w:w="4703"/>
          </w:tcPr>
          <w:p>
            <w:pPr>
              <w:jc w:val="left"/>
            </w:pPr>
            <w:r>
              <w:rPr>
                <w:rFonts w:ascii="Calibri" w:hAnsi="Calibri"/>
                <w:b w:val="0"/>
                <w:i w:val="0"/>
                <w:sz w:val="18"/>
              </w:rPr>
              <w:t>Coordinación Física FACING, Coordinador(a) de Docencia FACING</w:t>
            </w:r>
          </w:p>
        </w:tc>
      </w:tr>
      <w:tr>
        <w:tc>
          <w:tcPr>
            <w:tcW w:type="dxa" w:w="4703"/>
          </w:tcPr>
          <w:p>
            <w:pPr>
              <w:jc w:val="left"/>
            </w:pPr>
            <w:r>
              <w:rPr>
                <w:rFonts w:ascii="Calibri" w:hAnsi="Calibri"/>
                <w:b/>
                <w:i w:val="0"/>
                <w:sz w:val="18"/>
              </w:rPr>
              <w:t>Docente(s) a cargo:</w:t>
            </w:r>
          </w:p>
        </w:tc>
        <w:tc>
          <w:tcPr>
            <w:tcW w:type="dxa" w:w="4703"/>
          </w:tcPr>
          <w:p>
            <w:pPr>
              <w:jc w:val="left"/>
            </w:pPr>
            <w:r>
              <w:rPr>
                <w:rFonts w:ascii="Calibri" w:hAnsi="Calibri"/>
                <w:b w:val="0"/>
                <w:i w:val="0"/>
                <w:sz w:val="18"/>
              </w:rPr>
            </w:r>
          </w:p>
        </w:tc>
      </w:tr>
      <w:tr>
        <w:tc>
          <w:tcPr>
            <w:tcW w:type="dxa" w:w="4703"/>
          </w:tcPr>
          <w:p>
            <w:pPr>
              <w:jc w:val="left"/>
            </w:pPr>
            <w:r>
              <w:rPr>
                <w:rFonts w:ascii="Calibri" w:hAnsi="Calibri"/>
                <w:b/>
                <w:i w:val="0"/>
                <w:sz w:val="18"/>
              </w:rPr>
              <w:t>Versión / Fecha de Actualización:</w:t>
            </w:r>
          </w:p>
        </w:tc>
        <w:tc>
          <w:tcPr>
            <w:tcW w:type="dxa" w:w="4703"/>
          </w:tcPr>
          <w:p>
            <w:pPr>
              <w:jc w:val="left"/>
            </w:pPr>
            <w:r>
              <w:rPr>
                <w:rFonts w:ascii="Calibri" w:hAnsi="Calibri"/>
                <w:b w:val="0"/>
                <w:i w:val="0"/>
                <w:sz w:val="18"/>
              </w:rPr>
              <w:t>V1.1 2026</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