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9D75" w14:textId="29CB457F" w:rsidR="005B1EC9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Yoseph Habtu</w:t>
      </w:r>
    </w:p>
    <w:p w14:paraId="37F0B1A7" w14:textId="76CB0E73" w:rsidR="00682CDC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205 (CRN 34669)</w:t>
      </w:r>
    </w:p>
    <w:p w14:paraId="76C92616" w14:textId="2B50C9DD" w:rsidR="00682CDC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Perine</w:t>
      </w:r>
    </w:p>
    <w:p w14:paraId="690621B6" w14:textId="3B9AFEBA" w:rsidR="00682CDC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May 2025</w:t>
      </w:r>
    </w:p>
    <w:p w14:paraId="413349B4" w14:textId="33C87489" w:rsidR="00682CDC" w:rsidRDefault="00682CDC" w:rsidP="00536C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Rethinking Bioenergy – Final Report</w:t>
      </w:r>
    </w:p>
    <w:p w14:paraId="18F44E69" w14:textId="1FED79D2" w:rsidR="00682CDC" w:rsidRDefault="00682CDC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&amp; Project Overview</w:t>
      </w:r>
    </w:p>
    <w:p w14:paraId="1E139501" w14:textId="62898572" w:rsidR="00682CDC" w:rsidRPr="00682CDC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Bioenergy is a renewable energy source derived from biomass, or organic material (e.g., plants, </w:t>
      </w:r>
      <w:proofErr w:type="gramStart"/>
      <w:r w:rsidRPr="00682CDC">
        <w:rPr>
          <w:rFonts w:ascii="Times New Roman" w:hAnsi="Times New Roman" w:cs="Times New Roman"/>
          <w:sz w:val="24"/>
          <w:szCs w:val="24"/>
        </w:rPr>
        <w:t>wood,  food</w:t>
      </w:r>
      <w:proofErr w:type="gramEnd"/>
      <w:r w:rsidRPr="00682CDC">
        <w:rPr>
          <w:rFonts w:ascii="Times New Roman" w:hAnsi="Times New Roman" w:cs="Times New Roman"/>
          <w:sz w:val="24"/>
          <w:szCs w:val="24"/>
        </w:rPr>
        <w:t xml:space="preserve"> waste). Though widely used, questions remain about its true sustainability and economic competitiveness.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DC">
        <w:rPr>
          <w:rFonts w:ascii="Times New Roman" w:hAnsi="Times New Roman" w:cs="Times New Roman"/>
          <w:sz w:val="24"/>
          <w:szCs w:val="24"/>
        </w:rPr>
        <w:t>Fossil fuels, including coal, petroleum, and natural gas, still dominate the U.S. energy sector but pose well-known environmental and cost-related challenges.</w:t>
      </w:r>
    </w:p>
    <w:p w14:paraId="7047F6CA" w14:textId="77777777" w:rsidR="00682CDC" w:rsidRPr="00682CDC" w:rsidRDefault="00682CDC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>This project aims to evaluate whether bioenergy is a viable long-term substitute for fossil fuels by comparing the two groups across four sustainability metrics:</w:t>
      </w:r>
    </w:p>
    <w:p w14:paraId="13D3A2C4" w14:textId="586497CA" w:rsidR="00682CDC" w:rsidRPr="00682CDC" w:rsidRDefault="00682CDC" w:rsidP="00536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Carbon Intensity </w:t>
      </w:r>
      <w:r w:rsidR="00C777E5">
        <w:rPr>
          <w:rFonts w:ascii="Times New Roman" w:hAnsi="Times New Roman" w:cs="Times New Roman"/>
          <w:sz w:val="24"/>
          <w:szCs w:val="24"/>
        </w:rPr>
        <w:t>=</w:t>
      </w:r>
      <w:r w:rsidRPr="00682CDC">
        <w:rPr>
          <w:rFonts w:ascii="Times New Roman" w:hAnsi="Times New Roman" w:cs="Times New Roman"/>
          <w:sz w:val="24"/>
          <w:szCs w:val="24"/>
        </w:rPr>
        <w:t xml:space="preserve"> Emissions per unit of energy generated</w:t>
      </w:r>
    </w:p>
    <w:p w14:paraId="3917E496" w14:textId="32C0FA89" w:rsidR="00682CDC" w:rsidRPr="00682CDC" w:rsidRDefault="00682CDC" w:rsidP="00536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Energy Conversion Efficiency </w:t>
      </w:r>
      <w:r w:rsidR="00C777E5">
        <w:rPr>
          <w:rFonts w:ascii="Times New Roman" w:hAnsi="Times New Roman" w:cs="Times New Roman"/>
          <w:sz w:val="24"/>
          <w:szCs w:val="24"/>
        </w:rPr>
        <w:t>=</w:t>
      </w:r>
      <w:r w:rsidRPr="00682CDC">
        <w:rPr>
          <w:rFonts w:ascii="Times New Roman" w:hAnsi="Times New Roman" w:cs="Times New Roman"/>
          <w:sz w:val="24"/>
          <w:szCs w:val="24"/>
        </w:rPr>
        <w:t xml:space="preserve"> Energy produced relative to fuel consumed</w:t>
      </w:r>
    </w:p>
    <w:p w14:paraId="64A92ED9" w14:textId="433F33A7" w:rsidR="00682CDC" w:rsidRPr="00682CDC" w:rsidRDefault="00682CDC" w:rsidP="00536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Infrastructure Impact </w:t>
      </w:r>
      <w:r w:rsidR="00C777E5">
        <w:rPr>
          <w:rFonts w:ascii="Times New Roman" w:hAnsi="Times New Roman" w:cs="Times New Roman"/>
          <w:sz w:val="24"/>
          <w:szCs w:val="24"/>
        </w:rPr>
        <w:t>=</w:t>
      </w:r>
      <w:r w:rsidRPr="00682CDC">
        <w:rPr>
          <w:rFonts w:ascii="Times New Roman" w:hAnsi="Times New Roman" w:cs="Times New Roman"/>
          <w:sz w:val="24"/>
          <w:szCs w:val="24"/>
        </w:rPr>
        <w:t xml:space="preserve"> Construction cost per generation capacity</w:t>
      </w:r>
    </w:p>
    <w:p w14:paraId="350D1D9B" w14:textId="1AE9E692" w:rsidR="00682CDC" w:rsidRDefault="00682CDC" w:rsidP="00536C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Economic Performance </w:t>
      </w:r>
      <w:r w:rsidR="00C777E5">
        <w:rPr>
          <w:rFonts w:ascii="Times New Roman" w:hAnsi="Times New Roman" w:cs="Times New Roman"/>
          <w:sz w:val="24"/>
          <w:szCs w:val="24"/>
        </w:rPr>
        <w:t>=</w:t>
      </w:r>
      <w:r w:rsidRPr="00682CDC">
        <w:rPr>
          <w:rFonts w:ascii="Times New Roman" w:hAnsi="Times New Roman" w:cs="Times New Roman"/>
          <w:sz w:val="24"/>
          <w:szCs w:val="24"/>
        </w:rPr>
        <w:t xml:space="preserve"> Fuel cost/price trends and volatility over time</w:t>
      </w:r>
    </w:p>
    <w:p w14:paraId="539035D9" w14:textId="2FCF6FC8" w:rsidR="00682CDC" w:rsidRPr="00682CDC" w:rsidRDefault="00682CDC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Overview</w:t>
      </w:r>
    </w:p>
    <w:p w14:paraId="2E03CB7E" w14:textId="77777777" w:rsidR="00682CDC" w:rsidRDefault="00682CDC" w:rsidP="00536C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>EPA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CDC">
        <w:rPr>
          <w:rFonts w:ascii="Times New Roman" w:hAnsi="Times New Roman" w:cs="Times New Roman"/>
          <w:sz w:val="24"/>
          <w:szCs w:val="24"/>
        </w:rPr>
        <w:t>Greenhouse Gas Emissions by Fuel Source</w:t>
      </w:r>
      <w:r w:rsidRPr="00682CDC">
        <w:rPr>
          <w:rFonts w:ascii="Times New Roman" w:hAnsi="Times New Roman" w:cs="Times New Roman"/>
          <w:sz w:val="24"/>
          <w:szCs w:val="24"/>
        </w:rPr>
        <w:t xml:space="preserve"> </w:t>
      </w:r>
      <w:r w:rsidRPr="00682CDC">
        <w:rPr>
          <w:rFonts w:ascii="Times New Roman" w:hAnsi="Times New Roman" w:cs="Times New Roman"/>
          <w:sz w:val="24"/>
          <w:szCs w:val="24"/>
        </w:rPr>
        <w:t>(2010–2023): Facility-level greenhouse gas emissions in the U.S. categorized by fuel source and unit type; includes location and year data</w:t>
      </w:r>
    </w:p>
    <w:p w14:paraId="56C4E613" w14:textId="21289C60" w:rsidR="00682CDC" w:rsidRPr="00682CDC" w:rsidRDefault="00682CDC" w:rsidP="00536C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>EIA Electricity Generation</w:t>
      </w:r>
      <w:r w:rsidRPr="00682CDC">
        <w:rPr>
          <w:rFonts w:ascii="Times New Roman" w:hAnsi="Times New Roman" w:cs="Times New Roman"/>
          <w:sz w:val="24"/>
          <w:szCs w:val="24"/>
        </w:rPr>
        <w:t xml:space="preserve"> by Energy Source</w:t>
      </w:r>
      <w:r w:rsidRPr="00682CDC">
        <w:rPr>
          <w:rFonts w:ascii="Times New Roman" w:hAnsi="Times New Roman" w:cs="Times New Roman"/>
          <w:sz w:val="24"/>
          <w:szCs w:val="24"/>
        </w:rPr>
        <w:t xml:space="preserve"> (2014–2023): Annual totals of net electricity generation for various energy sources (renewable and nonrenewable) across all sectors in the U.S. grouped by facility type (e.g., utility-scale, small-scale)</w:t>
      </w:r>
    </w:p>
    <w:p w14:paraId="5ABB5319" w14:textId="50069415" w:rsidR="00682CDC" w:rsidRPr="00682CDC" w:rsidRDefault="00682CDC" w:rsidP="00536C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 xml:space="preserve">EIA Energy Consumption </w:t>
      </w:r>
      <w:r>
        <w:rPr>
          <w:rFonts w:ascii="Times New Roman" w:hAnsi="Times New Roman" w:cs="Times New Roman"/>
          <w:sz w:val="24"/>
          <w:szCs w:val="24"/>
        </w:rPr>
        <w:t xml:space="preserve">by Source </w:t>
      </w:r>
      <w:r w:rsidRPr="00682CDC">
        <w:rPr>
          <w:rFonts w:ascii="Times New Roman" w:hAnsi="Times New Roman" w:cs="Times New Roman"/>
          <w:sz w:val="24"/>
          <w:szCs w:val="24"/>
        </w:rPr>
        <w:t>(1949–2023): Historical data on primary energy consumption (measured in quadrillion Btu) in the U.S. categorized by energy source, including fossil fuels (coal, natural gas, petroleum) and renewables (biomass, among others)</w:t>
      </w:r>
    </w:p>
    <w:p w14:paraId="5ECBFF44" w14:textId="3711F8B7" w:rsidR="00682CDC" w:rsidRPr="00682CDC" w:rsidRDefault="00682CDC" w:rsidP="00536C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>EIA Construction Cost Data for Electric Generators by Major Energy Source (2013–2022): Annual construction costs for electric generators in the U.S, categorized by energy source; also contains generator capacity data and installation totals EIA Densified Biomass Fuel Report (2016–2024): Prices and volumes of densified biomass fuel and feedstock</w:t>
      </w:r>
    </w:p>
    <w:p w14:paraId="530CB0FD" w14:textId="77777777" w:rsidR="00682CDC" w:rsidRDefault="00682CDC" w:rsidP="00536C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CDC">
        <w:rPr>
          <w:rFonts w:ascii="Times New Roman" w:hAnsi="Times New Roman" w:cs="Times New Roman"/>
          <w:sz w:val="24"/>
          <w:szCs w:val="24"/>
        </w:rPr>
        <w:t>EIA Fossil Fuel Costs (2013–2023): Annual average cost of coal, gas, and petroleum fuels</w:t>
      </w:r>
    </w:p>
    <w:p w14:paraId="54AE2AAE" w14:textId="5290B87E" w:rsidR="00682CDC" w:rsidRDefault="00076259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Goal &amp; Questions</w:t>
      </w:r>
    </w:p>
    <w:p w14:paraId="052B6BDB" w14:textId="097F08A9" w:rsidR="00076259" w:rsidRPr="00076259" w:rsidRDefault="00076259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The goal of this project is to assess whether bioenergy can serve as a viable alternative to fossil fuels for electricity generation in the U.S. To do this, the project compares the performance of bioenergy and fossil fuels across various environmental and economic metrics.</w:t>
      </w:r>
    </w:p>
    <w:p w14:paraId="6DD57411" w14:textId="77777777" w:rsidR="00076259" w:rsidRPr="00076259" w:rsidRDefault="00076259" w:rsidP="00536C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lastRenderedPageBreak/>
        <w:t>Environmental Analysis</w:t>
      </w:r>
    </w:p>
    <w:p w14:paraId="30D2A344" w14:textId="77777777" w:rsidR="00076259" w:rsidRPr="00076259" w:rsidRDefault="00076259" w:rsidP="00536C9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How does carbon intensity (emissions per unit of energy) compare between biomass and fossil fuels over time?</w:t>
      </w:r>
    </w:p>
    <w:p w14:paraId="1BCE418B" w14:textId="77777777" w:rsidR="00076259" w:rsidRPr="00076259" w:rsidRDefault="00076259" w:rsidP="00536C9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How efficiently does each fuel type convert feedstock into usable electricity?</w:t>
      </w:r>
    </w:p>
    <w:p w14:paraId="52B5432B" w14:textId="77777777" w:rsidR="00076259" w:rsidRPr="00076259" w:rsidRDefault="00076259" w:rsidP="00536C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Economic Analysis</w:t>
      </w:r>
    </w:p>
    <w:p w14:paraId="0EDEA204" w14:textId="77777777" w:rsidR="00076259" w:rsidRPr="00076259" w:rsidRDefault="00076259" w:rsidP="00536C9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How does the relationship between construction cost and generation capacity differ between biomass and fossil fuel plants?</w:t>
      </w:r>
    </w:p>
    <w:p w14:paraId="10B06E05" w14:textId="3E487D68" w:rsidR="00076259" w:rsidRPr="00615C2C" w:rsidRDefault="00076259" w:rsidP="00536C9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What are the trends in fuel prices/costs over time, and how stable are they?</w:t>
      </w:r>
    </w:p>
    <w:p w14:paraId="4D7F2DBD" w14:textId="63BD2362" w:rsidR="00682CDC" w:rsidRDefault="00076259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&amp; Methods</w:t>
      </w:r>
    </w:p>
    <w:p w14:paraId="0BA6F4AC" w14:textId="77777777" w:rsidR="00076259" w:rsidRPr="00076259" w:rsidRDefault="00076259" w:rsidP="00536C9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Tools: Google Colab, Excel, GitHub</w:t>
      </w:r>
    </w:p>
    <w:p w14:paraId="1F05333E" w14:textId="77777777" w:rsidR="00076259" w:rsidRPr="00076259" w:rsidRDefault="00076259" w:rsidP="00536C9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258B9350" w14:textId="77777777" w:rsidR="00076259" w:rsidRPr="00076259" w:rsidRDefault="00076259" w:rsidP="00536C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259">
        <w:rPr>
          <w:rFonts w:ascii="Times New Roman" w:hAnsi="Times New Roman" w:cs="Times New Roman"/>
          <w:sz w:val="24"/>
          <w:szCs w:val="24"/>
        </w:rPr>
        <w:t xml:space="preserve">Libraries: Pandas, NumPy, Matplotlib, Seaborn, SciPy, </w:t>
      </w:r>
      <w:proofErr w:type="spellStart"/>
      <w:r w:rsidRPr="00076259">
        <w:rPr>
          <w:rFonts w:ascii="Times New Roman" w:hAnsi="Times New Roman" w:cs="Times New Roman"/>
          <w:sz w:val="24"/>
          <w:szCs w:val="24"/>
        </w:rPr>
        <w:t>Statsmodels</w:t>
      </w:r>
      <w:proofErr w:type="spellEnd"/>
    </w:p>
    <w:p w14:paraId="769F29F8" w14:textId="77F53EF8" w:rsidR="00076259" w:rsidRPr="00076259" w:rsidRDefault="00076259" w:rsidP="00536C9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</w:t>
      </w:r>
      <w:r w:rsidRPr="00076259">
        <w:rPr>
          <w:rFonts w:ascii="Times New Roman" w:hAnsi="Times New Roman" w:cs="Times New Roman"/>
          <w:sz w:val="24"/>
          <w:szCs w:val="24"/>
        </w:rPr>
        <w:t>Methods:</w:t>
      </w:r>
    </w:p>
    <w:p w14:paraId="1F2CE2C7" w14:textId="147DFB00" w:rsidR="00076259" w:rsidRDefault="00076259" w:rsidP="00536C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Intensity:</w:t>
      </w:r>
    </w:p>
    <w:p w14:paraId="72D324E5" w14:textId="77777777" w:rsidR="00C777E5" w:rsidRDefault="00076259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Comparative analysis via Student’s t-test and Cohen’s d (for effect size), after </w:t>
      </w:r>
      <w:r w:rsidR="00C777E5">
        <w:rPr>
          <w:rFonts w:ascii="Times New Roman" w:hAnsi="Times New Roman" w:cs="Times New Roman"/>
          <w:sz w:val="24"/>
          <w:szCs w:val="24"/>
        </w:rPr>
        <w:t>conducting standard assumption checks (Shapiro-Wilk test for normality, Levene’s test for homogeneity of variances)</w:t>
      </w:r>
    </w:p>
    <w:p w14:paraId="2E95BEDB" w14:textId="03E76A12" w:rsidR="00076259" w:rsidRDefault="00C777E5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analysis: Used regression modeling for both fuel groups (linear for fossil fuels, quadratic for biomass) only to fit trend lines on a scatter plot of carbon intensity values over time, with no intent to forecast future values; evaluated model performance metrics (</w:t>
      </w:r>
      <w:r w:rsidRPr="00C777E5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>, MAE, RMSE)</w:t>
      </w:r>
    </w:p>
    <w:p w14:paraId="3B55B540" w14:textId="279113A7" w:rsidR="00C777E5" w:rsidRDefault="00C777E5" w:rsidP="00536C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Efficiency</w:t>
      </w:r>
    </w:p>
    <w:p w14:paraId="6AAAF61A" w14:textId="040545F0" w:rsidR="00C777E5" w:rsidRDefault="00C777E5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and Cohen’s d to compare mean efficiency values between the two fuel groups of interest; conducted prior assumption testing (Shapiro-Wilk, Levene’s)</w:t>
      </w:r>
    </w:p>
    <w:p w14:paraId="3AFC27C0" w14:textId="27399236" w:rsidR="00C777E5" w:rsidRDefault="00C777E5" w:rsidP="00536C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Impact</w:t>
      </w:r>
    </w:p>
    <w:p w14:paraId="45F10688" w14:textId="78BE3F4E" w:rsidR="00C777E5" w:rsidRDefault="00615C2C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analysis (groupwise scatter plots of construction cost per generation capacity vs. total capacity; complementary correlation matrices for each fuel group’s cost-capacity relationship)</w:t>
      </w:r>
    </w:p>
    <w:p w14:paraId="5E305CEB" w14:textId="52500608" w:rsidR="00615C2C" w:rsidRDefault="00615C2C" w:rsidP="00536C9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Cost Performance (Trends + Stability)</w:t>
      </w:r>
    </w:p>
    <w:p w14:paraId="70E0C5C2" w14:textId="6D3A4C6C" w:rsidR="00615C2C" w:rsidRDefault="00615C2C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trend analysis (dual-axis groupwise line plot of annual fuel prices/costs for biomass and fossil fuels, including annotations for year-over-year percent changes)</w:t>
      </w:r>
    </w:p>
    <w:p w14:paraId="4A489CCC" w14:textId="5E1A974B" w:rsidR="00615C2C" w:rsidRDefault="00615C2C" w:rsidP="00536C9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Mann-Whitney U tests on year-over-year (YoY) relative and absolute price changes</w:t>
      </w:r>
    </w:p>
    <w:p w14:paraId="33CF8514" w14:textId="35F6BA5C" w:rsidR="00615C2C" w:rsidRDefault="00615C2C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Cleaning &amp; Preprocessing</w:t>
      </w:r>
    </w:p>
    <w:p w14:paraId="2423DF43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 xml:space="preserve">Merged multi-year tables and reshaped datasets for consistency (e.g., wide </w:t>
      </w:r>
      <w:proofErr w:type="gramStart"/>
      <w:r w:rsidRPr="00615C2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15C2C">
        <w:rPr>
          <w:rFonts w:ascii="Times New Roman" w:hAnsi="Times New Roman" w:cs="Times New Roman"/>
          <w:sz w:val="24"/>
          <w:szCs w:val="24"/>
        </w:rPr>
        <w:t xml:space="preserve"> long format)</w:t>
      </w:r>
    </w:p>
    <w:p w14:paraId="0F38D234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>Handled missing values using median imputation or row removal based on context</w:t>
      </w:r>
    </w:p>
    <w:p w14:paraId="11E4C599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>Created group-level categories (e.g., All Biomass, All Fossil Fuels) for aggregation</w:t>
      </w:r>
    </w:p>
    <w:p w14:paraId="107D349C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>Categorized ambiguous or overlapping fuel types using EPA/EIA documentation and domain research​</w:t>
      </w:r>
    </w:p>
    <w:p w14:paraId="2E57F6BA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>Harmonized units, column names, and energy source names across datasets for integration and comparability</w:t>
      </w:r>
    </w:p>
    <w:p w14:paraId="7FA0FDEE" w14:textId="77777777" w:rsidR="00615C2C" w:rsidRP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lastRenderedPageBreak/>
        <w:t>Constructed summary tables that aggregated data by fuel type (biomass vs. fossil fuels) and year for each area of analysis</w:t>
      </w:r>
    </w:p>
    <w:p w14:paraId="62B0DC0D" w14:textId="5E3A94C9" w:rsidR="00615C2C" w:rsidRDefault="00615C2C" w:rsidP="00536C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C2C">
        <w:rPr>
          <w:rFonts w:ascii="Times New Roman" w:hAnsi="Times New Roman" w:cs="Times New Roman"/>
          <w:sz w:val="24"/>
          <w:szCs w:val="24"/>
        </w:rPr>
        <w:t>Derived normalized variables (e.g., carbon intensity, energy efficiency) from the summary data</w:t>
      </w:r>
    </w:p>
    <w:p w14:paraId="5E01DE44" w14:textId="194E86A4" w:rsidR="00615C2C" w:rsidRDefault="00615C2C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Basic Descriptive Statistics</w:t>
      </w:r>
    </w:p>
    <w:p w14:paraId="04E0EC7C" w14:textId="254160D5" w:rsidR="00615C2C" w:rsidRPr="001D60BE" w:rsidRDefault="00940582" w:rsidP="00536C9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KDE plots </w:t>
      </w:r>
      <w:proofErr w:type="gramStart"/>
      <w:r>
        <w:t>were</w:t>
      </w:r>
      <w:proofErr w:type="gramEnd"/>
      <w:r>
        <w:t xml:space="preserve"> plots were created to visualize and compare distributions of values</w:t>
      </w:r>
      <w:r w:rsidR="00615C2C" w:rsidRPr="001D60BE">
        <w:rPr>
          <w:rFonts w:ascii="Times New Roman" w:hAnsi="Times New Roman" w:cs="Times New Roman"/>
          <w:sz w:val="24"/>
          <w:szCs w:val="24"/>
        </w:rPr>
        <w:t xml:space="preserve"> for each raw</w:t>
      </w:r>
      <w:r w:rsidR="001D60BE">
        <w:rPr>
          <w:rFonts w:ascii="Times New Roman" w:hAnsi="Times New Roman" w:cs="Times New Roman"/>
          <w:sz w:val="24"/>
          <w:szCs w:val="24"/>
        </w:rPr>
        <w:t xml:space="preserve">/basic </w:t>
      </w:r>
      <w:r w:rsidR="00615C2C" w:rsidRPr="001D60BE">
        <w:rPr>
          <w:rFonts w:ascii="Times New Roman" w:hAnsi="Times New Roman" w:cs="Times New Roman"/>
          <w:sz w:val="24"/>
          <w:szCs w:val="24"/>
        </w:rPr>
        <w:t>metric (e.g., emissions, consumption, electricity generation)</w:t>
      </w:r>
      <w:r>
        <w:rPr>
          <w:rFonts w:ascii="Times New Roman" w:hAnsi="Times New Roman" w:cs="Times New Roman"/>
          <w:sz w:val="24"/>
          <w:szCs w:val="24"/>
        </w:rPr>
        <w:t xml:space="preserve"> between the two fuel groups of interest</w:t>
      </w:r>
      <w:r w:rsidR="00615C2C" w:rsidRPr="001D60BE">
        <w:rPr>
          <w:rFonts w:ascii="Times New Roman" w:hAnsi="Times New Roman" w:cs="Times New Roman"/>
          <w:sz w:val="24"/>
          <w:szCs w:val="24"/>
        </w:rPr>
        <w:t>; excluded fuel costs/prices since biomass and fossil fuels use different units</w:t>
      </w:r>
    </w:p>
    <w:p w14:paraId="100B919E" w14:textId="04884D08" w:rsidR="00615C2C" w:rsidRDefault="001D60BE" w:rsidP="00536C96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Insights:</w:t>
      </w:r>
    </w:p>
    <w:p w14:paraId="48480479" w14:textId="77777777" w:rsidR="001D60BE" w:rsidRPr="001D60BE" w:rsidRDefault="001D60BE" w:rsidP="00536C96">
      <w:pPr>
        <w:pStyle w:val="ListParagraph"/>
        <w:numPr>
          <w:ilvl w:val="0"/>
          <w:numId w:val="7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Fossil fuels dominate in scale but show high variability across emissions, consumption, and generation, potentially due to their diverse sources and long-term shifts.</w:t>
      </w:r>
    </w:p>
    <w:p w14:paraId="0DE073B2" w14:textId="77777777" w:rsidR="001D60BE" w:rsidRPr="001D60BE" w:rsidRDefault="001D60BE" w:rsidP="00536C96">
      <w:pPr>
        <w:pStyle w:val="ListParagraph"/>
        <w:numPr>
          <w:ilvl w:val="0"/>
          <w:numId w:val="7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Biomass is consistent but small-scale, with tight clustering across all metrics and minimal fluctuation.</w:t>
      </w:r>
    </w:p>
    <w:p w14:paraId="76C3300E" w14:textId="77777777" w:rsidR="001D60BE" w:rsidRPr="001D60BE" w:rsidRDefault="001D60BE" w:rsidP="00536C96">
      <w:pPr>
        <w:pStyle w:val="ListParagraph"/>
        <w:numPr>
          <w:ilvl w:val="0"/>
          <w:numId w:val="7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Construction cost per MW is higher for biomass, suggesting higher investment needs despite lower output.</w:t>
      </w:r>
    </w:p>
    <w:p w14:paraId="24B0472D" w14:textId="3917725C" w:rsidR="001D60BE" w:rsidRDefault="001D60BE" w:rsidP="00536C96">
      <w:pPr>
        <w:pStyle w:val="ListParagraph"/>
        <w:numPr>
          <w:ilvl w:val="0"/>
          <w:numId w:val="7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Overall, these plots reveal greater stability in biomass operations vs. fossil fuels' more volatile and transitional nature.</w:t>
      </w:r>
    </w:p>
    <w:p w14:paraId="36271856" w14:textId="4C2EA45B" w:rsidR="001D60BE" w:rsidRPr="00940582" w:rsidRDefault="001D60BE" w:rsidP="00536C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tables of annual values for core sustainability metrics (e.g., carbon intensity, energy efficiency), one table for each fuel group; including only the years 2016, 2019, and 2021, due to limited time range overlap between the datasets for each metric (these 3 years were the best available option since they are mostly evenly spread out)</w:t>
      </w:r>
    </w:p>
    <w:p w14:paraId="4717D699" w14:textId="11856F76" w:rsidR="001D60BE" w:rsidRDefault="001D60BE" w:rsidP="00536C96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Insights:</w:t>
      </w:r>
    </w:p>
    <w:p w14:paraId="006B4D33" w14:textId="77777777" w:rsidR="001D60BE" w:rsidRPr="001D60BE" w:rsidRDefault="001D60BE" w:rsidP="00536C96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 xml:space="preserve">Biomass has consistently </w:t>
      </w:r>
      <w:proofErr w:type="gramStart"/>
      <w:r w:rsidRPr="001D60BE">
        <w:rPr>
          <w:rFonts w:ascii="Times New Roman" w:hAnsi="Times New Roman" w:cs="Times New Roman"/>
          <w:sz w:val="24"/>
          <w:szCs w:val="24"/>
        </w:rPr>
        <w:t>higher</w:t>
      </w:r>
      <w:proofErr w:type="gramEnd"/>
      <w:r w:rsidRPr="001D60BE">
        <w:rPr>
          <w:rFonts w:ascii="Times New Roman" w:hAnsi="Times New Roman" w:cs="Times New Roman"/>
          <w:sz w:val="24"/>
          <w:szCs w:val="24"/>
        </w:rPr>
        <w:t xml:space="preserve"> carbon intensity than fossil fuels in all selected years (roughly 5-7 times higher)</w:t>
      </w:r>
    </w:p>
    <w:p w14:paraId="2F7D5BCB" w14:textId="77777777" w:rsidR="001D60BE" w:rsidRPr="001D60BE" w:rsidRDefault="001D60BE" w:rsidP="00536C96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Fossil Fuels convert fuel to electricity much more efficiently, producing 2.7-3x more output per unit of energy</w:t>
      </w:r>
    </w:p>
    <w:p w14:paraId="77375269" w14:textId="77777777" w:rsidR="001D60BE" w:rsidRPr="001D60BE" w:rsidRDefault="001D60BE" w:rsidP="00536C96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Biomass electric generators cost significantly more to build per MW of capacity (~ 2.5-3x higher construction costs)</w:t>
      </w:r>
    </w:p>
    <w:p w14:paraId="20617F6B" w14:textId="77777777" w:rsidR="001D60BE" w:rsidRPr="001D60BE" w:rsidRDefault="001D60BE" w:rsidP="00536C96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Biomass fuel prices rose steadily from 2016 to 2021, while fossil fuel costs fluctuated and spiked in 2021</w:t>
      </w:r>
    </w:p>
    <w:p w14:paraId="0FEAA5AD" w14:textId="5761F214" w:rsidR="001D60BE" w:rsidRDefault="001D60BE" w:rsidP="00536C96">
      <w:pPr>
        <w:pStyle w:val="ListParagraph"/>
        <w:numPr>
          <w:ilvl w:val="0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60BE">
        <w:rPr>
          <w:rFonts w:ascii="Times New Roman" w:hAnsi="Times New Roman" w:cs="Times New Roman"/>
          <w:sz w:val="24"/>
          <w:szCs w:val="24"/>
        </w:rPr>
        <w:t>These descriptive statistics show a clear performance gap favoring fossil fuels; however, deeper evaluation is needed to understand the full context and magnitude of these differences.</w:t>
      </w:r>
    </w:p>
    <w:p w14:paraId="15BAC6A5" w14:textId="1DE5D52A" w:rsidR="001D60BE" w:rsidRDefault="001D60BE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Final Data Product</w:t>
      </w:r>
      <w:r w:rsidR="002F797A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31AAA1E2" w14:textId="52294594" w:rsidR="002F797A" w:rsidRDefault="002F797A" w:rsidP="00536C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97A">
        <w:rPr>
          <w:rFonts w:ascii="Times New Roman" w:hAnsi="Times New Roman" w:cs="Times New Roman"/>
          <w:sz w:val="24"/>
          <w:szCs w:val="24"/>
        </w:rPr>
        <w:t xml:space="preserve">Results,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F797A">
        <w:rPr>
          <w:rFonts w:ascii="Times New Roman" w:hAnsi="Times New Roman" w:cs="Times New Roman"/>
          <w:sz w:val="24"/>
          <w:szCs w:val="24"/>
        </w:rPr>
        <w:t xml:space="preserve">isualizations,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F797A">
        <w:rPr>
          <w:rFonts w:ascii="Times New Roman" w:hAnsi="Times New Roman" w:cs="Times New Roman"/>
          <w:sz w:val="24"/>
          <w:szCs w:val="24"/>
        </w:rPr>
        <w:t>onclusions</w:t>
      </w:r>
      <w:r>
        <w:rPr>
          <w:rFonts w:ascii="Times New Roman" w:hAnsi="Times New Roman" w:cs="Times New Roman"/>
          <w:sz w:val="24"/>
          <w:szCs w:val="24"/>
        </w:rPr>
        <w:t xml:space="preserve"> for each research area:</w:t>
      </w:r>
    </w:p>
    <w:p w14:paraId="3E0F4F28" w14:textId="2553C4A2" w:rsidR="002F797A" w:rsidRDefault="002F797A" w:rsidP="00536C9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Intensity</w:t>
      </w:r>
    </w:p>
    <w:p w14:paraId="6576F259" w14:textId="4578CABE" w:rsidR="002F797A" w:rsidRDefault="002F797A" w:rsidP="005D28C2">
      <w:pPr>
        <w:pStyle w:val="ListParagraph"/>
        <w:numPr>
          <w:ilvl w:val="1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Exploratory visualizations</w:t>
      </w:r>
      <w:r w:rsidR="008359B4">
        <w:rPr>
          <w:rFonts w:ascii="Times New Roman" w:hAnsi="Times New Roman" w:cs="Times New Roman"/>
          <w:sz w:val="24"/>
          <w:szCs w:val="24"/>
        </w:rPr>
        <w:t>:</w:t>
      </w:r>
      <w:r w:rsidR="001E1CD1">
        <w:rPr>
          <w:rFonts w:ascii="Times New Roman" w:hAnsi="Times New Roman" w:cs="Times New Roman"/>
          <w:sz w:val="24"/>
          <w:szCs w:val="24"/>
        </w:rPr>
        <w:t xml:space="preserve"> 1) Grouped bar chart of GHG emissions by fuel type in 2013 vs. 2023; 2) Line plot of raw total emissions over time (2014-2023) for biomass vs. fossil fuels</w:t>
      </w:r>
    </w:p>
    <w:p w14:paraId="50D90FB1" w14:textId="01FB02CA" w:rsidR="008359B4" w:rsidRPr="008359B4" w:rsidRDefault="008359B4" w:rsidP="00536C9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analysis:</w:t>
      </w:r>
    </w:p>
    <w:p w14:paraId="7D57C5A3" w14:textId="4D77DC4D" w:rsidR="008359B4" w:rsidRPr="008359B4" w:rsidRDefault="008359B4" w:rsidP="00536C96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results: t = 54.6337, p = 0.0000 (rounded to 4 decimal places)</w:t>
      </w:r>
    </w:p>
    <w:p w14:paraId="25F6C002" w14:textId="1D03F9B5" w:rsidR="008359B4" w:rsidRPr="008359B4" w:rsidRDefault="008359B4" w:rsidP="00536C96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9B4">
        <w:rPr>
          <w:rFonts w:ascii="Times New Roman" w:hAnsi="Times New Roman" w:cs="Times New Roman"/>
          <w:sz w:val="24"/>
          <w:szCs w:val="24"/>
        </w:rPr>
        <w:t xml:space="preserve">Extremely significant result </w:t>
      </w:r>
      <w:r w:rsidRPr="008359B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59B4">
        <w:rPr>
          <w:rFonts w:ascii="Times New Roman" w:hAnsi="Times New Roman" w:cs="Times New Roman"/>
          <w:sz w:val="24"/>
          <w:szCs w:val="24"/>
        </w:rPr>
        <w:t xml:space="preserve"> Strong evidence of a difference in carbon intensity between biomass and fossil fuel sources.</w:t>
      </w:r>
    </w:p>
    <w:p w14:paraId="063ED05E" w14:textId="33C58213" w:rsidR="008359B4" w:rsidRPr="008359B4" w:rsidRDefault="008359B4" w:rsidP="00536C96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Cohen’s d: 24.4329</w:t>
      </w:r>
    </w:p>
    <w:p w14:paraId="5C5DCC0D" w14:textId="70A4852A" w:rsidR="008359B4" w:rsidRDefault="008359B4" w:rsidP="00536C96">
      <w:pPr>
        <w:pStyle w:val="ListParagraph"/>
        <w:numPr>
          <w:ilvl w:val="2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9B4">
        <w:rPr>
          <w:rFonts w:ascii="Times New Roman" w:hAnsi="Times New Roman" w:cs="Times New Roman"/>
          <w:sz w:val="24"/>
          <w:szCs w:val="24"/>
        </w:rPr>
        <w:t xml:space="preserve">Huge effect </w:t>
      </w:r>
      <w:proofErr w:type="gramStart"/>
      <w:r w:rsidRPr="008359B4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359B4">
        <w:rPr>
          <w:rFonts w:ascii="Times New Roman" w:hAnsi="Times New Roman" w:cs="Times New Roman"/>
          <w:sz w:val="24"/>
          <w:szCs w:val="24"/>
        </w:rPr>
        <w:t xml:space="preserve"> </w:t>
      </w:r>
      <w:r w:rsidRPr="008359B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359B4">
        <w:rPr>
          <w:rFonts w:ascii="Times New Roman" w:hAnsi="Times New Roman" w:cs="Times New Roman"/>
          <w:sz w:val="24"/>
          <w:szCs w:val="24"/>
        </w:rPr>
        <w:t xml:space="preserve"> The difference between the two groups is not only statistically significant, but practically very large as well.</w:t>
      </w:r>
    </w:p>
    <w:p w14:paraId="6C8CBB7B" w14:textId="12A42063" w:rsidR="008359B4" w:rsidRDefault="008359B4" w:rsidP="00536C9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analysis:</w:t>
      </w:r>
    </w:p>
    <w:p w14:paraId="08560731" w14:textId="6E676095" w:rsidR="001E1CD1" w:rsidRDefault="001E1CD1" w:rsidP="00536C96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groupwise scatter plot of carbon intensity over time for biomass and fossil fuels, with fitted trend lines created from regression models</w:t>
      </w:r>
    </w:p>
    <w:p w14:paraId="38B26892" w14:textId="3FC6DF9A" w:rsidR="008359B4" w:rsidRPr="001E1CD1" w:rsidRDefault="001E1CD1" w:rsidP="00536C96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performance metrics for each fuel group’s model</w:t>
      </w:r>
    </w:p>
    <w:p w14:paraId="3B131FC3" w14:textId="36238BF0" w:rsidR="008359B4" w:rsidRDefault="006C7221" w:rsidP="005D28C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2605" w:rsidRPr="00C62605">
        <w:rPr>
          <w:rFonts w:ascii="Times New Roman" w:hAnsi="Times New Roman" w:cs="Times New Roman"/>
          <w:b/>
          <w:bCs/>
          <w:sz w:val="24"/>
          <w:szCs w:val="24"/>
        </w:rPr>
        <w:t xml:space="preserve">Interpretation </w:t>
      </w:r>
      <w:r w:rsidR="005D28C2">
        <w:rPr>
          <w:rFonts w:ascii="Times New Roman" w:hAnsi="Times New Roman" w:cs="Times New Roman"/>
          <w:b/>
          <w:bCs/>
          <w:sz w:val="24"/>
          <w:szCs w:val="24"/>
        </w:rPr>
        <w:t xml:space="preserve">and Implications </w:t>
      </w:r>
      <w:r w:rsidR="00C62605" w:rsidRPr="00C62605">
        <w:rPr>
          <w:rFonts w:ascii="Times New Roman" w:hAnsi="Times New Roman" w:cs="Times New Roman"/>
          <w:b/>
          <w:bCs/>
          <w:sz w:val="24"/>
          <w:szCs w:val="24"/>
        </w:rPr>
        <w:t>of Results</w:t>
      </w:r>
      <w:r w:rsidR="007F18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37DE6B" w14:textId="77777777" w:rsidR="006C7221" w:rsidRPr="006C7221" w:rsidRDefault="006C7221" w:rsidP="005D28C2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221">
        <w:rPr>
          <w:rFonts w:ascii="Times New Roman" w:hAnsi="Times New Roman" w:cs="Times New Roman"/>
          <w:sz w:val="24"/>
          <w:szCs w:val="24"/>
        </w:rPr>
        <w:t>Fossil fuels show a clear and steady decline across the decade, especially from 2014 to 2020, with a small uptick in 2021 before continuing downward. This trend aligns with a shift toward cleaner-burning fuels and is well-modeled linearly (R² ≈ 0.93).</w:t>
      </w:r>
    </w:p>
    <w:p w14:paraId="5B5C93E0" w14:textId="77777777" w:rsidR="006C7221" w:rsidRPr="006C7221" w:rsidRDefault="006C7221" w:rsidP="005D28C2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221">
        <w:rPr>
          <w:rFonts w:ascii="Times New Roman" w:hAnsi="Times New Roman" w:cs="Times New Roman"/>
          <w:sz w:val="24"/>
          <w:szCs w:val="24"/>
        </w:rPr>
        <w:t>Biomass, in contrast, shows a more complex pattern. There’s a gradual decline in the earlier years, but it flattens out and slightly increases from around 2018 onward. The curved trajectory is better captured by a quadratic fit (R² ≈ 0.81).</w:t>
      </w:r>
    </w:p>
    <w:p w14:paraId="17D9762B" w14:textId="09A1CC86" w:rsidR="006C7221" w:rsidRDefault="006C7221" w:rsidP="005D28C2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221">
        <w:rPr>
          <w:rFonts w:ascii="Times New Roman" w:hAnsi="Times New Roman" w:cs="Times New Roman"/>
          <w:sz w:val="24"/>
          <w:szCs w:val="24"/>
        </w:rPr>
        <w:t xml:space="preserve">These trends contrast those shown in the earlier total emissions plot: although biomass has higher carbon intensity, </w:t>
      </w:r>
      <w:proofErr w:type="gramStart"/>
      <w:r w:rsidRPr="006C7221">
        <w:rPr>
          <w:rFonts w:ascii="Times New Roman" w:hAnsi="Times New Roman" w:cs="Times New Roman"/>
          <w:sz w:val="24"/>
          <w:szCs w:val="24"/>
        </w:rPr>
        <w:t>it emits</w:t>
      </w:r>
      <w:proofErr w:type="gramEnd"/>
      <w:r w:rsidRPr="006C7221">
        <w:rPr>
          <w:rFonts w:ascii="Times New Roman" w:hAnsi="Times New Roman" w:cs="Times New Roman"/>
          <w:sz w:val="24"/>
          <w:szCs w:val="24"/>
        </w:rPr>
        <w:t xml:space="preserve"> far less in total, likely due to overall energy (i.e., electricity) production.</w:t>
      </w:r>
    </w:p>
    <w:p w14:paraId="0F7D1226" w14:textId="0D8BF6F9" w:rsidR="001E1CD1" w:rsidRDefault="007F1853" w:rsidP="00536C9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Efficiency</w:t>
      </w:r>
    </w:p>
    <w:p w14:paraId="6D078032" w14:textId="3C69F2F1" w:rsidR="007F1853" w:rsidRDefault="007F1853" w:rsidP="005D28C2">
      <w:pPr>
        <w:pStyle w:val="ListParagraph"/>
        <w:numPr>
          <w:ilvl w:val="0"/>
          <w:numId w:val="3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visualizations: 1)</w:t>
      </w:r>
      <w:r w:rsidRPr="007F1853">
        <w:t xml:space="preserve"> </w:t>
      </w:r>
      <w:r w:rsidRPr="007F1853">
        <w:rPr>
          <w:rFonts w:ascii="Times New Roman" w:hAnsi="Times New Roman" w:cs="Times New Roman"/>
          <w:sz w:val="24"/>
          <w:szCs w:val="24"/>
        </w:rPr>
        <w:t>Line plot of percent change in electricity generation since 2014 for biomass vs. fossil fuels</w:t>
      </w:r>
      <w:r>
        <w:rPr>
          <w:rFonts w:ascii="Times New Roman" w:hAnsi="Times New Roman" w:cs="Times New Roman"/>
          <w:sz w:val="24"/>
          <w:szCs w:val="24"/>
        </w:rPr>
        <w:t>; 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F1853">
        <w:rPr>
          <w:rFonts w:ascii="Times New Roman" w:hAnsi="Times New Roman" w:cs="Times New Roman"/>
          <w:sz w:val="24"/>
          <w:szCs w:val="24"/>
        </w:rPr>
        <w:t xml:space="preserve"> Line</w:t>
      </w:r>
      <w:proofErr w:type="gramEnd"/>
      <w:r w:rsidRPr="007F1853">
        <w:rPr>
          <w:rFonts w:ascii="Times New Roman" w:hAnsi="Times New Roman" w:cs="Times New Roman"/>
          <w:sz w:val="24"/>
          <w:szCs w:val="24"/>
        </w:rPr>
        <w:t xml:space="preserve"> plot of long-term (1949-2023) energy consumption by source (coal, natural gas, petroleum, biomass)</w:t>
      </w:r>
    </w:p>
    <w:p w14:paraId="4467ECCC" w14:textId="2EAA0AEB" w:rsidR="007F1853" w:rsidRDefault="007F1853" w:rsidP="005D28C2">
      <w:pPr>
        <w:pStyle w:val="ListParagraph"/>
        <w:numPr>
          <w:ilvl w:val="0"/>
          <w:numId w:val="3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analysis</w:t>
      </w:r>
    </w:p>
    <w:p w14:paraId="7A963022" w14:textId="04D0CA5E" w:rsidR="007F1853" w:rsidRDefault="007F1853" w:rsidP="005D28C2">
      <w:pPr>
        <w:pStyle w:val="ListParagraph"/>
        <w:numPr>
          <w:ilvl w:val="1"/>
          <w:numId w:val="1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bar chart of energy efficiency values in the 2020s, biomass vs. fossil fuels</w:t>
      </w:r>
    </w:p>
    <w:p w14:paraId="4167EB1E" w14:textId="691EB4B0" w:rsidR="007F1853" w:rsidRDefault="007F1853" w:rsidP="005D28C2">
      <w:pPr>
        <w:pStyle w:val="ListParagraph"/>
        <w:numPr>
          <w:ilvl w:val="1"/>
          <w:numId w:val="1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results: t = 36.5894, p = 0.0000 (rounded to 4 decimal places)</w:t>
      </w:r>
      <w:r w:rsidR="00703960">
        <w:rPr>
          <w:rFonts w:ascii="Times New Roman" w:hAnsi="Times New Roman" w:cs="Times New Roman"/>
          <w:sz w:val="24"/>
          <w:szCs w:val="24"/>
        </w:rPr>
        <w:t>; Cohen’s d: 25.876</w:t>
      </w:r>
    </w:p>
    <w:p w14:paraId="10FD0858" w14:textId="1B63D895" w:rsidR="007F1853" w:rsidRDefault="005D28C2" w:rsidP="005D28C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D28C2">
        <w:rPr>
          <w:rFonts w:ascii="Times New Roman" w:hAnsi="Times New Roman" w:cs="Times New Roman"/>
          <w:b/>
          <w:bCs/>
          <w:sz w:val="24"/>
          <w:szCs w:val="24"/>
        </w:rPr>
        <w:t>Interpretation and Implications of Results</w:t>
      </w:r>
      <w:r w:rsidR="007F18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741B5" w14:textId="77777777" w:rsidR="007F1853" w:rsidRP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F1853">
        <w:rPr>
          <w:rFonts w:ascii="Times New Roman" w:hAnsi="Times New Roman" w:cs="Times New Roman"/>
          <w:sz w:val="24"/>
          <w:szCs w:val="24"/>
        </w:rPr>
        <w:t>Across</w:t>
      </w:r>
      <w:proofErr w:type="gramEnd"/>
      <w:r w:rsidRPr="007F1853">
        <w:rPr>
          <w:rFonts w:ascii="Times New Roman" w:hAnsi="Times New Roman" w:cs="Times New Roman"/>
          <w:sz w:val="24"/>
          <w:szCs w:val="24"/>
        </w:rPr>
        <w:t xml:space="preserve"> the last four years, fossil fuels have shown much higher energy conversion efficiency than biomass — with a consistent gap of about 2x to 3x.</w:t>
      </w:r>
    </w:p>
    <w:p w14:paraId="78206A15" w14:textId="77777777" w:rsidR="007F1853" w:rsidRP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1853">
        <w:rPr>
          <w:rFonts w:ascii="Times New Roman" w:hAnsi="Times New Roman" w:cs="Times New Roman"/>
          <w:sz w:val="24"/>
          <w:szCs w:val="24"/>
        </w:rPr>
        <w:t>Biomass efficiency has steadily declined from 2020 to 2023, while fossil fuel efficiency has remained relatively stable.</w:t>
      </w:r>
    </w:p>
    <w:p w14:paraId="0E92A3B7" w14:textId="77777777" w:rsidR="007F1853" w:rsidRP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1853">
        <w:rPr>
          <w:rFonts w:ascii="Times New Roman" w:hAnsi="Times New Roman" w:cs="Times New Roman"/>
          <w:sz w:val="24"/>
          <w:szCs w:val="24"/>
        </w:rPr>
        <w:t>This persistent and widening gap is reflected in the statistical analysis:</w:t>
      </w:r>
    </w:p>
    <w:p w14:paraId="2A9F4F2A" w14:textId="77777777" w:rsidR="007F1853" w:rsidRP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F1853">
        <w:rPr>
          <w:rFonts w:ascii="Times New Roman" w:hAnsi="Times New Roman" w:cs="Times New Roman"/>
          <w:sz w:val="24"/>
          <w:szCs w:val="24"/>
        </w:rPr>
        <w:t>Student’s t</w:t>
      </w:r>
      <w:proofErr w:type="gramEnd"/>
      <w:r w:rsidRPr="007F1853">
        <w:rPr>
          <w:rFonts w:ascii="Times New Roman" w:hAnsi="Times New Roman" w:cs="Times New Roman"/>
          <w:sz w:val="24"/>
          <w:szCs w:val="24"/>
        </w:rPr>
        <w:t>-test confirms the difference in group means is statistically significant (t = 36.59, p &lt; 0.001).</w:t>
      </w:r>
    </w:p>
    <w:p w14:paraId="3CACD420" w14:textId="77777777" w:rsidR="007F1853" w:rsidRP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1853">
        <w:rPr>
          <w:rFonts w:ascii="Times New Roman" w:hAnsi="Times New Roman" w:cs="Times New Roman"/>
          <w:sz w:val="24"/>
          <w:szCs w:val="24"/>
        </w:rPr>
        <w:t>Cohen’s d = 25.87 indicates an extremely large effect size, supporting a strong performance divide.</w:t>
      </w:r>
    </w:p>
    <w:p w14:paraId="559586B7" w14:textId="4D52AF9C" w:rsidR="007F1853" w:rsidRDefault="007F1853" w:rsidP="005D28C2">
      <w:pPr>
        <w:pStyle w:val="ListParagraph"/>
        <w:numPr>
          <w:ilvl w:val="0"/>
          <w:numId w:val="20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1853">
        <w:rPr>
          <w:rFonts w:ascii="Times New Roman" w:hAnsi="Times New Roman" w:cs="Times New Roman"/>
          <w:sz w:val="24"/>
          <w:szCs w:val="24"/>
        </w:rPr>
        <w:lastRenderedPageBreak/>
        <w:t xml:space="preserve">When paired with earlier findings (e.g., stagnant generation growth), the low output-to-input ratio suggests biomass currently </w:t>
      </w:r>
      <w:proofErr w:type="gramStart"/>
      <w:r w:rsidRPr="007F1853">
        <w:rPr>
          <w:rFonts w:ascii="Times New Roman" w:hAnsi="Times New Roman" w:cs="Times New Roman"/>
          <w:sz w:val="24"/>
          <w:szCs w:val="24"/>
        </w:rPr>
        <w:t>lags behind</w:t>
      </w:r>
      <w:proofErr w:type="gramEnd"/>
      <w:r w:rsidRPr="007F1853">
        <w:rPr>
          <w:rFonts w:ascii="Times New Roman" w:hAnsi="Times New Roman" w:cs="Times New Roman"/>
          <w:sz w:val="24"/>
          <w:szCs w:val="24"/>
        </w:rPr>
        <w:t xml:space="preserve"> fossil fuels in terms of energy return, which is a key metric of long-term sustainability.</w:t>
      </w:r>
    </w:p>
    <w:p w14:paraId="74BCEB60" w14:textId="729CB5B3" w:rsidR="007F1853" w:rsidRDefault="007F1853" w:rsidP="00536C9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Impact</w:t>
      </w:r>
    </w:p>
    <w:p w14:paraId="57C3D6AF" w14:textId="1012F5DB" w:rsidR="007F1853" w:rsidRDefault="007F1853" w:rsidP="005D28C2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visualization: boxplot of generator construction costs per generation capacity ($/MW) by energy source (including both renewable and nonrenewable)</w:t>
      </w:r>
    </w:p>
    <w:p w14:paraId="4B894556" w14:textId="15CBB75C" w:rsidR="00703960" w:rsidRDefault="00703960" w:rsidP="00536C96">
      <w:pPr>
        <w:pStyle w:val="ListParagraph"/>
        <w:numPr>
          <w:ilvl w:val="0"/>
          <w:numId w:val="2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analysis</w:t>
      </w:r>
      <w:r w:rsidR="00883BD9">
        <w:rPr>
          <w:rFonts w:ascii="Times New Roman" w:hAnsi="Times New Roman" w:cs="Times New Roman"/>
          <w:sz w:val="24"/>
          <w:szCs w:val="24"/>
        </w:rPr>
        <w:t>:</w:t>
      </w:r>
    </w:p>
    <w:p w14:paraId="513E3DEA" w14:textId="2F1995BF" w:rsidR="00C62605" w:rsidRDefault="00C62605" w:rsidP="00536C96">
      <w:pPr>
        <w:pStyle w:val="ListParagraph"/>
        <w:numPr>
          <w:ilvl w:val="1"/>
          <w:numId w:val="2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Biomass cost-capacity correlation: 0.33</w:t>
      </w:r>
    </w:p>
    <w:p w14:paraId="2BEED3B6" w14:textId="57CB78BE" w:rsidR="00C62605" w:rsidRDefault="00C62605" w:rsidP="00536C96">
      <w:pPr>
        <w:pStyle w:val="ListParagraph"/>
        <w:numPr>
          <w:ilvl w:val="1"/>
          <w:numId w:val="2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Fossil fuels cost-capacity correlation: - 0.31</w:t>
      </w:r>
    </w:p>
    <w:p w14:paraId="4B599F13" w14:textId="2E4307BD" w:rsidR="00C62605" w:rsidRDefault="005D28C2" w:rsidP="005D28C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D28C2">
        <w:rPr>
          <w:rFonts w:ascii="Times New Roman" w:hAnsi="Times New Roman" w:cs="Times New Roman"/>
          <w:b/>
          <w:bCs/>
          <w:sz w:val="24"/>
          <w:szCs w:val="24"/>
        </w:rPr>
        <w:t>Interpretation and Implications of Results:</w:t>
      </w:r>
    </w:p>
    <w:p w14:paraId="7FB06C50" w14:textId="77777777" w:rsidR="00C62605" w:rsidRPr="00C62605" w:rsidRDefault="00C62605" w:rsidP="005D28C2">
      <w:pPr>
        <w:pStyle w:val="ListParagraph"/>
        <w:numPr>
          <w:ilvl w:val="0"/>
          <w:numId w:val="23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605">
        <w:rPr>
          <w:rFonts w:ascii="Times New Roman" w:hAnsi="Times New Roman" w:cs="Times New Roman"/>
          <w:sz w:val="24"/>
          <w:szCs w:val="24"/>
        </w:rPr>
        <w:t>Fossil fuels show a weak negative correlation (r = –0.31), suggesting that larger plants may achieve slightly lower per-MW costs — a possible, though modest, indication of economies of scale.</w:t>
      </w:r>
    </w:p>
    <w:p w14:paraId="2E384614" w14:textId="77777777" w:rsidR="00C62605" w:rsidRPr="00C62605" w:rsidRDefault="00C62605" w:rsidP="005D28C2">
      <w:pPr>
        <w:pStyle w:val="ListParagraph"/>
        <w:numPr>
          <w:ilvl w:val="0"/>
          <w:numId w:val="23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605">
        <w:rPr>
          <w:rFonts w:ascii="Times New Roman" w:hAnsi="Times New Roman" w:cs="Times New Roman"/>
          <w:sz w:val="24"/>
          <w:szCs w:val="24"/>
        </w:rPr>
        <w:t>Biomass shows a weak positive correlation (r = 0.33), implying that cost per MW may increase with capacity, possibly due to logistical, technological, or site-specific inefficiencies in scaling biomass projects.</w:t>
      </w:r>
    </w:p>
    <w:p w14:paraId="3FE54169" w14:textId="77777777" w:rsidR="00C62605" w:rsidRPr="00C62605" w:rsidRDefault="00C62605" w:rsidP="005D28C2">
      <w:pPr>
        <w:pStyle w:val="ListParagraph"/>
        <w:numPr>
          <w:ilvl w:val="0"/>
          <w:numId w:val="23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605">
        <w:rPr>
          <w:rFonts w:ascii="Times New Roman" w:hAnsi="Times New Roman" w:cs="Times New Roman"/>
          <w:sz w:val="24"/>
          <w:szCs w:val="24"/>
        </w:rPr>
        <w:t>However, both correlation values are very weak by conventional standards (|r| &lt; 0.4) and neither is statistically significant.</w:t>
      </w:r>
    </w:p>
    <w:p w14:paraId="590B324F" w14:textId="77777777" w:rsidR="00C62605" w:rsidRPr="00C62605" w:rsidRDefault="00C62605" w:rsidP="005D28C2">
      <w:pPr>
        <w:pStyle w:val="ListParagraph"/>
        <w:numPr>
          <w:ilvl w:val="0"/>
          <w:numId w:val="23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605">
        <w:rPr>
          <w:rFonts w:ascii="Times New Roman" w:hAnsi="Times New Roman" w:cs="Times New Roman"/>
          <w:sz w:val="24"/>
          <w:szCs w:val="24"/>
        </w:rPr>
        <w:t>Given these limitations, the observed relationships are suggestive at best — not strong enough to claim that one group has a “better” or more efficient cost-capacity dynamic.</w:t>
      </w:r>
    </w:p>
    <w:p w14:paraId="31821171" w14:textId="1D95E063" w:rsidR="00C62605" w:rsidRDefault="00C62605" w:rsidP="005D28C2">
      <w:pPr>
        <w:pStyle w:val="ListParagraph"/>
        <w:numPr>
          <w:ilvl w:val="0"/>
          <w:numId w:val="23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62605">
        <w:rPr>
          <w:rFonts w:ascii="Times New Roman" w:hAnsi="Times New Roman" w:cs="Times New Roman"/>
          <w:sz w:val="24"/>
          <w:szCs w:val="24"/>
        </w:rPr>
        <w:t>Still, the directional differences hint at structural challenges in scaling biomass infrastructure relative to fossil fuels.</w:t>
      </w:r>
    </w:p>
    <w:p w14:paraId="26CB5CA0" w14:textId="162A274E" w:rsidR="00C62605" w:rsidRDefault="00C62605" w:rsidP="00536C9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Cost Performance (Trends + Stability)</w:t>
      </w:r>
    </w:p>
    <w:p w14:paraId="343B2998" w14:textId="146133C9" w:rsidR="00C62605" w:rsidRDefault="004A60B9" w:rsidP="005D28C2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visualizations: 1) G</w:t>
      </w:r>
      <w:r w:rsidRPr="004A60B9">
        <w:rPr>
          <w:rFonts w:ascii="Times New Roman" w:hAnsi="Times New Roman" w:cs="Times New Roman"/>
          <w:sz w:val="24"/>
          <w:szCs w:val="24"/>
        </w:rPr>
        <w:t>roupwise histogram</w:t>
      </w:r>
      <w:r>
        <w:rPr>
          <w:rFonts w:ascii="Times New Roman" w:hAnsi="Times New Roman" w:cs="Times New Roman"/>
          <w:sz w:val="24"/>
          <w:szCs w:val="24"/>
        </w:rPr>
        <w:t xml:space="preserve"> (with KDE plot)</w:t>
      </w:r>
      <w:r w:rsidRPr="004A60B9">
        <w:rPr>
          <w:rFonts w:ascii="Times New Roman" w:hAnsi="Times New Roman" w:cs="Times New Roman"/>
          <w:sz w:val="24"/>
          <w:szCs w:val="24"/>
        </w:rPr>
        <w:t xml:space="preserve"> of densified biomass fuel prices by market type (domestic vs. export)</w:t>
      </w:r>
      <w:r>
        <w:rPr>
          <w:rFonts w:ascii="Times New Roman" w:hAnsi="Times New Roman" w:cs="Times New Roman"/>
          <w:sz w:val="24"/>
          <w:szCs w:val="24"/>
        </w:rPr>
        <w:t>; 2)</w:t>
      </w:r>
      <w:r w:rsidRPr="004A60B9">
        <w:rPr>
          <w:rFonts w:ascii="Times New Roman" w:hAnsi="Times New Roman" w:cs="Times New Roman"/>
          <w:sz w:val="24"/>
          <w:szCs w:val="24"/>
        </w:rPr>
        <w:t xml:space="preserve"> grouped bar chart of annual (2013-2023) average fossil fuel costs by source</w:t>
      </w:r>
    </w:p>
    <w:p w14:paraId="6F3D1BA8" w14:textId="00F6C40C" w:rsidR="00883BD9" w:rsidRDefault="00883BD9" w:rsidP="00536C9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analysis:</w:t>
      </w:r>
    </w:p>
    <w:p w14:paraId="70213A42" w14:textId="304F426C" w:rsidR="00883BD9" w:rsidRDefault="00883BD9" w:rsidP="005D28C2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883BD9">
        <w:rPr>
          <w:rFonts w:ascii="Times New Roman" w:hAnsi="Times New Roman" w:cs="Times New Roman"/>
          <w:sz w:val="24"/>
          <w:szCs w:val="24"/>
        </w:rPr>
        <w:t>ual-axis</w:t>
      </w:r>
      <w:proofErr w:type="gramEnd"/>
      <w:r w:rsidRPr="00883BD9">
        <w:rPr>
          <w:rFonts w:ascii="Times New Roman" w:hAnsi="Times New Roman" w:cs="Times New Roman"/>
          <w:sz w:val="24"/>
          <w:szCs w:val="24"/>
        </w:rPr>
        <w:t xml:space="preserve"> groupwise line plot of annual fuel prices/costs for biomass and fossil fuels</w:t>
      </w:r>
    </w:p>
    <w:p w14:paraId="6F58FA8B" w14:textId="27A88385" w:rsidR="00883BD9" w:rsidRDefault="005D28C2" w:rsidP="00536C96">
      <w:pPr>
        <w:spacing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="00883BD9">
        <w:rPr>
          <w:rFonts w:ascii="Times New Roman" w:hAnsi="Times New Roman" w:cs="Times New Roman"/>
          <w:b/>
          <w:bCs/>
          <w:sz w:val="24"/>
          <w:szCs w:val="24"/>
        </w:rPr>
        <w:t xml:space="preserve"> &amp; Interpretation of Results:</w:t>
      </w:r>
    </w:p>
    <w:p w14:paraId="38A79CE6" w14:textId="77777777" w:rsidR="00883BD9" w:rsidRPr="00883BD9" w:rsidRDefault="00883BD9" w:rsidP="00536C9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D9">
        <w:rPr>
          <w:rFonts w:ascii="Times New Roman" w:hAnsi="Times New Roman" w:cs="Times New Roman"/>
          <w:sz w:val="24"/>
          <w:szCs w:val="24"/>
        </w:rPr>
        <w:t>Biomass prices followed a steady upward trend, with moderate year-over-year increases nearly every year. This consistency suggests relative stability in bioenergy markets over time.</w:t>
      </w:r>
    </w:p>
    <w:p w14:paraId="113B05F0" w14:textId="77777777" w:rsidR="00883BD9" w:rsidRPr="00883BD9" w:rsidRDefault="00883BD9" w:rsidP="00536C9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D9">
        <w:rPr>
          <w:rFonts w:ascii="Times New Roman" w:hAnsi="Times New Roman" w:cs="Times New Roman"/>
          <w:sz w:val="24"/>
          <w:szCs w:val="24"/>
        </w:rPr>
        <w:t>In contrast, fossil fuel costs showed a much more volatile trajectory, with a dramatic spike during the COVID-19 period (2021–2022), followed by a steep decline in 2023.</w:t>
      </w:r>
    </w:p>
    <w:p w14:paraId="205F8E9F" w14:textId="77777777" w:rsidR="00883BD9" w:rsidRPr="00883BD9" w:rsidRDefault="00883BD9" w:rsidP="00536C9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D9">
        <w:rPr>
          <w:rFonts w:ascii="Times New Roman" w:hAnsi="Times New Roman" w:cs="Times New Roman"/>
          <w:sz w:val="24"/>
          <w:szCs w:val="24"/>
        </w:rPr>
        <w:t>The divergence in behavior is especially clear in 2021, when fossil fuel costs surged by over 70%, while biomass prices rose less than 12%.</w:t>
      </w:r>
    </w:p>
    <w:p w14:paraId="0CEF39B7" w14:textId="77777777" w:rsidR="00883BD9" w:rsidRPr="00883BD9" w:rsidRDefault="00883BD9" w:rsidP="00536C9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D9">
        <w:rPr>
          <w:rFonts w:ascii="Times New Roman" w:hAnsi="Times New Roman" w:cs="Times New Roman"/>
          <w:sz w:val="24"/>
          <w:szCs w:val="24"/>
        </w:rPr>
        <w:t>These patterns indicate that fossil fuel markets are more vulnerable to short-term shocks and global disruptions, whereas biomass has shown more predictable price dynamics.</w:t>
      </w:r>
    </w:p>
    <w:p w14:paraId="2C48DF9C" w14:textId="5085CDB0" w:rsidR="00883BD9" w:rsidRDefault="00883BD9" w:rsidP="00536C96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BD9">
        <w:rPr>
          <w:rFonts w:ascii="Times New Roman" w:hAnsi="Times New Roman" w:cs="Times New Roman"/>
          <w:sz w:val="24"/>
          <w:szCs w:val="24"/>
        </w:rPr>
        <w:lastRenderedPageBreak/>
        <w:t>Although biomass prices are not immune to increases, their smoother trajectory could offer greater price stability, an important consideration for long-term energy planning and investment.</w:t>
      </w:r>
    </w:p>
    <w:p w14:paraId="6DCEDC70" w14:textId="50128FC5" w:rsidR="00883BD9" w:rsidRDefault="00883BD9" w:rsidP="00536C96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Comparative analysis of year-over-year fuel cost </w:t>
      </w:r>
      <w:proofErr w:type="gramStart"/>
      <w:r>
        <w:rPr>
          <w:rFonts w:ascii="Times New Roman" w:hAnsi="Times New Roman" w:cs="Times New Roman"/>
          <w:sz w:val="24"/>
          <w:szCs w:val="24"/>
        </w:rPr>
        <w:t>percent-changes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5CB2BD3C" w14:textId="42D06059" w:rsidR="00883BD9" w:rsidRDefault="005733FB" w:rsidP="00536C96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Two-sided M</w:t>
      </w:r>
      <w:r w:rsidR="00883BD9">
        <w:rPr>
          <w:rFonts w:ascii="Times New Roman" w:hAnsi="Times New Roman" w:cs="Times New Roman"/>
          <w:sz w:val="24"/>
          <w:szCs w:val="24"/>
        </w:rPr>
        <w:t>ann-Whtiney U test # 1 results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733FB">
        <w:rPr>
          <w:rFonts w:ascii="Times New Roman" w:hAnsi="Times New Roman" w:cs="Times New Roman"/>
          <w:sz w:val="24"/>
          <w:szCs w:val="24"/>
        </w:rPr>
        <w:t xml:space="preserve">using </w:t>
      </w:r>
      <w:r w:rsidRPr="005733FB">
        <w:rPr>
          <w:rFonts w:ascii="Times New Roman" w:hAnsi="Times New Roman" w:cs="Times New Roman"/>
          <w:b/>
          <w:bCs/>
          <w:sz w:val="24"/>
          <w:szCs w:val="24"/>
        </w:rPr>
        <w:t>raw</w:t>
      </w:r>
      <w:r w:rsidRPr="005733FB">
        <w:rPr>
          <w:rFonts w:ascii="Times New Roman" w:hAnsi="Times New Roman" w:cs="Times New Roman"/>
          <w:b/>
          <w:bCs/>
          <w:sz w:val="24"/>
          <w:szCs w:val="24"/>
        </w:rPr>
        <w:t>/relative</w:t>
      </w:r>
      <w:r w:rsidRPr="0057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3FB">
        <w:rPr>
          <w:rFonts w:ascii="Times New Roman" w:hAnsi="Times New Roman" w:cs="Times New Roman"/>
          <w:sz w:val="24"/>
          <w:szCs w:val="24"/>
        </w:rPr>
        <w:t>percent-change values)</w:t>
      </w:r>
      <w:r w:rsidR="00883BD9">
        <w:rPr>
          <w:rFonts w:ascii="Times New Roman" w:hAnsi="Times New Roman" w:cs="Times New Roman"/>
          <w:sz w:val="24"/>
          <w:szCs w:val="24"/>
        </w:rPr>
        <w:t>: test statistic = 27.0, p-value = 0.8048</w:t>
      </w:r>
    </w:p>
    <w:p w14:paraId="4DC50ED7" w14:textId="08FBED30" w:rsidR="005733FB" w:rsidRPr="005733FB" w:rsidRDefault="005733FB" w:rsidP="00536C96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Two-sided </w:t>
      </w:r>
      <w:r w:rsidRPr="005733FB">
        <w:rPr>
          <w:rFonts w:ascii="Times New Roman" w:hAnsi="Times New Roman" w:cs="Times New Roman"/>
          <w:sz w:val="24"/>
          <w:szCs w:val="24"/>
        </w:rPr>
        <w:t xml:space="preserve">Mann-Whtiney U test # 1 results (using </w:t>
      </w:r>
      <w:r w:rsidRPr="005733FB">
        <w:rPr>
          <w:rFonts w:ascii="Times New Roman" w:hAnsi="Times New Roman" w:cs="Times New Roman"/>
          <w:b/>
          <w:bCs/>
          <w:sz w:val="24"/>
          <w:szCs w:val="24"/>
        </w:rPr>
        <w:t>absolute</w:t>
      </w:r>
      <w:r w:rsidRPr="005733FB">
        <w:rPr>
          <w:rFonts w:ascii="Times New Roman" w:hAnsi="Times New Roman" w:cs="Times New Roman"/>
          <w:sz w:val="24"/>
          <w:szCs w:val="24"/>
        </w:rPr>
        <w:t xml:space="preserve"> percent-change values): test statistic = </w:t>
      </w:r>
      <w:r>
        <w:rPr>
          <w:rFonts w:ascii="Times New Roman" w:hAnsi="Times New Roman" w:cs="Times New Roman"/>
          <w:sz w:val="24"/>
          <w:szCs w:val="24"/>
        </w:rPr>
        <w:t>8.0</w:t>
      </w:r>
      <w:r w:rsidRPr="005733FB">
        <w:rPr>
          <w:rFonts w:ascii="Times New Roman" w:hAnsi="Times New Roman" w:cs="Times New Roman"/>
          <w:sz w:val="24"/>
          <w:szCs w:val="24"/>
        </w:rPr>
        <w:t>, p-value = 0.</w:t>
      </w:r>
      <w:r>
        <w:rPr>
          <w:rFonts w:ascii="Times New Roman" w:hAnsi="Times New Roman" w:cs="Times New Roman"/>
          <w:sz w:val="24"/>
          <w:szCs w:val="24"/>
        </w:rPr>
        <w:t>03788</w:t>
      </w:r>
    </w:p>
    <w:p w14:paraId="70CE3858" w14:textId="61749D10" w:rsidR="00883BD9" w:rsidRDefault="005D28C2" w:rsidP="00536C96">
      <w:pPr>
        <w:spacing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5D28C2">
        <w:rPr>
          <w:rFonts w:ascii="Times New Roman" w:hAnsi="Times New Roman" w:cs="Times New Roman"/>
          <w:b/>
          <w:bCs/>
          <w:sz w:val="24"/>
          <w:szCs w:val="24"/>
        </w:rPr>
        <w:t>Interpretation and Implications of Results</w:t>
      </w:r>
      <w:r w:rsidR="005733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E4F8F3" w14:textId="77777777" w:rsidR="005733FB" w:rsidRPr="005733FB" w:rsidRDefault="005733FB" w:rsidP="00536C96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When comparing the raw percent-change values, there was no statistically significant difference between biomass and fossil fuels (p = 0.80). This suggests that the direction and magnitude of yearly changes varied similarly across groups when considering increases and decreases together.</w:t>
      </w:r>
    </w:p>
    <w:p w14:paraId="422F561F" w14:textId="77777777" w:rsidR="005733FB" w:rsidRPr="005733FB" w:rsidRDefault="005733FB" w:rsidP="00536C96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However, when looking at the absolute percent-change values — which capture volatility regardless of direction — the difference was statistically significant (p = 0.038).</w:t>
      </w:r>
    </w:p>
    <w:p w14:paraId="71024584" w14:textId="2D07C6EB" w:rsidR="005733FB" w:rsidRDefault="005733FB" w:rsidP="00536C96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These findings support the earlier visual observation that fossil fuel costs exhibited greater year-to-year volatility than biomass fuel prices over the 2017-2023 period.</w:t>
      </w:r>
    </w:p>
    <w:p w14:paraId="5B09A85E" w14:textId="2A42656F" w:rsidR="005733FB" w:rsidRDefault="005733FB" w:rsidP="00536C96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Conclusions:</w:t>
      </w:r>
    </w:p>
    <w:p w14:paraId="6B9CA35D" w14:textId="77777777" w:rsidR="005733FB" w:rsidRPr="005733FB" w:rsidRDefault="005733FB" w:rsidP="00536C96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Environmental Tradeoff: Biomass did not outperform fossil fuels in carbon intensity — a key emissions metric — and currently emits more CO₂ per unit of electricity generated. This challenges the assumption that bioenergy is inherently cleaner, despite its renewable classification.</w:t>
      </w:r>
    </w:p>
    <w:p w14:paraId="733419F2" w14:textId="77777777" w:rsidR="005733FB" w:rsidRPr="005733FB" w:rsidRDefault="005733FB" w:rsidP="00536C96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 xml:space="preserve">Efficiency Barrier: Biomass also </w:t>
      </w:r>
      <w:proofErr w:type="gramStart"/>
      <w:r w:rsidRPr="005733FB">
        <w:rPr>
          <w:rFonts w:ascii="Times New Roman" w:hAnsi="Times New Roman" w:cs="Times New Roman"/>
          <w:sz w:val="24"/>
          <w:szCs w:val="24"/>
        </w:rPr>
        <w:t>lags behind</w:t>
      </w:r>
      <w:proofErr w:type="gramEnd"/>
      <w:r w:rsidRPr="005733FB">
        <w:rPr>
          <w:rFonts w:ascii="Times New Roman" w:hAnsi="Times New Roman" w:cs="Times New Roman"/>
          <w:sz w:val="24"/>
          <w:szCs w:val="24"/>
        </w:rPr>
        <w:t xml:space="preserve"> fossil fuels in energy conversion efficiency. The sizable performance gap presents a significant obstacle to large-scale substitution unless technical advancements in biomass systems are achieved.</w:t>
      </w:r>
    </w:p>
    <w:p w14:paraId="30D46029" w14:textId="77777777" w:rsidR="005733FB" w:rsidRPr="005733FB" w:rsidRDefault="005733FB" w:rsidP="00536C96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Infrastructure Parity: No strong cost-capacity relationship was found for either group, suggesting that biomass projects are not inherently more cost-efficient or scalable than fossil fuel plants — a reminder that infrastructure decisions are highly context-specific.</w:t>
      </w:r>
    </w:p>
    <w:p w14:paraId="5E79D97D" w14:textId="77777777" w:rsidR="005733FB" w:rsidRPr="005733FB" w:rsidRDefault="005733FB" w:rsidP="00536C96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Economic Stability Advantage: Where biomass does show clear strength is in fuel cost stability. Unlike fossil fuels, which experienced extreme price volatility in recent years, biomass prices followed a steady, predictable trajectory — a critical asset for long-term energy planning.</w:t>
      </w:r>
    </w:p>
    <w:p w14:paraId="6305F460" w14:textId="03996D07" w:rsidR="005733FB" w:rsidRDefault="005733FB" w:rsidP="00536C96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28C2">
        <w:rPr>
          <w:rFonts w:ascii="Times New Roman" w:hAnsi="Times New Roman" w:cs="Times New Roman"/>
          <w:sz w:val="24"/>
          <w:szCs w:val="24"/>
          <w:u w:val="single"/>
        </w:rPr>
        <w:t>Overall Viability Judgment</w:t>
      </w:r>
      <w:r w:rsidRPr="005733FB">
        <w:rPr>
          <w:rFonts w:ascii="Times New Roman" w:hAnsi="Times New Roman" w:cs="Times New Roman"/>
          <w:sz w:val="24"/>
          <w:szCs w:val="24"/>
        </w:rPr>
        <w:t>: Bioenergy cannot fully replace fossil fuels in its current form due to clear disadvantages in carbon emissions and conversion efficiency. However, its long-term viability remains plausible — particularly as a stable, renewable complement in a diversified energy mix. If technical improvements can close the performance gap, biomass could play a meaningful role in the U.S. transition away from fossil fuels.</w:t>
      </w:r>
    </w:p>
    <w:p w14:paraId="2D77FE93" w14:textId="77777777" w:rsidR="005D28C2" w:rsidRDefault="005D28C2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848072" w14:textId="22B8FABE" w:rsidR="005733FB" w:rsidRDefault="005733FB" w:rsidP="00536C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 &amp; Acknowledgements</w:t>
      </w:r>
    </w:p>
    <w:p w14:paraId="66957047" w14:textId="77777777" w:rsidR="005733FB" w:rsidRPr="005733FB" w:rsidRDefault="005733FB" w:rsidP="00536C96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Data Sources:</w:t>
      </w:r>
    </w:p>
    <w:p w14:paraId="0E015499" w14:textId="77777777" w:rsidR="005733FB" w:rsidRPr="005733FB" w:rsidRDefault="005733FB" w:rsidP="00536C96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U.S. Energy Information Administration (EIA)</w:t>
      </w:r>
    </w:p>
    <w:p w14:paraId="64172E46" w14:textId="77777777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Construction Costs, Electricity Generation, Biomass Prices, Fossil Fuel Costs, Primary Energy Consumption</w:t>
      </w:r>
    </w:p>
    <w:p w14:paraId="68571236" w14:textId="77777777" w:rsidR="005733FB" w:rsidRPr="005733FB" w:rsidRDefault="005733FB" w:rsidP="00536C96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U.S. Environmental Protection Agency (EPA)</w:t>
      </w:r>
    </w:p>
    <w:p w14:paraId="6F629933" w14:textId="77777777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Greenhouse Gas Reporting Program (GHGRP)</w:t>
      </w:r>
    </w:p>
    <w:p w14:paraId="349C35D6" w14:textId="77777777" w:rsidR="005733FB" w:rsidRPr="005733FB" w:rsidRDefault="005733FB" w:rsidP="00536C96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Acknowledgements:</w:t>
      </w:r>
    </w:p>
    <w:p w14:paraId="67CA1367" w14:textId="3847DD65" w:rsidR="005733FB" w:rsidRPr="005733FB" w:rsidRDefault="005733FB" w:rsidP="00536C96">
      <w:pPr>
        <w:pStyle w:val="ListParagraph"/>
        <w:numPr>
          <w:ilvl w:val="1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Data Science faculty at Montgomery College for their support and guidance throughout my learning journey:</w:t>
      </w:r>
    </w:p>
    <w:p w14:paraId="4E574D41" w14:textId="77777777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Prof. Perine</w:t>
      </w:r>
    </w:p>
    <w:p w14:paraId="063B939A" w14:textId="77777777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Prof. Mohamed</w:t>
      </w:r>
    </w:p>
    <w:p w14:paraId="369A3E62" w14:textId="77777777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Prof. Saidi</w:t>
      </w:r>
    </w:p>
    <w:p w14:paraId="7895F279" w14:textId="5657FB5C" w:rsidR="005733FB" w:rsidRPr="005733FB" w:rsidRDefault="005733FB" w:rsidP="00536C96">
      <w:pPr>
        <w:pStyle w:val="ListParagraph"/>
        <w:numPr>
          <w:ilvl w:val="2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3FB">
        <w:rPr>
          <w:rFonts w:ascii="Times New Roman" w:hAnsi="Times New Roman" w:cs="Times New Roman"/>
          <w:sz w:val="24"/>
          <w:szCs w:val="24"/>
        </w:rPr>
        <w:t>Prof. Evans</w:t>
      </w:r>
    </w:p>
    <w:sectPr w:rsidR="005733FB" w:rsidRPr="0057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CFF"/>
    <w:multiLevelType w:val="hybridMultilevel"/>
    <w:tmpl w:val="63F412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72ACF"/>
    <w:multiLevelType w:val="hybridMultilevel"/>
    <w:tmpl w:val="08A4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775"/>
    <w:multiLevelType w:val="hybridMultilevel"/>
    <w:tmpl w:val="6540A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4213BE"/>
    <w:multiLevelType w:val="hybridMultilevel"/>
    <w:tmpl w:val="46C08F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1208DD"/>
    <w:multiLevelType w:val="hybridMultilevel"/>
    <w:tmpl w:val="79204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1E20F9"/>
    <w:multiLevelType w:val="hybridMultilevel"/>
    <w:tmpl w:val="619E62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E31E7C"/>
    <w:multiLevelType w:val="hybridMultilevel"/>
    <w:tmpl w:val="6E8EA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6FE4"/>
    <w:multiLevelType w:val="hybridMultilevel"/>
    <w:tmpl w:val="B40C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E4161"/>
    <w:multiLevelType w:val="hybridMultilevel"/>
    <w:tmpl w:val="986CD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0950A8"/>
    <w:multiLevelType w:val="hybridMultilevel"/>
    <w:tmpl w:val="2A1E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B46FB"/>
    <w:multiLevelType w:val="hybridMultilevel"/>
    <w:tmpl w:val="5ACEE2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6F2F01"/>
    <w:multiLevelType w:val="hybridMultilevel"/>
    <w:tmpl w:val="9892933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0C135B"/>
    <w:multiLevelType w:val="hybridMultilevel"/>
    <w:tmpl w:val="8B9A0F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CC684D"/>
    <w:multiLevelType w:val="hybridMultilevel"/>
    <w:tmpl w:val="363C244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845126C"/>
    <w:multiLevelType w:val="hybridMultilevel"/>
    <w:tmpl w:val="E150721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A2B65D4"/>
    <w:multiLevelType w:val="hybridMultilevel"/>
    <w:tmpl w:val="AB601D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F17901"/>
    <w:multiLevelType w:val="hybridMultilevel"/>
    <w:tmpl w:val="BEA4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25CC9"/>
    <w:multiLevelType w:val="hybridMultilevel"/>
    <w:tmpl w:val="8424E8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0895"/>
    <w:multiLevelType w:val="hybridMultilevel"/>
    <w:tmpl w:val="D90056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7B1456"/>
    <w:multiLevelType w:val="hybridMultilevel"/>
    <w:tmpl w:val="7C8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30506"/>
    <w:multiLevelType w:val="hybridMultilevel"/>
    <w:tmpl w:val="E6AA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0035D"/>
    <w:multiLevelType w:val="hybridMultilevel"/>
    <w:tmpl w:val="82B8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5707A"/>
    <w:multiLevelType w:val="hybridMultilevel"/>
    <w:tmpl w:val="998ACF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DC3F53"/>
    <w:multiLevelType w:val="hybridMultilevel"/>
    <w:tmpl w:val="1022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3F25"/>
    <w:multiLevelType w:val="hybridMultilevel"/>
    <w:tmpl w:val="2DBA90C2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8846A4"/>
    <w:multiLevelType w:val="hybridMultilevel"/>
    <w:tmpl w:val="979473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5422867"/>
    <w:multiLevelType w:val="hybridMultilevel"/>
    <w:tmpl w:val="7B32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80C32"/>
    <w:multiLevelType w:val="hybridMultilevel"/>
    <w:tmpl w:val="AAF06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C50226"/>
    <w:multiLevelType w:val="hybridMultilevel"/>
    <w:tmpl w:val="D7A0B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885471"/>
    <w:multiLevelType w:val="hybridMultilevel"/>
    <w:tmpl w:val="852C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D269C"/>
    <w:multiLevelType w:val="hybridMultilevel"/>
    <w:tmpl w:val="78DE7D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1D00AAF"/>
    <w:multiLevelType w:val="hybridMultilevel"/>
    <w:tmpl w:val="9F062B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C23EAD"/>
    <w:multiLevelType w:val="hybridMultilevel"/>
    <w:tmpl w:val="AA2A8C6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025A3C"/>
    <w:multiLevelType w:val="hybridMultilevel"/>
    <w:tmpl w:val="0F6612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77E0052"/>
    <w:multiLevelType w:val="hybridMultilevel"/>
    <w:tmpl w:val="D2EE8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0C591F"/>
    <w:multiLevelType w:val="hybridMultilevel"/>
    <w:tmpl w:val="AA36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9805">
    <w:abstractNumId w:val="23"/>
  </w:num>
  <w:num w:numId="2" w16cid:durableId="973296002">
    <w:abstractNumId w:val="20"/>
  </w:num>
  <w:num w:numId="3" w16cid:durableId="880435580">
    <w:abstractNumId w:val="7"/>
  </w:num>
  <w:num w:numId="4" w16cid:durableId="616375819">
    <w:abstractNumId w:val="21"/>
  </w:num>
  <w:num w:numId="5" w16cid:durableId="2022512067">
    <w:abstractNumId w:val="35"/>
  </w:num>
  <w:num w:numId="6" w16cid:durableId="1257011340">
    <w:abstractNumId w:val="29"/>
  </w:num>
  <w:num w:numId="7" w16cid:durableId="547573391">
    <w:abstractNumId w:val="9"/>
  </w:num>
  <w:num w:numId="8" w16cid:durableId="1570455006">
    <w:abstractNumId w:val="16"/>
  </w:num>
  <w:num w:numId="9" w16cid:durableId="655064536">
    <w:abstractNumId w:val="6"/>
  </w:num>
  <w:num w:numId="10" w16cid:durableId="1755664919">
    <w:abstractNumId w:val="1"/>
  </w:num>
  <w:num w:numId="11" w16cid:durableId="953634995">
    <w:abstractNumId w:val="19"/>
  </w:num>
  <w:num w:numId="12" w16cid:durableId="1861237410">
    <w:abstractNumId w:val="12"/>
  </w:num>
  <w:num w:numId="13" w16cid:durableId="581069462">
    <w:abstractNumId w:val="28"/>
  </w:num>
  <w:num w:numId="14" w16cid:durableId="1189098423">
    <w:abstractNumId w:val="18"/>
  </w:num>
  <w:num w:numId="15" w16cid:durableId="453136023">
    <w:abstractNumId w:val="15"/>
  </w:num>
  <w:num w:numId="16" w16cid:durableId="2072385675">
    <w:abstractNumId w:val="25"/>
  </w:num>
  <w:num w:numId="17" w16cid:durableId="1446078154">
    <w:abstractNumId w:val="10"/>
  </w:num>
  <w:num w:numId="18" w16cid:durableId="977875735">
    <w:abstractNumId w:val="27"/>
  </w:num>
  <w:num w:numId="19" w16cid:durableId="510217911">
    <w:abstractNumId w:val="24"/>
  </w:num>
  <w:num w:numId="20" w16cid:durableId="288361525">
    <w:abstractNumId w:val="5"/>
  </w:num>
  <w:num w:numId="21" w16cid:durableId="1632394001">
    <w:abstractNumId w:val="33"/>
  </w:num>
  <w:num w:numId="22" w16cid:durableId="850069263">
    <w:abstractNumId w:val="30"/>
  </w:num>
  <w:num w:numId="23" w16cid:durableId="1992975526">
    <w:abstractNumId w:val="2"/>
  </w:num>
  <w:num w:numId="24" w16cid:durableId="1114403684">
    <w:abstractNumId w:val="3"/>
  </w:num>
  <w:num w:numId="25" w16cid:durableId="406920470">
    <w:abstractNumId w:val="4"/>
  </w:num>
  <w:num w:numId="26" w16cid:durableId="1538590166">
    <w:abstractNumId w:val="0"/>
  </w:num>
  <w:num w:numId="27" w16cid:durableId="1469514164">
    <w:abstractNumId w:val="8"/>
  </w:num>
  <w:num w:numId="28" w16cid:durableId="386153182">
    <w:abstractNumId w:val="14"/>
  </w:num>
  <w:num w:numId="29" w16cid:durableId="260535127">
    <w:abstractNumId w:val="13"/>
  </w:num>
  <w:num w:numId="30" w16cid:durableId="690375633">
    <w:abstractNumId w:val="26"/>
  </w:num>
  <w:num w:numId="31" w16cid:durableId="1697121281">
    <w:abstractNumId w:val="17"/>
  </w:num>
  <w:num w:numId="32" w16cid:durableId="1086732416">
    <w:abstractNumId w:val="22"/>
  </w:num>
  <w:num w:numId="33" w16cid:durableId="2031101468">
    <w:abstractNumId w:val="11"/>
  </w:num>
  <w:num w:numId="34" w16cid:durableId="35396341">
    <w:abstractNumId w:val="31"/>
  </w:num>
  <w:num w:numId="35" w16cid:durableId="847789992">
    <w:abstractNumId w:val="32"/>
  </w:num>
  <w:num w:numId="36" w16cid:durableId="17485769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4"/>
    <w:rsid w:val="00076259"/>
    <w:rsid w:val="001D60BE"/>
    <w:rsid w:val="001E1CD1"/>
    <w:rsid w:val="002F797A"/>
    <w:rsid w:val="004A60B9"/>
    <w:rsid w:val="00536C96"/>
    <w:rsid w:val="005733FB"/>
    <w:rsid w:val="005B1EC9"/>
    <w:rsid w:val="005D28C2"/>
    <w:rsid w:val="00615C2C"/>
    <w:rsid w:val="00682CDC"/>
    <w:rsid w:val="006C7221"/>
    <w:rsid w:val="00703960"/>
    <w:rsid w:val="007F1853"/>
    <w:rsid w:val="008359B4"/>
    <w:rsid w:val="00883BD9"/>
    <w:rsid w:val="00940582"/>
    <w:rsid w:val="009B5C7B"/>
    <w:rsid w:val="00C62605"/>
    <w:rsid w:val="00C64BC5"/>
    <w:rsid w:val="00C777E5"/>
    <w:rsid w:val="00D31C34"/>
    <w:rsid w:val="00D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03658"/>
  <w15:chartTrackingRefBased/>
  <w15:docId w15:val="{6D02B8E5-C4EE-44BF-8EDC-FFD3662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2173</Words>
  <Characters>12799</Characters>
  <Application>Microsoft Office Word</Application>
  <DocSecurity>0</DocSecurity>
  <Lines>261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yosephhabtu.bhs@gmail.com</dc:creator>
  <cp:keywords/>
  <dc:description/>
  <cp:lastModifiedBy>yosephhabtu.bhs@gmail.com</cp:lastModifiedBy>
  <cp:revision>6</cp:revision>
  <dcterms:created xsi:type="dcterms:W3CDTF">2025-05-11T14:12:00Z</dcterms:created>
  <dcterms:modified xsi:type="dcterms:W3CDTF">2025-05-11T18:18:00Z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531d7ab6-fbdb-4609-8e18-6435d6a3129b</vt:lpwstr>
  </property>
</Properties>
</file>