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64"/>
      </w:pPr>
      <w:r>
        <w:rPr>
          <w:rFonts w:ascii="ＭＳ ゴシック" w:cs="ＭＳ ゴシック" w:eastAsia="ＭＳ ゴシック" w:hAnsi="ＭＳ ゴシック" w:hint="eastAsia"/>
          <w:b/>
          <w:bCs/>
          <w:sz w:val="24"/>
          <w:szCs w:val="24"/>
        </w:rPr>
        <w:t xml:space="preserve">4　江戸時代　（26点：問題19〜31）</w:t>
      </w:r>
    </w:p>
    <w:p>
      <w:pPr>
        <w:spacing w:after="100" w:before="0" w:line="264"/>
      </w:pPr>
      <w:r>
        <w:rPr>
          <w:rFonts w:ascii="ＭＳ 明朝" w:cs="ＭＳ 明朝" w:eastAsia="ＭＳ 明朝" w:hAnsi="ＭＳ 明朝" w:hint="eastAsia"/>
          <w:b w:val="false"/>
          <w:bCs w:val="false"/>
          <w:sz w:val="21"/>
          <w:szCs w:val="21"/>
        </w:rPr>
        <w:t xml:space="preserve">次の会話文と資料G〜Qを見て、あとの問いに答えなさい。</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20" w:before="0" w:line="264"/>
            </w:pPr>
            <w:r>
              <w:rPr>
                <w:rFonts w:ascii="ＭＳ 明朝" w:cs="ＭＳ 明朝" w:eastAsia="ＭＳ 明朝" w:hAnsi="ＭＳ 明朝" w:hint="eastAsia"/>
                <w:b w:val="false"/>
                <w:bCs w:val="false"/>
                <w:sz w:val="21"/>
                <w:szCs w:val="21"/>
              </w:rPr>
              <w:t xml:space="preserve">ゆうま：江戸幕府は、江戸・大阪・京都などの重要な都市や、主な鉱山を直接支配していたんだね。</w:t>
            </w:r>
          </w:p>
          <w:p>
            <w:pPr>
              <w:spacing w:after="20" w:before="0" w:line="264"/>
            </w:pPr>
            <w:r>
              <w:rPr>
                <w:rFonts w:ascii="ＭＳ 明朝" w:cs="ＭＳ 明朝" w:eastAsia="ＭＳ 明朝" w:hAnsi="ＭＳ 明朝" w:hint="eastAsia"/>
                <w:b w:val="false"/>
                <w:bCs w:val="false"/>
                <w:sz w:val="21"/>
                <w:szCs w:val="21"/>
              </w:rPr>
              <w:t xml:space="preserve">あおい：それに、将軍から1万石以上の領地をあたえられた大名は、その領地と人々を独自に支配したけれど、幕府の定めた法によって厳しく統制されていたよ。</w:t>
            </w:r>
          </w:p>
          <w:p>
            <w:pPr>
              <w:spacing w:after="20" w:before="0" w:line="264"/>
            </w:pPr>
            <w:r>
              <w:rPr>
                <w:rFonts w:ascii="ＭＳ 明朝" w:cs="ＭＳ 明朝" w:eastAsia="ＭＳ 明朝" w:hAnsi="ＭＳ 明朝" w:hint="eastAsia"/>
                <w:b w:val="false"/>
                <w:bCs w:val="false"/>
                <w:sz w:val="21"/>
                <w:szCs w:val="21"/>
              </w:rPr>
              <w:t xml:space="preserve">ゆうま：つまり、ⓐ幕府と、大名が支配する藩とが、全国の土地と人々を支配していたということだね。</w:t>
            </w:r>
          </w:p>
          <w:p>
            <w:pPr>
              <w:spacing w:after="0" w:before="0" w:line="264"/>
            </w:pPr>
            <w:r>
              <w:rPr>
                <w:rFonts w:ascii="ＭＳ 明朝" w:cs="ＭＳ 明朝" w:eastAsia="ＭＳ 明朝" w:hAnsi="ＭＳ 明朝" w:hint="eastAsia"/>
                <w:b w:val="false"/>
                <w:bCs w:val="false"/>
                <w:sz w:val="21"/>
                <w:szCs w:val="21"/>
              </w:rPr>
              <w:t xml:space="preserve">あおい：そうだね。でも、ⓑ大名の中には、領地を取り上げられてしまった家もあるよ。ⓒ江戸と領地を往復する制度も、大名にとっては重い負担だったみたい。</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資料G　大名の分類と数（1664年）　　　　　　　　資料H　主な大名の石高（万石）（1664年）</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200"/>
        <w:gridCol w:w="5400"/>
      </w:tblGrid>
      <w:tr>
        <w:tc>
          <w:tcPr>
            <w:tcW w:type="dxa" w:w="4200"/>
            <w:tcBorders>
              <w:top w:val="none" w:color="FFFFFF" w:sz="0"/>
              <w:left w:val="none" w:color="FFFFFF" w:sz="0"/>
              <w:bottom w:val="none" w:color="FFFFFF" w:sz="0"/>
              <w:right w:val="none" w:color="FFFFFF" w:sz="0"/>
            </w:tcBorders>
            <w:tcMar>
              <w:top w:type="dxa" w:w="0"/>
              <w:left w:type="dxa" w:w="0"/>
              <w:bottom w:type="dxa" w:w="0"/>
              <w:right w:type="dxa" w:w="200"/>
            </w:tcMar>
          </w:tcPr>
          <w:tbl>
            <w:tblPr>
              <w:tblW w:type="dxa" w:w="3500"/>
              <w:tblBorders>
                <w:top w:val="single" w:color="000000" w:sz="4"/>
                <w:left w:val="single" w:color="000000" w:sz="4"/>
                <w:bottom w:val="single" w:color="000000" w:sz="4"/>
                <w:right w:val="single" w:color="000000" w:sz="4"/>
                <w:insideH w:val="single" w:color="auto" w:sz="4"/>
                <w:insideV w:val="single" w:color="auto" w:sz="4"/>
              </w:tblBorders>
            </w:tblPr>
            <w:tblGrid>
              <w:gridCol w:w="1160"/>
              <w:gridCol w:w="780"/>
              <w:gridCol w:w="780"/>
              <w:gridCol w:w="780"/>
            </w:tblGrid>
            <w:tr>
              <w:tc>
                <w:tcPr>
                  <w:tcW w:type="dxa" w:w="1160"/>
                  <w:shd w:fill="EFEFEF" w:color="auto" w:val="clear"/>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
                  </w:r>
                </w:p>
              </w:tc>
              <w:tc>
                <w:tcPr>
                  <w:tcW w:type="dxa" w:w="78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親藩</w:t>
                  </w:r>
                </w:p>
              </w:tc>
              <w:tc>
                <w:tcPr>
                  <w:tcW w:type="dxa" w:w="78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譜代</w:t>
                  </w:r>
                </w:p>
              </w:tc>
              <w:tc>
                <w:tcPr>
                  <w:tcW w:type="dxa" w:w="78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外様</w:t>
                  </w:r>
                </w:p>
              </w:tc>
            </w:tr>
            <w:tr>
              <w:tc>
                <w:tcPr>
                  <w:tcW w:type="dxa" w:w="116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50万石以上</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0</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4</w:t>
                  </w:r>
                </w:p>
              </w:tc>
            </w:tr>
            <w:tr>
              <w:tc>
                <w:tcPr>
                  <w:tcW w:type="dxa" w:w="116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20万石以上</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6</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10</w:t>
                  </w:r>
                </w:p>
              </w:tc>
            </w:tr>
            <w:tr>
              <w:tc>
                <w:tcPr>
                  <w:tcW w:type="dxa" w:w="116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10万石以上</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4</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14</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9</w:t>
                  </w:r>
                </w:p>
              </w:tc>
            </w:tr>
            <w:tr>
              <w:tc>
                <w:tcPr>
                  <w:tcW w:type="dxa" w:w="116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10万石未満</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97</w:t>
                  </w:r>
                </w:p>
              </w:tc>
              <w:tc>
                <w:tcPr>
                  <w:tcW w:type="dxa" w:w="78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77</w:t>
                  </w:r>
                </w:p>
              </w:tc>
            </w:tr>
            <w:tr>
              <w:tc>
                <w:tcPr>
                  <w:tcW w:type="dxa" w:w="116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合　計</w:t>
                  </w:r>
                </w:p>
              </w:tc>
              <w:tc>
                <w:tcPr>
                  <w:tcW w:type="dxa" w:w="78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13</w:t>
                  </w:r>
                </w:p>
              </w:tc>
              <w:tc>
                <w:tcPr>
                  <w:tcW w:type="dxa" w:w="78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112</w:t>
                  </w:r>
                </w:p>
              </w:tc>
              <w:tc>
                <w:tcPr>
                  <w:tcW w:type="dxa" w:w="78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100</w:t>
                  </w:r>
                </w:p>
              </w:tc>
            </w:tr>
          </w:tbl>
          <w:p>
            <w:pPr>
              <w:spacing w:after="0" w:before="0" w:line="264"/>
            </w:pPr>
            <w:r>
              <w:rPr>
                <w:rFonts w:ascii="ＭＳ 明朝" w:cs="ＭＳ 明朝" w:eastAsia="ＭＳ 明朝" w:hAnsi="ＭＳ 明朝" w:hint="eastAsia"/>
                <w:b w:val="false"/>
                <w:bCs w:val="false"/>
                <w:sz w:val="17"/>
                <w:szCs w:val="17"/>
              </w:rPr>
              <w:t xml:space="preserve">（集英社「日本の歴史12」などをもとに作成）</w:t>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800"/>
              <w:tblBorders>
                <w:top w:val="single" w:color="000000" w:sz="4"/>
                <w:left w:val="single" w:color="000000" w:sz="4"/>
                <w:bottom w:val="single" w:color="000000" w:sz="4"/>
                <w:right w:val="single" w:color="000000" w:sz="4"/>
                <w:insideH w:val="single" w:color="auto" w:sz="4"/>
                <w:insideV w:val="single" w:color="auto" w:sz="4"/>
              </w:tblBorders>
            </w:tblPr>
            <w:tblGrid>
              <w:gridCol w:w="2900"/>
              <w:gridCol w:w="900"/>
            </w:tblGrid>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徳川将軍家（幕府）</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680</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金沢の前田家（外様）</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103</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鹿児島の島津家（外様）</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73</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名古屋の徳川家（親藩）</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62</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仙台の伊達家（外様）</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56</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和歌山の徳川家（親藩）</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56</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熊本の細川家（外様）</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54</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福井の松平家（親藩）</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45</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福岡の黒田家（外様）</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43</w:t>
                  </w:r>
                </w:p>
              </w:tc>
            </w:tr>
            <w:tr>
              <w:tc>
                <w:tcPr>
                  <w:tcW w:type="dxa" w:w="2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彦根の井伊家（譜代）</w:t>
                  </w:r>
                </w:p>
              </w:tc>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30</w:t>
                  </w:r>
                </w:p>
              </w:tc>
            </w:tr>
          </w:tbl>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問19　会話文中の下線部ⓐのような、幕府と藩が全国の土地と人々を支配したしくみを何といいますか。　〔記述・2点〕</w:t>
      </w:r>
    </w:p>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問20　資料G・Hから読み取れることとして適切でないものを、次のア〜エから1つ選び、記号で書きなさい。　〔選択・2点〕【思判表】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ア　50万石以上の大名では、関ヶ原の戦いのころから徳川氏に従うようになった大名が最も多い。</w:t>
      </w:r>
    </w:p>
    <w:p>
      <w:pPr>
        <w:spacing w:after="20" w:before="0" w:line="264"/>
        <w:ind w:left="700" w:hanging="280"/>
      </w:pPr>
      <w:r>
        <w:rPr>
          <w:rFonts w:ascii="ＭＳ 明朝" w:cs="ＭＳ 明朝" w:eastAsia="ＭＳ 明朝" w:hAnsi="ＭＳ 明朝" w:hint="eastAsia"/>
          <w:b w:val="false"/>
          <w:bCs w:val="false"/>
          <w:sz w:val="21"/>
          <w:szCs w:val="21"/>
        </w:rPr>
        <w:t xml:space="preserve">イ　古くから徳川氏に従ってきた大名は、10万石未満の大名が最も多い。</w:t>
      </w:r>
    </w:p>
    <w:p>
      <w:pPr>
        <w:spacing w:after="20" w:before="0" w:line="264"/>
        <w:ind w:left="700" w:hanging="280"/>
      </w:pPr>
      <w:r>
        <w:rPr>
          <w:rFonts w:ascii="ＭＳ 明朝" w:cs="ＭＳ 明朝" w:eastAsia="ＭＳ 明朝" w:hAnsi="ＭＳ 明朝" w:hint="eastAsia"/>
          <w:b w:val="false"/>
          <w:bCs w:val="false"/>
          <w:sz w:val="21"/>
          <w:szCs w:val="21"/>
        </w:rPr>
        <w:t xml:space="preserve">ウ　大名全体の数を分類ごとに比べると、徳川氏の一族である大名が最も多い。</w:t>
      </w:r>
    </w:p>
    <w:p>
      <w:pPr>
        <w:spacing w:after="20" w:before="0" w:line="264"/>
        <w:ind w:left="700" w:hanging="280"/>
      </w:pPr>
      <w:r>
        <w:rPr>
          <w:rFonts w:ascii="ＭＳ 明朝" w:cs="ＭＳ 明朝" w:eastAsia="ＭＳ 明朝" w:hAnsi="ＭＳ 明朝" w:hint="eastAsia"/>
          <w:b w:val="false"/>
          <w:bCs w:val="false"/>
          <w:sz w:val="21"/>
          <w:szCs w:val="21"/>
        </w:rPr>
        <w:t xml:space="preserve">エ　石高の大きい外様大名5家の石高を合計しても、徳川将軍家の石高には及ばない。</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資料I　武家諸法度（一部）と大名の処分の例</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20" w:before="0" w:line="264"/>
            </w:pPr>
            <w:r>
              <w:rPr>
                <w:rFonts w:ascii="ＭＳ 明朝" w:cs="ＭＳ 明朝" w:eastAsia="ＭＳ 明朝" w:hAnsi="ＭＳ 明朝" w:hint="eastAsia"/>
                <w:b w:val="false"/>
                <w:bCs w:val="false"/>
                <w:sz w:val="21"/>
                <w:szCs w:val="21"/>
              </w:rPr>
              <w:t xml:space="preserve">一、城を修理するときは、必ず幕府に届け出ること。城を新しくつくることは禁止する。</w:t>
            </w:r>
          </w:p>
          <w:p>
            <w:pPr>
              <w:spacing w:after="60" w:before="0" w:line="264"/>
            </w:pPr>
            <w:r>
              <w:rPr>
                <w:rFonts w:ascii="ＭＳ 明朝" w:cs="ＭＳ 明朝" w:eastAsia="ＭＳ 明朝" w:hAnsi="ＭＳ 明朝" w:hint="eastAsia"/>
                <w:b w:val="false"/>
                <w:bCs w:val="false"/>
                <w:sz w:val="21"/>
                <w:szCs w:val="21"/>
              </w:rPr>
              <w:t xml:space="preserve">一、大名は、領地と江戸に交代で住むこと。　　　　　（「徳川禁令考」より、わかりやすく直したもの）</w:t>
            </w:r>
          </w:p>
          <w:p>
            <w:pPr>
              <w:spacing w:after="20" w:before="0" w:line="264"/>
            </w:pPr>
            <w:r>
              <w:rPr>
                <w:rFonts w:ascii="ＭＳ ゴシック" w:cs="ＭＳ ゴシック" w:eastAsia="ＭＳ ゴシック" w:hAnsi="ＭＳ ゴシック" w:hint="eastAsia"/>
                <w:b w:val="false"/>
                <w:bCs w:val="false"/>
                <w:sz w:val="20"/>
                <w:szCs w:val="20"/>
              </w:rPr>
              <w:t xml:space="preserve">〈大名の処分の例〉</w:t>
            </w:r>
          </w:p>
          <w:p>
            <w:pPr>
              <w:spacing w:after="20" w:before="0" w:line="264"/>
            </w:pPr>
            <w:r>
              <w:rPr>
                <w:rFonts w:ascii="ＭＳ 明朝" w:cs="ＭＳ 明朝" w:eastAsia="ＭＳ 明朝" w:hAnsi="ＭＳ 明朝" w:hint="eastAsia"/>
                <w:b w:val="false"/>
                <w:bCs w:val="false"/>
                <w:sz w:val="21"/>
                <w:szCs w:val="21"/>
              </w:rPr>
              <w:t xml:space="preserve">・小早川家（岡山　50万石）…小早川秀秋は、関ヶ原の戦いで徳川方を勝利に導いた人物だが、21歳で亡くなったとき、あと継ぎがいなかった。　→　領地取り上げ</w:t>
            </w:r>
          </w:p>
          <w:p>
            <w:pPr>
              <w:spacing w:after="0" w:before="0" w:line="264"/>
            </w:pPr>
            <w:r>
              <w:rPr>
                <w:rFonts w:ascii="ＭＳ 明朝" w:cs="ＭＳ 明朝" w:eastAsia="ＭＳ 明朝" w:hAnsi="ＭＳ 明朝" w:hint="eastAsia"/>
                <w:b w:val="false"/>
                <w:bCs w:val="false"/>
                <w:sz w:val="21"/>
                <w:szCs w:val="21"/>
              </w:rPr>
              <w:t xml:space="preserve">・福島家（広島　50万石）…福島正則は、関ヶ原の戦いで徳川方として活躍した大名だが、城の修理を幕府の許可なく行った。　→　領地取り上げ</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問21　下線部ⓑについて、福島家が領地を取り上げられたのはなぜか。資料Iを参考にして、最も適するものを次のア〜エから1つ選び、記号で書きなさい。　〔選択・2点〕【思判表】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ア　武家諸法度で、城は修理するのではなく、新しくつくり直すように定められていたから。</w:t>
      </w:r>
    </w:p>
    <w:p>
      <w:pPr>
        <w:spacing w:after="20" w:before="0" w:line="264"/>
        <w:ind w:left="700" w:hanging="280"/>
      </w:pPr>
      <w:r>
        <w:rPr>
          <w:rFonts w:ascii="ＭＳ 明朝" w:cs="ＭＳ 明朝" w:eastAsia="ＭＳ 明朝" w:hAnsi="ＭＳ 明朝" w:hint="eastAsia"/>
          <w:b w:val="false"/>
          <w:bCs w:val="false"/>
          <w:sz w:val="21"/>
          <w:szCs w:val="21"/>
        </w:rPr>
        <w:t xml:space="preserve">イ　武家諸法度で、あと継ぎのいない大名は領地を返すように定められていたから。</w:t>
      </w:r>
    </w:p>
    <w:p>
      <w:pPr>
        <w:spacing w:after="20" w:before="0" w:line="264"/>
        <w:ind w:left="700" w:hanging="280"/>
      </w:pPr>
      <w:r>
        <w:rPr>
          <w:rFonts w:ascii="ＭＳ 明朝" w:cs="ＭＳ 明朝" w:eastAsia="ＭＳ 明朝" w:hAnsi="ＭＳ 明朝" w:hint="eastAsia"/>
          <w:b w:val="false"/>
          <w:bCs w:val="false"/>
          <w:sz w:val="21"/>
          <w:szCs w:val="21"/>
        </w:rPr>
        <w:t xml:space="preserve">ウ　大名が城の修理に多くの費用を使うと、参勤交代の費用が不足してしまうと幕府が心配したから。</w:t>
      </w:r>
    </w:p>
    <w:p>
      <w:pPr>
        <w:spacing w:after="20" w:before="0" w:line="264"/>
        <w:ind w:left="700" w:hanging="280"/>
      </w:pPr>
      <w:r>
        <w:rPr>
          <w:rFonts w:ascii="ＭＳ 明朝" w:cs="ＭＳ 明朝" w:eastAsia="ＭＳ 明朝" w:hAnsi="ＭＳ 明朝" w:hint="eastAsia"/>
          <w:b w:val="false"/>
          <w:bCs w:val="false"/>
          <w:sz w:val="21"/>
          <w:szCs w:val="21"/>
        </w:rPr>
        <w:t xml:space="preserve">エ　大名が幕府の許可なく城の守りを固めることは幕府にとって危険であり、武家諸法度で禁じられていたから。</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資料J　参勤交代に関する二つの資料</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20" w:before="0" w:line="264"/>
            </w:pPr>
            <w:r>
              <w:rPr>
                <w:rFonts w:ascii="ＭＳ ゴシック" w:cs="ＭＳ ゴシック" w:eastAsia="ＭＳ ゴシック" w:hAnsi="ＭＳ ゴシック" w:hint="eastAsia"/>
                <w:b w:val="false"/>
                <w:bCs w:val="false"/>
                <w:sz w:val="20"/>
                <w:szCs w:val="20"/>
              </w:rPr>
              <w:t xml:space="preserve">〈ある藩の支出の割合（1655年）〉</w:t>
            </w:r>
          </w:p>
          <w:tbl>
            <w:tblPr>
              <w:tblW w:type="dxa" w:w="7400"/>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2400"/>
              <w:gridCol w:w="2400"/>
            </w:tblGrid>
            <w:tr>
              <w:tc>
                <w:tcPr>
                  <w:tcW w:type="dxa" w:w="26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国元での費用など</w:t>
                  </w:r>
                </w:p>
              </w:tc>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参勤交代の費用</w:t>
                  </w:r>
                </w:p>
              </w:tc>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江戸屋敷の費用</w:t>
                  </w:r>
                </w:p>
              </w:tc>
            </w:tr>
            <w:tr>
              <w:tc>
                <w:tcPr>
                  <w:tcW w:type="dxa" w:w="26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52％</w:t>
                  </w:r>
                </w:p>
              </w:tc>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20％</w:t>
                  </w:r>
                </w:p>
              </w:tc>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28％</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20" w:before="0" w:line="264"/>
            </w:pPr>
            <w:r>
              <w:rPr>
                <w:rFonts w:ascii="ＭＳ ゴシック" w:cs="ＭＳ ゴシック" w:eastAsia="ＭＳ ゴシック" w:hAnsi="ＭＳ ゴシック" w:hint="eastAsia"/>
                <w:b w:val="false"/>
                <w:bCs w:val="false"/>
                <w:sz w:val="20"/>
                <w:szCs w:val="20"/>
              </w:rPr>
              <w:t xml:space="preserve">〈薩摩藩の参勤交代にかかった費用（1720年）〉</w:t>
            </w:r>
          </w:p>
          <w:p>
            <w:pPr>
              <w:spacing w:after="20" w:before="0" w:line="264"/>
            </w:pPr>
            <w:r>
              <w:rPr>
                <w:rFonts w:ascii="ＭＳ 明朝" w:cs="ＭＳ 明朝" w:eastAsia="ＭＳ 明朝" w:hAnsi="ＭＳ 明朝" w:hint="eastAsia"/>
                <w:b w:val="false"/>
                <w:bCs w:val="false"/>
                <w:sz w:val="21"/>
                <w:szCs w:val="21"/>
              </w:rPr>
              <w:t xml:space="preserve">道中費　約4億1144万円　／　船賃　約5171万円　／　計　約4億6315万円</w:t>
            </w:r>
          </w:p>
          <w:p>
            <w:pPr>
              <w:spacing w:after="0" w:before="0" w:line="264"/>
            </w:pPr>
            <w:r>
              <w:rPr>
                <w:rFonts w:ascii="ＭＳ 明朝" w:cs="ＭＳ 明朝" w:eastAsia="ＭＳ 明朝" w:hAnsi="ＭＳ 明朝" w:hint="eastAsia"/>
                <w:b w:val="false"/>
                <w:bCs w:val="false"/>
                <w:sz w:val="21"/>
                <w:szCs w:val="21"/>
              </w:rPr>
              <w:t xml:space="preserve">江戸に滞在する費用などを含めると…　約14億1750万円　　（現在の金額に置きかえたもの）</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問22　下線部ⓒの制度について、資料Jから読み取れる、この制度が大名（藩）にあたえた影響を、制度名を明らかにして簡潔に書きなさい。　〔記述・2点〕【思判表】</w:t>
      </w:r>
    </w:p>
    <w:p>
      <w:pPr>
        <w:spacing w:after="0" w:before="0" w:line="264"/>
      </w:pPr>
      <w:r>
        <w:rPr>
          <w:rFonts w:ascii="ＭＳ 明朝" w:cs="ＭＳ 明朝" w:eastAsia="ＭＳ 明朝" w:hAnsi="ＭＳ 明朝" w:hint="eastAsia"/>
          <w:b w:val="false"/>
          <w:bCs w:val="false"/>
          <w:sz w:val="12"/>
          <w:szCs w:val="12"/>
        </w:rPr>
        <w:t xml:space="preserve"/>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資料K　17世紀初めの海外との貿易</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徳川家康は貿易の発展に努め、西日本の大名や、京都・堺・長崎の商人に、海外へ渡ることを許す証書をあたえた。この証書を持つ船による（　X　）がさかんに行われ、船はルソン・シャム（タイ）・安南（ベトナム）などにおもむいた。やがて東南アジア各地に日本人が移り住むようになり、アユタヤなどには（　Y　）とよばれる日本人の居住地がつくられた。</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問23　資料K中のX・Yに適する語句の組み合わせとして適するものを、次のア〜エから1つ選び、記号で書きなさい。　〔選択・2点〕</w:t>
      </w:r>
    </w:p>
    <w:p>
      <w:pPr>
        <w:spacing w:after="20" w:before="0" w:line="264"/>
        <w:ind w:left="700" w:hanging="280"/>
      </w:pPr>
      <w:r>
        <w:rPr>
          <w:rFonts w:ascii="ＭＳ 明朝" w:cs="ＭＳ 明朝" w:eastAsia="ＭＳ 明朝" w:hAnsi="ＭＳ 明朝" w:hint="eastAsia"/>
          <w:b w:val="false"/>
          <w:bCs w:val="false"/>
          <w:sz w:val="21"/>
          <w:szCs w:val="21"/>
        </w:rPr>
        <w:t xml:space="preserve">ア　X…南蛮貿易　　　Y…日本町　　　　イ　X…南蛮貿易　　　Y…唐人屋敷</w:t>
      </w:r>
    </w:p>
    <w:p>
      <w:pPr>
        <w:spacing w:after="20" w:before="0" w:line="264"/>
        <w:ind w:left="700" w:hanging="280"/>
      </w:pPr>
      <w:r>
        <w:rPr>
          <w:rFonts w:ascii="ＭＳ 明朝" w:cs="ＭＳ 明朝" w:eastAsia="ＭＳ 明朝" w:hAnsi="ＭＳ 明朝" w:hint="eastAsia"/>
          <w:b w:val="false"/>
          <w:bCs w:val="false"/>
          <w:sz w:val="21"/>
          <w:szCs w:val="21"/>
        </w:rPr>
        <w:t xml:space="preserve">ウ　X…朱印船貿易　　Y…日本町　　　　エ　X…朱印船貿易　　Y…唐人屋敷</w:t>
      </w:r>
    </w:p>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問24　次のア〜エは、幕府が禁教と貿易統制を進めていく過程で起こったできごとである。年代の古い順に並べたときの順序として正しいものを、あとの1〜4から1つ選び、番号で答えなさい。　〔整序・選択・2点〕【思判表】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ア　幕府が、幕領にキリスト教の禁教令を出す。</w:t>
      </w:r>
    </w:p>
    <w:p>
      <w:pPr>
        <w:spacing w:after="20" w:before="0" w:line="264"/>
        <w:ind w:left="700" w:hanging="280"/>
      </w:pPr>
      <w:r>
        <w:rPr>
          <w:rFonts w:ascii="ＭＳ 明朝" w:cs="ＭＳ 明朝" w:eastAsia="ＭＳ 明朝" w:hAnsi="ＭＳ 明朝" w:hint="eastAsia"/>
          <w:b w:val="false"/>
          <w:bCs w:val="false"/>
          <w:sz w:val="21"/>
          <w:szCs w:val="21"/>
        </w:rPr>
        <w:t xml:space="preserve">イ　島原・天草一揆が起こる。</w:t>
      </w:r>
    </w:p>
    <w:p>
      <w:pPr>
        <w:spacing w:after="20" w:before="0" w:line="264"/>
        <w:ind w:left="700" w:hanging="280"/>
      </w:pPr>
      <w:r>
        <w:rPr>
          <w:rFonts w:ascii="ＭＳ 明朝" w:cs="ＭＳ 明朝" w:eastAsia="ＭＳ 明朝" w:hAnsi="ＭＳ 明朝" w:hint="eastAsia"/>
          <w:b w:val="false"/>
          <w:bCs w:val="false"/>
          <w:sz w:val="21"/>
          <w:szCs w:val="21"/>
        </w:rPr>
        <w:t xml:space="preserve">ウ　ポルトガル船の来航が禁止される。</w:t>
      </w:r>
    </w:p>
    <w:p>
      <w:pPr>
        <w:spacing w:after="20" w:before="0" w:line="264"/>
        <w:ind w:left="700" w:hanging="280"/>
      </w:pPr>
      <w:r>
        <w:rPr>
          <w:rFonts w:ascii="ＭＳ 明朝" w:cs="ＭＳ 明朝" w:eastAsia="ＭＳ 明朝" w:hAnsi="ＭＳ 明朝" w:hint="eastAsia"/>
          <w:b w:val="false"/>
          <w:bCs w:val="false"/>
          <w:sz w:val="21"/>
          <w:szCs w:val="21"/>
        </w:rPr>
        <w:t xml:space="preserve">エ　平戸のオランダ商館が、長崎の出島に移される。</w:t>
      </w:r>
    </w:p>
    <w:p>
      <w:pPr>
        <w:spacing w:after="20" w:before="0" w:line="264"/>
        <w:ind w:left="700" w:hanging="280"/>
      </w:pPr>
      <w:r>
        <w:rPr>
          <w:rFonts w:ascii="ＭＳ 明朝" w:cs="ＭＳ 明朝" w:eastAsia="ＭＳ 明朝" w:hAnsi="ＭＳ 明朝" w:hint="eastAsia"/>
          <w:b w:val="false"/>
          <w:bCs w:val="false"/>
          <w:sz w:val="21"/>
          <w:szCs w:val="21"/>
        </w:rPr>
        <w:t xml:space="preserve">1　ア→イ→ウ→エ　　2　ア→ウ→イ→エ　　3　イ→ア→ウ→エ　　4　ア→イ→エ→ウ</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資料L　江戸幕府の交易相手と「四つの窓口」</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3400"/>
        <w:gridCol w:w="3800"/>
      </w:tblGrid>
      <w:tr>
        <w:tc>
          <w:tcPr>
            <w:tcW w:type="dxa" w:w="24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窓口</w:t>
            </w:r>
          </w:p>
        </w:tc>
        <w:tc>
          <w:tcPr>
            <w:tcW w:type="dxa" w:w="34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相手</w:t>
            </w:r>
          </w:p>
        </w:tc>
        <w:tc>
          <w:tcPr>
            <w:tcW w:type="dxa" w:w="38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おもな内容</w:t>
            </w:r>
          </w:p>
        </w:tc>
      </w:tr>
      <w:tr>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長崎（幕府の直轄）</w:t>
            </w:r>
          </w:p>
        </w:tc>
        <w:tc>
          <w:tcPr>
            <w:tcW w:type="dxa" w:w="3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中国（清）・（　あ　）</w:t>
            </w:r>
          </w:p>
        </w:tc>
        <w:tc>
          <w:tcPr>
            <w:tcW w:type="dxa" w:w="38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幕府が貿易を独占して統制した</w:t>
            </w:r>
          </w:p>
        </w:tc>
      </w:tr>
      <w:tr>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対馬藩</w:t>
            </w:r>
          </w:p>
        </w:tc>
        <w:tc>
          <w:tcPr>
            <w:tcW w:type="dxa" w:w="3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朝鮮</w:t>
            </w:r>
          </w:p>
        </w:tc>
        <w:tc>
          <w:tcPr>
            <w:tcW w:type="dxa" w:w="38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国交が回復し、使節が来日した</w:t>
            </w:r>
          </w:p>
        </w:tc>
      </w:tr>
      <w:tr>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薩摩藩</w:t>
            </w:r>
          </w:p>
        </w:tc>
        <w:tc>
          <w:tcPr>
            <w:tcW w:type="dxa" w:w="3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琉球王国</w:t>
            </w:r>
          </w:p>
        </w:tc>
        <w:tc>
          <w:tcPr>
            <w:tcW w:type="dxa" w:w="38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17世紀初めに征服され、支配を受けた</w:t>
            </w:r>
          </w:p>
        </w:tc>
      </w:tr>
      <w:tr>
        <w:tc>
          <w:tcPr>
            <w:tcW w:type="dxa" w:w="2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松前藩</w:t>
            </w:r>
          </w:p>
        </w:tc>
        <w:tc>
          <w:tcPr>
            <w:tcW w:type="dxa" w:w="3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蝦夷地（アイヌ民族）</w:t>
            </w:r>
          </w:p>
        </w:tc>
        <w:tc>
          <w:tcPr>
            <w:tcW w:type="dxa" w:w="38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幕府から交易の権利をあたえられた</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問25　資料Lに関連して、「鎖国」下の日本の対外関係について述べた次のX〜Zの正誤の組み合わせとして適するものを、あとのア〜エから1つ選び、記号で書きなさい。　〔選択・2点〕【思判表】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X　資料L中の（　あ　）にあたる国はオランダで、1641年に平戸から出島へ商館が移され、商館長は海外の情報を記した風説書を幕府に提出した。</w:t>
      </w:r>
    </w:p>
    <w:p>
      <w:pPr>
        <w:spacing w:after="20" w:before="0" w:line="264"/>
        <w:ind w:left="700" w:hanging="280"/>
      </w:pPr>
      <w:r>
        <w:rPr>
          <w:rFonts w:ascii="ＭＳ 明朝" w:cs="ＭＳ 明朝" w:eastAsia="ＭＳ 明朝" w:hAnsi="ＭＳ 明朝" w:hint="eastAsia"/>
          <w:b w:val="false"/>
          <w:bCs w:val="false"/>
          <w:sz w:val="21"/>
          <w:szCs w:val="21"/>
        </w:rPr>
        <w:t xml:space="preserve">Y　朝鮮とは国交が回復し、将軍の代がわりごとなどに、祝賀の使節である朝鮮通信使が日本に派遣された。</w:t>
      </w:r>
    </w:p>
    <w:p>
      <w:pPr>
        <w:spacing w:after="20" w:before="0" w:line="264"/>
        <w:ind w:left="700" w:hanging="280"/>
      </w:pPr>
      <w:r>
        <w:rPr>
          <w:rFonts w:ascii="ＭＳ 明朝" w:cs="ＭＳ 明朝" w:eastAsia="ＭＳ 明朝" w:hAnsi="ＭＳ 明朝" w:hint="eastAsia"/>
          <w:b w:val="false"/>
          <w:bCs w:val="false"/>
          <w:sz w:val="21"/>
          <w:szCs w:val="21"/>
        </w:rPr>
        <w:t xml:space="preserve">Z　蝦夷地では、松前藩が不利な条件の交易を強いたため、コシャマインを指導者としてアイヌの人々が戦いを起こした。</w:t>
      </w:r>
    </w:p>
    <w:p>
      <w:pPr>
        <w:spacing w:after="20" w:before="0" w:line="264"/>
        <w:ind w:left="700" w:hanging="280"/>
      </w:pPr>
      <w:r>
        <w:rPr>
          <w:rFonts w:ascii="ＭＳ 明朝" w:cs="ＭＳ 明朝" w:eastAsia="ＭＳ 明朝" w:hAnsi="ＭＳ 明朝" w:hint="eastAsia"/>
          <w:b w:val="false"/>
          <w:bCs w:val="false"/>
          <w:sz w:val="21"/>
          <w:szCs w:val="21"/>
        </w:rPr>
        <w:t xml:space="preserve">ア　X…正　Y…正　Z…誤　　イ　X…正　Y…誤　Z…正</w:t>
      </w:r>
    </w:p>
    <w:p>
      <w:pPr>
        <w:spacing w:after="20" w:before="0" w:line="264"/>
        <w:ind w:left="700" w:hanging="280"/>
      </w:pPr>
      <w:r>
        <w:rPr>
          <w:rFonts w:ascii="ＭＳ 明朝" w:cs="ＭＳ 明朝" w:eastAsia="ＭＳ 明朝" w:hAnsi="ＭＳ 明朝" w:hint="eastAsia"/>
          <w:b w:val="false"/>
          <w:bCs w:val="false"/>
          <w:sz w:val="21"/>
          <w:szCs w:val="21"/>
        </w:rPr>
        <w:t xml:space="preserve">ウ　X…誤　Y…正　Z…正　　エ　X…誤　Y…誤　Z…正</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資料M　耕地面積の推移と、農業の進歩</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tbl>
            <w:tblPr>
              <w:tblW w:type="dxa" w:w="9100"/>
              <w:tblBorders>
                <w:top w:val="single" w:color="000000" w:sz="4"/>
                <w:left w:val="single" w:color="000000" w:sz="4"/>
                <w:bottom w:val="single" w:color="000000" w:sz="4"/>
                <w:right w:val="single" w:color="000000" w:sz="4"/>
                <w:insideH w:val="single" w:color="auto" w:sz="4"/>
                <w:insideV w:val="single" w:color="auto" w:sz="4"/>
              </w:tblBorders>
            </w:tblPr>
            <w:tblGrid>
              <w:gridCol w:w="3100"/>
              <w:gridCol w:w="2000"/>
              <w:gridCol w:w="2000"/>
              <w:gridCol w:w="2000"/>
            </w:tblGrid>
            <w:tr>
              <w:tc>
                <w:tcPr>
                  <w:tcW w:type="dxa" w:w="3100"/>
                  <w:shd w:fill="EFEFEF" w:color="auto" w:val="clear"/>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
                  </w:r>
                </w:p>
              </w:tc>
              <w:tc>
                <w:tcPr>
                  <w:tcW w:type="dxa" w:w="2000"/>
                  <w:shd w:fill="EFEFEF" w:color="auto" w:val="clear"/>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江戸時代の直前</w:t>
                  </w:r>
                </w:p>
              </w:tc>
              <w:tc>
                <w:tcPr>
                  <w:tcW w:type="dxa" w:w="2000"/>
                  <w:shd w:fill="EFEFEF" w:color="auto" w:val="clear"/>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江戸時代の中ごろ</w:t>
                  </w:r>
                </w:p>
              </w:tc>
              <w:tc>
                <w:tcPr>
                  <w:tcW w:type="dxa" w:w="2000"/>
                  <w:shd w:fill="EFEFEF" w:color="auto" w:val="clear"/>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明治時代の初め</w:t>
                  </w:r>
                </w:p>
              </w:tc>
            </w:tr>
            <w:tr>
              <w:tc>
                <w:tcPr>
                  <w:tcW w:type="dxa" w:w="31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耕地面積（万町歩）</w:t>
                  </w:r>
                </w:p>
              </w:tc>
              <w:tc>
                <w:tcPr>
                  <w:tcW w:type="dxa" w:w="2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約164</w:t>
                  </w:r>
                </w:p>
              </w:tc>
              <w:tc>
                <w:tcPr>
                  <w:tcW w:type="dxa" w:w="2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約297</w:t>
                  </w:r>
                </w:p>
              </w:tc>
              <w:tc>
                <w:tcPr>
                  <w:tcW w:type="dxa" w:w="2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約305</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0" w:before="0" w:line="264"/>
            </w:pPr>
            <w:r>
              <w:rPr>
                <w:rFonts w:ascii="ＭＳ 明朝" w:cs="ＭＳ 明朝" w:eastAsia="ＭＳ 明朝" w:hAnsi="ＭＳ 明朝" w:hint="eastAsia"/>
                <w:b w:val="false"/>
                <w:bCs w:val="false"/>
                <w:sz w:val="21"/>
                <w:szCs w:val="21"/>
              </w:rPr>
              <w:t xml:space="preserve">　幕府や藩は、用水路をつくったり、海や沼を干拓したりして、耕地を広げることに力を入れた。また、備中ぐわ・千歯こきなどの農具や、干鰯などの肥料が広まり、綿・菜種・藍などの商品作物の栽培も各地に広がった。</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問26　資料Mから読み取れる江戸時代の農業の変化を、「新田」の語句を使って簡潔に書きなさい。　〔記述・2点〕【思判表】</w:t>
      </w:r>
    </w:p>
    <w:p>
      <w:pPr>
        <w:spacing w:after="0" w:before="0" w:line="264"/>
      </w:pPr>
      <w:r>
        <w:rPr>
          <w:rFonts w:ascii="ＭＳ 明朝" w:cs="ＭＳ 明朝" w:eastAsia="ＭＳ 明朝" w:hAnsi="ＭＳ 明朝" w:hint="eastAsia"/>
          <w:b w:val="false"/>
          <w:bCs w:val="false"/>
          <w:sz w:val="12"/>
          <w:szCs w:val="12"/>
        </w:rPr>
        <w:t xml:space="preserve"/>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資料N　江戸時代の政治についてまとめたカード</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8900"/>
      </w:tblGrid>
      <w:tr>
        <w:tc>
          <w:tcPr>
            <w:tcW w:type="dxa" w:w="7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A</w:t>
            </w:r>
          </w:p>
        </w:tc>
        <w:tc>
          <w:tcPr>
            <w:tcW w:type="dxa" w:w="8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極端な動物愛護を定めた命令を出した。財政が悪化したため、質を落とした貨幣を発行した。儒学のうち、主従関係を重んじる朱子学を広く学ばせた。</w:t>
            </w:r>
          </w:p>
        </w:tc>
      </w:tr>
      <w:tr>
        <w:tc>
          <w:tcPr>
            <w:tcW w:type="dxa" w:w="7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B</w:t>
            </w:r>
          </w:p>
        </w:tc>
        <w:tc>
          <w:tcPr>
            <w:tcW w:type="dxa" w:w="8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新田開発を進め、裁判の基準となる法をまとめた。目安箱を設置した。また、キリスト教に関係のない、漢文に訳されたヨーロッパの書物の輸入制限をゆるめた。</w:t>
            </w:r>
          </w:p>
        </w:tc>
      </w:tr>
      <w:tr>
        <w:tc>
          <w:tcPr>
            <w:tcW w:type="dxa" w:w="7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C</w:t>
            </w:r>
          </w:p>
        </w:tc>
        <w:tc>
          <w:tcPr>
            <w:tcW w:type="dxa" w:w="8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商工業者の同業者組合の結成を認め、営業税を納めさせた。長崎からの銅や俵物の輸出を活発にし、印旛沼の干拓にも取り組んだ。</w:t>
            </w:r>
          </w:p>
        </w:tc>
      </w:tr>
      <w:tr>
        <w:tc>
          <w:tcPr>
            <w:tcW w:type="dxa" w:w="7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D</w:t>
            </w:r>
          </w:p>
        </w:tc>
        <w:tc>
          <w:tcPr>
            <w:tcW w:type="dxa" w:w="89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江戸に出かせぎに来ていた者を村に帰した。ききんに備えて村ごとに米を蓄えさせ、旗本・御家人の借金を帳消しにした。</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問27　資料NのCで結成が認められた、商工業者の同業者組合を何といいますか。　〔記述・2点〕</w:t>
      </w:r>
    </w:p>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問28　資料NのA〜Dを、年代の古い順に並べたときの順序として正しいものを、次の1〜4から1つ選び、番号で答えなさい。　〔整序・選択・2点〕【思判表】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1　B→A→C→D　　2　A→B→D→C　　3　A→B→C→D　　4　B→A→D→C</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資料O　当時よまれた歌と、改革を行った人物の考え</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40" w:before="0" w:line="264"/>
            </w:pPr>
            <w:r>
              <w:rPr>
                <w:rFonts w:ascii="ＭＳ 明朝" w:cs="ＭＳ 明朝" w:eastAsia="ＭＳ 明朝" w:hAnsi="ＭＳ 明朝" w:hint="eastAsia"/>
                <w:b w:val="false"/>
                <w:bCs w:val="false"/>
                <w:sz w:val="21"/>
                <w:szCs w:val="21"/>
              </w:rPr>
              <w:t xml:space="preserve">〈狂歌〉　白河の　清きに魚の　すみかねて　もとの濁りの　田沼こひしき</w:t>
            </w:r>
          </w:p>
          <w:p>
            <w:pPr>
              <w:spacing w:after="60" w:before="0" w:line="264"/>
            </w:pPr>
            <w:r>
              <w:rPr>
                <w:rFonts w:ascii="ＭＳ 明朝" w:cs="ＭＳ 明朝" w:eastAsia="ＭＳ 明朝" w:hAnsi="ＭＳ 明朝" w:hint="eastAsia"/>
                <w:b w:val="false"/>
                <w:bCs w:val="false"/>
                <w:sz w:val="18"/>
                <w:szCs w:val="18"/>
              </w:rPr>
              <w:t xml:space="preserve">※「白河」は白河藩主であった松平定信を、「田沼」は田沼意次を指している。</w:t>
            </w:r>
          </w:p>
          <w:p>
            <w:pPr>
              <w:spacing w:after="20" w:before="0" w:line="264"/>
            </w:pPr>
            <w:r>
              <w:rPr>
                <w:rFonts w:ascii="ＭＳ ゴシック" w:cs="ＭＳ ゴシック" w:eastAsia="ＭＳ ゴシック" w:hAnsi="ＭＳ ゴシック" w:hint="eastAsia"/>
                <w:b w:val="false"/>
                <w:bCs w:val="false"/>
                <w:sz w:val="20"/>
                <w:szCs w:val="20"/>
              </w:rPr>
              <w:t xml:space="preserve">〈松平定信の自叙伝「宇下人言」〉</w:t>
            </w:r>
          </w:p>
          <w:p>
            <w:pPr>
              <w:spacing w:after="0" w:before="0" w:line="264"/>
            </w:pPr>
            <w:r>
              <w:rPr>
                <w:rFonts w:ascii="ＭＳ 明朝" w:cs="ＭＳ 明朝" w:eastAsia="ＭＳ 明朝" w:hAnsi="ＭＳ 明朝" w:hint="eastAsia"/>
                <w:b w:val="false"/>
                <w:bCs w:val="false"/>
                <w:sz w:val="21"/>
                <w:szCs w:val="21"/>
              </w:rPr>
              <w:t xml:space="preserve">　老中（田沼意次）にわいろをおくって役職を得た者が多い。わいろは公然とわたされ、そのせいで政治が乱れている。だからわいろをやめさせることを同僚と相談し、今のように厳しくなったのである。</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問29　資料Oの狂歌が表している内容として最も適するものを、次のア〜エから1つ選び、記号で書きなさい。　〔選択・2点〕【思判表】</w:t>
      </w:r>
    </w:p>
    <w:p>
      <w:pPr>
        <w:spacing w:after="20" w:before="0" w:line="264"/>
        <w:ind w:left="700" w:hanging="280"/>
      </w:pPr>
      <w:r>
        <w:rPr>
          <w:rFonts w:ascii="ＭＳ 明朝" w:cs="ＭＳ 明朝" w:eastAsia="ＭＳ 明朝" w:hAnsi="ＭＳ 明朝" w:hint="eastAsia"/>
          <w:b w:val="false"/>
          <w:bCs w:val="false"/>
          <w:sz w:val="21"/>
          <w:szCs w:val="21"/>
        </w:rPr>
        <w:t xml:space="preserve">ア　田沼意次の政治はわいろが横行して住みにくかったので、厳しくても松平定信の改革の方がよい。</w:t>
      </w:r>
    </w:p>
    <w:p>
      <w:pPr>
        <w:spacing w:after="20" w:before="0" w:line="264"/>
        <w:ind w:left="700" w:hanging="280"/>
      </w:pPr>
      <w:r>
        <w:rPr>
          <w:rFonts w:ascii="ＭＳ 明朝" w:cs="ＭＳ 明朝" w:eastAsia="ＭＳ 明朝" w:hAnsi="ＭＳ 明朝" w:hint="eastAsia"/>
          <w:b w:val="false"/>
          <w:bCs w:val="false"/>
          <w:sz w:val="21"/>
          <w:szCs w:val="21"/>
        </w:rPr>
        <w:t xml:space="preserve">イ　松平定信の改革は厳しすぎて住みにくいので、わいろが横行していても田沼意次の政治の方がなつかしい。</w:t>
      </w:r>
    </w:p>
    <w:p>
      <w:pPr>
        <w:spacing w:after="20" w:before="0" w:line="264"/>
        <w:ind w:left="700" w:hanging="280"/>
      </w:pPr>
      <w:r>
        <w:rPr>
          <w:rFonts w:ascii="ＭＳ 明朝" w:cs="ＭＳ 明朝" w:eastAsia="ＭＳ 明朝" w:hAnsi="ＭＳ 明朝" w:hint="eastAsia"/>
          <w:b w:val="false"/>
          <w:bCs w:val="false"/>
          <w:sz w:val="21"/>
          <w:szCs w:val="21"/>
        </w:rPr>
        <w:t xml:space="preserve">ウ　田沼意次の政治は厳しすぎて住みにくかったので、わいろが横行していても松平定信の改革の方がなつかしい。</w:t>
      </w:r>
    </w:p>
    <w:p>
      <w:pPr>
        <w:spacing w:after="20" w:before="0" w:line="264"/>
        <w:ind w:left="700" w:hanging="280"/>
      </w:pPr>
      <w:r>
        <w:rPr>
          <w:rFonts w:ascii="ＭＳ 明朝" w:cs="ＭＳ 明朝" w:eastAsia="ＭＳ 明朝" w:hAnsi="ＭＳ 明朝" w:hint="eastAsia"/>
          <w:b w:val="false"/>
          <w:bCs w:val="false"/>
          <w:sz w:val="21"/>
          <w:szCs w:val="21"/>
        </w:rPr>
        <w:t xml:space="preserve">エ　松平定信の改革はわいろが横行して住みにくいので、厳しくても田沼意次の政治の方がよい。</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資料P　江戸時代の二つの文化</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7400"/>
      </w:tblGrid>
      <w:tr>
        <w:tc>
          <w:tcPr>
            <w:tcW w:type="dxa" w:w="22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元禄文化</w:t>
            </w:r>
          </w:p>
        </w:tc>
        <w:tc>
          <w:tcPr>
            <w:tcW w:type="dxa" w:w="74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井原西鶴の浮世草子、近松門左衛門の人形浄瑠璃の脚本、松尾芭蕉の俳諧、尾形光琳の装飾画　など</w:t>
            </w:r>
          </w:p>
        </w:tc>
      </w:tr>
      <w:tr>
        <w:tc>
          <w:tcPr>
            <w:tcW w:type="dxa" w:w="22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化政文化</w:t>
            </w:r>
          </w:p>
        </w:tc>
        <w:tc>
          <w:tcPr>
            <w:tcW w:type="dxa" w:w="74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十返舎一九の小説、葛飾北斎の「富嶽三十六景」、歌川（安藤）広重の「東海道五十三次」　など</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問30　資料Pの二つの文化について述べた文として適切でないものを、次のア〜エから1つ選び、記号で書きなさい。　〔選択・2点〕</w:t>
      </w:r>
    </w:p>
    <w:p>
      <w:pPr>
        <w:spacing w:after="20" w:before="0" w:line="264"/>
        <w:ind w:left="700" w:hanging="280"/>
      </w:pPr>
      <w:r>
        <w:rPr>
          <w:rFonts w:ascii="ＭＳ 明朝" w:cs="ＭＳ 明朝" w:eastAsia="ＭＳ 明朝" w:hAnsi="ＭＳ 明朝" w:hint="eastAsia"/>
          <w:b w:val="false"/>
          <w:bCs w:val="false"/>
          <w:sz w:val="21"/>
          <w:szCs w:val="21"/>
        </w:rPr>
        <w:t xml:space="preserve">ア　元禄文化は、経済力をつけた上方（大阪・京都）の町人を担い手として栄えた文化である。</w:t>
      </w:r>
    </w:p>
    <w:p>
      <w:pPr>
        <w:spacing w:after="20" w:before="0" w:line="264"/>
        <w:ind w:left="700" w:hanging="280"/>
      </w:pPr>
      <w:r>
        <w:rPr>
          <w:rFonts w:ascii="ＭＳ 明朝" w:cs="ＭＳ 明朝" w:eastAsia="ＭＳ 明朝" w:hAnsi="ＭＳ 明朝" w:hint="eastAsia"/>
          <w:b w:val="false"/>
          <w:bCs w:val="false"/>
          <w:sz w:val="21"/>
          <w:szCs w:val="21"/>
        </w:rPr>
        <w:t xml:space="preserve">イ　松尾芭蕉は「おくのほそ道」を著した人物で、化政文化を代表する俳諧の作者である。</w:t>
      </w:r>
    </w:p>
    <w:p>
      <w:pPr>
        <w:spacing w:after="20" w:before="0" w:line="264"/>
        <w:ind w:left="700" w:hanging="280"/>
      </w:pPr>
      <w:r>
        <w:rPr>
          <w:rFonts w:ascii="ＭＳ 明朝" w:cs="ＭＳ 明朝" w:eastAsia="ＭＳ 明朝" w:hAnsi="ＭＳ 明朝" w:hint="eastAsia"/>
          <w:b w:val="false"/>
          <w:bCs w:val="false"/>
          <w:sz w:val="21"/>
          <w:szCs w:val="21"/>
        </w:rPr>
        <w:t xml:space="preserve">ウ　近松門左衛門は、義理と人情の板ばさみに悩む人々を題材とした脚本を書いた。</w:t>
      </w:r>
    </w:p>
    <w:p>
      <w:pPr>
        <w:spacing w:after="20" w:before="0" w:line="264"/>
        <w:ind w:left="700" w:hanging="280"/>
      </w:pPr>
      <w:r>
        <w:rPr>
          <w:rFonts w:ascii="ＭＳ 明朝" w:cs="ＭＳ 明朝" w:eastAsia="ＭＳ 明朝" w:hAnsi="ＭＳ 明朝" w:hint="eastAsia"/>
          <w:b w:val="false"/>
          <w:bCs w:val="false"/>
          <w:sz w:val="21"/>
          <w:szCs w:val="21"/>
        </w:rPr>
        <w:t xml:space="preserve">エ　化政文化のころには多色刷りの版画の技術が広まり、風景をえがいた錦絵が安く売られた。</w:t>
      </w:r>
    </w:p>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資料Q　江戸時代後期の学問</w:t>
      </w: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9600"/>
      </w:tblGrid>
      <w:tr>
        <w:tc>
          <w:tcPr>
            <w:tcW w:type="dxa" w:w="96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前野良沢や杉田玄白らは、オランダ語で書かれた人体解剖書を苦心して翻訳し、1774年に「解体新書」として出版した。このころから、オランダ語を通してヨーロッパの学問や文化を研究する学問がさかんになり、その後、伊能忠敬による正確な日本地図の作成などにもつながっていった。</w:t>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40" w:before="0" w:line="264"/>
        <w:ind w:left="420" w:hanging="420"/>
      </w:pPr>
      <w:r>
        <w:rPr>
          <w:rFonts w:ascii="ＭＳ 明朝" w:cs="ＭＳ 明朝" w:eastAsia="ＭＳ 明朝" w:hAnsi="ＭＳ 明朝" w:hint="eastAsia"/>
          <w:b w:val="false"/>
          <w:bCs w:val="false"/>
          <w:sz w:val="21"/>
          <w:szCs w:val="21"/>
        </w:rPr>
        <w:t xml:space="preserve">問31　資料Qのような学問がさかんになった背景には、資料NのBの人物が行ったある政策がある。その政策の内容を、簡潔に書きなさい。　〔記述・2点〕【思判表】</w:t>
      </w:r>
    </w:p>
    <w:p>
      <w:pPr>
        <w:spacing w:after="0" w:before="0" w:line="264"/>
      </w:pPr>
      <w:r>
        <w:rPr>
          <w:rFonts w:ascii="ＭＳ 明朝" w:cs="ＭＳ 明朝" w:eastAsia="ＭＳ 明朝" w:hAnsi="ＭＳ 明朝" w:hint="eastAsia"/>
          <w:b w:val="false"/>
          <w:bCs w:val="false"/>
          <w:sz w:val="12"/>
          <w:szCs w:val="12"/>
        </w:rPr>
        <w:t xml:space="preserve"/>
      </w:r>
    </w:p>
    <w:p>
      <w:pPr>
        <w:spacing w:after="0" w:before="0" w:line="264"/>
      </w:pPr>
      <w:r>
        <w:rPr>
          <w:rFonts w:ascii="ＭＳ 明朝" w:cs="ＭＳ 明朝" w:eastAsia="ＭＳ 明朝" w:hAnsi="ＭＳ 明朝" w:hint="eastAsia"/>
          <w:b w:val="false"/>
          <w:bCs w:val="false"/>
          <w:sz w:val="12"/>
          <w:szCs w:val="12"/>
        </w:rPr>
        <w:t xml:space="preserve"/>
      </w:r>
    </w:p>
    <w:p>
      <w:r>
        <w:br w:type="page"/>
      </w:r>
    </w:p>
    <w:p>
      <w:pPr>
        <w:spacing w:after="160" w:before="0" w:line="264"/>
        <w:jc w:val="center"/>
      </w:pPr>
      <w:r>
        <w:rPr>
          <w:rFonts w:ascii="ＭＳ ゴシック" w:cs="ＭＳ ゴシック" w:eastAsia="ＭＳ ゴシック" w:hAnsi="ＭＳ ゴシック" w:hint="eastAsia"/>
          <w:b/>
          <w:bCs/>
          <w:sz w:val="28"/>
          <w:szCs w:val="28"/>
        </w:rPr>
        <w:t xml:space="preserve">解　答　用　紙</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1400"/>
        <w:gridCol w:w="1400"/>
        <w:gridCol w:w="5400"/>
      </w:tblGrid>
      <w:tr>
        <w:tc>
          <w:tcPr>
            <w:tcW w:type="dxa" w:w="14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組</w:t>
            </w:r>
          </w:p>
        </w:tc>
        <w:tc>
          <w:tcPr>
            <w:tcW w:type="dxa" w:w="14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　　　組</w:t>
            </w:r>
          </w:p>
        </w:tc>
        <w:tc>
          <w:tcPr>
            <w:tcW w:type="dxa" w:w="1400"/>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番号</w:t>
            </w:r>
          </w:p>
        </w:tc>
        <w:tc>
          <w:tcPr>
            <w:tcW w:type="dxa" w:w="54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21"/>
                <w:szCs w:val="21"/>
              </w:rPr>
              <w:t xml:space="preserve">　　　番　　名前：</w:t>
            </w:r>
          </w:p>
        </w:tc>
      </w:tr>
    </w:tbl>
    <w:p>
      <w:pPr>
        <w:spacing w:after="0" w:before="0" w:line="264"/>
      </w:pPr>
      <w:r>
        <w:rPr>
          <w:rFonts w:ascii="ＭＳ 明朝" w:cs="ＭＳ 明朝" w:eastAsia="ＭＳ 明朝" w:hAnsi="ＭＳ 明朝" w:hint="eastAsia"/>
          <w:b w:val="false"/>
          <w:bCs w:val="false"/>
          <w:sz w:val="12"/>
          <w:szCs w:val="12"/>
        </w:rPr>
        <w:t xml:space="preserve"/>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3800"/>
        <w:gridCol w:w="1000"/>
        <w:gridCol w:w="3800"/>
      </w:tblGrid>
      <w:tr>
        <w:tc>
          <w:tcPr>
            <w:tcW w:type="dxa" w:w="10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番号</w:t>
            </w:r>
          </w:p>
        </w:tc>
        <w:tc>
          <w:tcPr>
            <w:tcW w:type="dxa" w:w="38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解　　答</w:t>
            </w:r>
          </w:p>
        </w:tc>
        <w:tc>
          <w:tcPr>
            <w:tcW w:type="dxa" w:w="10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番号</w:t>
            </w:r>
          </w:p>
        </w:tc>
        <w:tc>
          <w:tcPr>
            <w:tcW w:type="dxa" w:w="38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解　　答</w:t>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17</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18</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3</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19</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4</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20</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5</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21</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6</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22</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7</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23</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8</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24</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9</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25</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10</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26</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11</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27</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12</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28</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13</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29</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14</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30</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15</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31</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r>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16</w:t>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c>
          <w:tcPr>
            <w:tcW w:type="dxa" w:w="10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21"/>
                <w:szCs w:val="21"/>
              </w:rPr>
              <w:t xml:space="preserve"/>
            </w:r>
          </w:p>
        </w:tc>
        <w:tc>
          <w:tcPr>
            <w:tcW w:type="dxa" w:w="3800"/>
            <w:tcMar>
              <w:top w:type="dxa" w:w="60"/>
              <w:left w:type="dxa" w:w="90"/>
              <w:bottom w:type="dxa" w:w="60"/>
              <w:right w:type="dxa" w:w="90"/>
            </w:tcMar>
            <w:vAlign w:val="center"/>
          </w:tcPr>
          <w:p>
            <w:pPr>
              <w:spacing w:after="0" w:before="0" w:line="264"/>
            </w:pPr>
            <w:r>
              <w:rPr>
                <w:rFonts w:ascii="ＭＳ 明朝" w:cs="ＭＳ 明朝" w:eastAsia="ＭＳ 明朝" w:hAnsi="ＭＳ 明朝" w:hint="eastAsia"/>
                <w:b w:val="false"/>
                <w:bCs w:val="false"/>
                <w:sz w:val="21"/>
                <w:szCs w:val="21"/>
              </w:rPr>
              <w:t xml:space="preserve"/>
            </w:r>
          </w:p>
        </w:tc>
      </w:tr>
    </w:tbl>
    <w:p>
      <w:pPr>
        <w:spacing w:after="0" w:before="0" w:line="264"/>
      </w:pPr>
      <w:r>
        <w:rPr>
          <w:rFonts w:ascii="ＭＳ 明朝" w:cs="ＭＳ 明朝" w:eastAsia="ＭＳ 明朝" w:hAnsi="ＭＳ 明朝" w:hint="eastAsia"/>
          <w:b w:val="false"/>
          <w:bCs w:val="false"/>
          <w:sz w:val="12"/>
          <w:szCs w:val="12"/>
        </w:rPr>
        <w:t xml:space="preserve"/>
      </w:r>
    </w:p>
    <w:p>
      <w:pPr>
        <w:spacing w:after="60" w:before="0" w:line="264"/>
      </w:pPr>
      <w:r>
        <w:rPr>
          <w:rFonts w:ascii="ＭＳ ゴシック" w:cs="ＭＳ ゴシック" w:eastAsia="ＭＳ ゴシック" w:hAnsi="ＭＳ ゴシック" w:hint="eastAsia"/>
          <w:b w:val="false"/>
          <w:bCs w:val="false"/>
          <w:sz w:val="20"/>
          <w:szCs w:val="20"/>
        </w:rPr>
        <w:t xml:space="preserve">単元別得点　　地形図　　／10　　中世　　／14　　安土桃山　　／12　　江戸　　／26</w:t>
      </w:r>
    </w:p>
    <w:p>
      <w:pPr>
        <w:spacing w:after="0" w:before="0" w:line="264"/>
      </w:pPr>
      <w:r>
        <w:rPr>
          <w:rFonts w:ascii="ＭＳ ゴシック" w:cs="ＭＳ ゴシック" w:eastAsia="ＭＳ ゴシック" w:hAnsi="ＭＳ ゴシック" w:hint="eastAsia"/>
          <w:b w:val="false"/>
          <w:bCs w:val="false"/>
          <w:sz w:val="20"/>
          <w:szCs w:val="20"/>
        </w:rPr>
        <w:t xml:space="preserve">合　計　　　　　　　　　　　　　　　　　　　　　　　　　　　　　　／62点</w:t>
      </w:r>
    </w:p>
    <w:p>
      <w:r>
        <w:br w:type="page"/>
      </w:r>
    </w:p>
    <w:p>
      <w:pPr>
        <w:spacing w:after="120" w:before="0" w:line="264"/>
      </w:pPr>
      <w:r>
        <w:rPr>
          <w:rFonts w:ascii="ＭＳ ゴシック" w:cs="ＭＳ ゴシック" w:eastAsia="ＭＳ ゴシック" w:hAnsi="ＭＳ ゴシック" w:hint="eastAsia"/>
          <w:b/>
          <w:bCs/>
          <w:sz w:val="26"/>
          <w:szCs w:val="26"/>
        </w:rPr>
        <w:t xml:space="preserve">【教員用】解答例</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8700"/>
      </w:tblGrid>
      <w:tr>
        <w:tc>
          <w:tcPr>
            <w:tcW w:type="dxa" w:w="9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番号</w:t>
            </w:r>
          </w:p>
        </w:tc>
        <w:tc>
          <w:tcPr>
            <w:tcW w:type="dxa" w:w="87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解　答　例</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三角点</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縮尺</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3</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等高線</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4</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イ（国道）</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5</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2（X－正　Y－誤）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6</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十字軍</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7</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ルネサンス</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8</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宗教改革</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9</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羅針盤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10</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バスコ・ダ・ガマ</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11</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銀</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12</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13</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織田信長</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14</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楽市・楽座（楽市楽座）</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15</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（例）座による営業の独占という特権を失い、誰でも自由に商売ができるようになった。</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16</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刀狩（刀狩令）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17</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太閤検地</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18</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2（X－正　Y－誤）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19</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幕藩体制</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20</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ウ</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21</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エ</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22</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（例）参勤交代の費用と江戸屋敷の費用が藩の支出の約半分を占め、大名（藩）の財政を圧迫した。</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23</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ウ</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24</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1（ア→イ→ウ→エ）</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25</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ア（X－正　Y－正　Z－誤）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26</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（例）新田開発が進められ、江戸時代の初めから中ごろにかけて耕地面積が大きく増えた。</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27</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株仲間</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28</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3（A→B→C→D）</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29</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30</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イ</w:t>
            </w:r>
          </w:p>
        </w:tc>
      </w:tr>
      <w:tr>
        <w:tc>
          <w:tcPr>
            <w:tcW w:type="dxa" w:w="9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9"/>
                <w:szCs w:val="19"/>
              </w:rPr>
              <w:t xml:space="preserve">31</w:t>
            </w:r>
          </w:p>
        </w:tc>
        <w:tc>
          <w:tcPr>
            <w:tcW w:type="dxa" w:w="87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9"/>
                <w:szCs w:val="19"/>
              </w:rPr>
              <w:t xml:space="preserve">（例）キリスト教に関係のない、漢文に訳されたヨーロッパの書物（漢訳洋書）の輸入制限をゆるめたこと。</w:t>
            </w:r>
          </w:p>
        </w:tc>
      </w:tr>
    </w:tbl>
    <w:p>
      <w:pPr>
        <w:spacing w:after="40" w:before="80" w:line="264"/>
      </w:pPr>
      <w:r>
        <w:rPr>
          <w:rFonts w:ascii="ＭＳ 明朝" w:cs="ＭＳ 明朝" w:eastAsia="ＭＳ 明朝" w:hAnsi="ＭＳ 明朝" w:hint="eastAsia"/>
          <w:b w:val="false"/>
          <w:bCs w:val="false"/>
          <w:sz w:val="19"/>
          <w:szCs w:val="19"/>
        </w:rPr>
        <w:t xml:space="preserve">※15・22・26・31は記述式のため、上記は解答例です。生徒の解答が趣旨に合っていれば正答としてください。</w:t>
      </w:r>
    </w:p>
    <w:p>
      <w:r>
        <w:br w:type="page"/>
      </w:r>
    </w:p>
    <w:p>
      <w:pPr>
        <w:spacing w:after="100" w:before="0" w:line="264"/>
      </w:pPr>
      <w:r>
        <w:rPr>
          <w:rFonts w:ascii="ＭＳ ゴシック" w:cs="ＭＳ ゴシック" w:eastAsia="ＭＳ ゴシック" w:hAnsi="ＭＳ ゴシック" w:hint="eastAsia"/>
          <w:b/>
          <w:bCs/>
          <w:sz w:val="26"/>
          <w:szCs w:val="26"/>
        </w:rPr>
        <w:t xml:space="preserve">【教員用】出題のねらい（江戸時代　問19〜31）</w:t>
      </w:r>
    </w:p>
    <w:p>
      <w:pPr>
        <w:spacing w:after="100" w:before="0" w:line="264"/>
      </w:pPr>
      <w:r>
        <w:rPr>
          <w:rFonts w:ascii="ＭＳ 明朝" w:cs="ＭＳ 明朝" w:eastAsia="ＭＳ 明朝" w:hAnsi="ＭＳ 明朝" w:hint="eastAsia"/>
          <w:b w:val="false"/>
          <w:bCs w:val="false"/>
          <w:sz w:val="21"/>
          <w:szCs w:val="21"/>
        </w:rPr>
        <w:t xml:space="preserve">　「歴史　基本用語チェックテスト」で確認した基本用語に到達できるよう設計しています。解答そのものは既習の基本用語ですが、資料の読み取り・複数資料の関連づけ・年代の整序・正誤の判断を経なければ答えにたどり着けない形にしてあります。</w:t>
      </w:r>
    </w:p>
    <w:tbl>
      <w:tblPr>
        <w:tblW w:type="dxa" w:w="96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700"/>
        <w:gridCol w:w="3000"/>
        <w:gridCol w:w="4200"/>
      </w:tblGrid>
      <w:tr>
        <w:tc>
          <w:tcPr>
            <w:tcW w:type="dxa" w:w="7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問</w:t>
            </w:r>
          </w:p>
        </w:tc>
        <w:tc>
          <w:tcPr>
            <w:tcW w:type="dxa" w:w="17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形式</w:t>
            </w:r>
          </w:p>
        </w:tc>
        <w:tc>
          <w:tcPr>
            <w:tcW w:type="dxa" w:w="30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到達する基本用語</w:t>
            </w:r>
          </w:p>
        </w:tc>
        <w:tc>
          <w:tcPr>
            <w:tcW w:type="dxa" w:w="4200"/>
            <w:shd w:fill="EFEFEF" w:color="auto" w:val="clear"/>
            <w:tcMar>
              <w:top w:type="dxa" w:w="60"/>
              <w:left w:type="dxa" w:w="90"/>
              <w:bottom w:type="dxa" w:w="60"/>
              <w:right w:type="dxa" w:w="90"/>
            </w:tcMar>
            <w:vAlign w:val="center"/>
          </w:tcPr>
          <w:p>
            <w:pPr>
              <w:spacing w:after="0" w:before="0" w:line="264"/>
              <w:jc w:val="center"/>
            </w:pPr>
            <w:r>
              <w:rPr>
                <w:rFonts w:ascii="ＭＳ ゴシック" w:cs="ＭＳ ゴシック" w:eastAsia="ＭＳ ゴシック" w:hAnsi="ＭＳ ゴシック" w:hint="eastAsia"/>
                <w:b w:val="false"/>
                <w:bCs w:val="false"/>
                <w:sz w:val="21"/>
                <w:szCs w:val="21"/>
              </w:rPr>
              <w:t xml:space="preserve">ねらい</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19</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記述</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幕藩体制</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会話文と資料G・Hから、幕府と藩による全国支配を読み取らせる。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20</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（幕藩体制の理解）</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分類別の大名数と石高の2資料を照合し、誤った読み取りを判断させる。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21</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武家諸法度</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法令の条文と処分事例を結びつけ、改易の理由を推論させる。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22</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記述【思判表】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参勤交代</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支出の割合と実際の費用の2資料から、藩財政への影響を説明させる。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23</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朱印船貿易／日本町</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南蛮貿易・唐人屋敷との識別を求める組み合わせ選択。</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24</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整序【思判表】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島原・天草一揆／鎖国／出島</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禁教から「鎖国」完成までの流れを年代順に整理させる。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25</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出島／朝鮮通信使／シャクシャイン</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コシャマイン（室町時代）との混同を判断させる正誤問題。</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26</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記述【思判表】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新田開発</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耕地面積の変化を数値から読み取り、原因と結びつけて説明させる。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27</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記述</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株仲間</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人物名を示さないカードから田沼意次の政策を特定させる。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28</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整序【思判表】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徳川綱吉／享保の改革／田沼意次／寛政の改革</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カードの内容から4つの政治を特定し、年代順に並べさせる。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29</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（寛政の改革の評価）</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狂歌と自叙伝を関連づけ、風刺の意味を解釈させる。</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30</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選択</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松尾芭蕉／近松門左衛門／化政文化</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元禄文化と化政文化の担い手・時期の識別。</w:t>
            </w:r>
          </w:p>
        </w:tc>
      </w:tr>
      <w:tr>
        <w:tc>
          <w:tcPr>
            <w:tcW w:type="dxa" w:w="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31</w:t>
            </w:r>
          </w:p>
        </w:tc>
        <w:tc>
          <w:tcPr>
            <w:tcW w:type="dxa" w:w="1700"/>
            <w:tcMar>
              <w:top w:type="dxa" w:w="60"/>
              <w:left w:type="dxa" w:w="90"/>
              <w:bottom w:type="dxa" w:w="60"/>
              <w:right w:type="dxa" w:w="90"/>
            </w:tcMar>
            <w:vAlign w:val="center"/>
          </w:tcPr>
          <w:p>
            <w:pPr>
              <w:spacing w:after="0" w:before="0" w:line="264"/>
              <w:jc w:val="center"/>
            </w:pPr>
            <w:r>
              <w:rPr>
                <w:rFonts w:ascii="ＭＳ 明朝" w:cs="ＭＳ 明朝" w:eastAsia="ＭＳ 明朝" w:hAnsi="ＭＳ 明朝" w:hint="eastAsia"/>
                <w:b w:val="false"/>
                <w:bCs w:val="false"/>
                <w:sz w:val="18"/>
                <w:szCs w:val="18"/>
              </w:rPr>
              <w:t xml:space="preserve">記述【思判表】</w:t>
            </w:r>
          </w:p>
        </w:tc>
        <w:tc>
          <w:tcPr>
            <w:tcW w:type="dxa" w:w="30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蘭学／解体新書（享保の改革）</w:t>
            </w:r>
          </w:p>
        </w:tc>
        <w:tc>
          <w:tcPr>
            <w:tcW w:type="dxa" w:w="4200"/>
            <w:tcMar>
              <w:top w:type="dxa" w:w="60"/>
              <w:left w:type="dxa" w:w="90"/>
              <w:bottom w:type="dxa" w:w="60"/>
              <w:right w:type="dxa" w:w="90"/>
            </w:tcMar>
            <w:vAlign w:val="center"/>
          </w:tcPr>
          <w:p>
            <w:pPr>
              <w:spacing w:after="0" w:before="0" w:line="264"/>
              <w:jc w:val="left"/>
            </w:pPr>
            <w:r>
              <w:rPr>
                <w:rFonts w:ascii="ＭＳ 明朝" w:cs="ＭＳ 明朝" w:eastAsia="ＭＳ 明朝" w:hAnsi="ＭＳ 明朝" w:hint="eastAsia"/>
                <w:b w:val="false"/>
                <w:bCs w:val="false"/>
                <w:sz w:val="18"/>
                <w:szCs w:val="18"/>
              </w:rPr>
              <w:t xml:space="preserve">資料NのBと資料Qを関連づけ、洋書輸入制限の緩和を導かせる。</w:t>
            </w:r>
          </w:p>
        </w:tc>
      </w:tr>
    </w:tbl>
    <w:sectPr>
      <w:pgSz w:w="11905" w:h="16837" w:orient="portrait"/>
      <w:pgMar w:top="1133"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hint="eastAs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2026-08-20T17:08:59.930Z</dcterms:created>
  <dcterms:modified xsi:type="dcterms:W3CDTF">2026-08-20T17:08:59.930Z</dcterms:modified>
</cp:coreProperties>
</file>

<file path=docProps/custom.xml><?xml version="1.0" encoding="utf-8"?>
<Properties xmlns="http://schemas.openxmlformats.org/officeDocument/2006/custom-properties" xmlns:vt="http://schemas.openxmlformats.org/officeDocument/2006/docPropsVTypes"/>
</file>