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ascii="HG丸ｺﾞｼｯｸM-PRO" w:hAnsi="HG丸ｺﾞｼｯｸM-PRO" w:eastAsia="HG丸ｺﾞｼｯｸM-PRO"/>
        </w:rPr>
        <w:t>国立研究開発法人　理化学研究所　御中</w:t>
      </w:r>
    </w:p>
    <w:p>
      <w:pPr>
        <w:pStyle w:val="Style26"/>
        <w:spacing w:before="0" w:after="0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  <w:sz w:val="40"/>
          <w:szCs w:val="40"/>
        </w:rPr>
      </w:pPr>
      <w:r>
        <w:rPr>
          <w:rFonts w:eastAsia="HG丸ｺﾞｼｯｸM-PRO" w:cs="東風ゴシック" w:ascii="HG丸ｺﾞｼｯｸM-PRO" w:hAnsi="HG丸ｺﾞｼｯｸM-PRO"/>
          <w:color w:val="00000A"/>
          <w:sz w:val="40"/>
          <w:szCs w:val="40"/>
          <w:lang w:bidi="hi-IN"/>
        </w:rPr>
        <w:t>2020</w:t>
      </w:r>
      <w:r>
        <w:rPr>
          <w:rFonts w:ascii="HG丸ｺﾞｼｯｸM-PRO" w:hAnsi="HG丸ｺﾞｼｯｸM-PRO" w:cs="東風ゴシック" w:eastAsia="HG丸ｺﾞｼｯｸM-PRO"/>
          <w:color w:val="00000A"/>
          <w:sz w:val="40"/>
          <w:szCs w:val="40"/>
          <w:lang w:bidi="hi-IN"/>
        </w:rPr>
        <w:t>年度</w:t>
      </w:r>
      <w:r>
        <w:rPr>
          <w:rFonts w:eastAsia="HG丸ｺﾞｼｯｸM-PRO" w:cs="東風ゴシック" w:ascii="HG丸ｺﾞｼｯｸM-PRO" w:hAnsi="HG丸ｺﾞｼｯｸM-PRO"/>
          <w:color w:val="00000A"/>
          <w:sz w:val="40"/>
          <w:szCs w:val="40"/>
          <w:lang w:bidi="hi-IN"/>
        </w:rPr>
        <w:t>InSitu</w:t>
      </w:r>
      <w:r>
        <w:rPr>
          <w:rFonts w:ascii="HG丸ｺﾞｼｯｸM-PRO" w:hAnsi="HG丸ｺﾞｼｯｸM-PRO" w:cs="東風ゴシック" w:eastAsia="HG丸ｺﾞｼｯｸM-PRO"/>
          <w:color w:val="00000A"/>
          <w:sz w:val="40"/>
          <w:szCs w:val="40"/>
          <w:lang w:bidi="hi-IN"/>
        </w:rPr>
        <w:t>処理向け三次元可視化</w:t>
      </w:r>
      <w:r>
        <w:rPr>
          <w:rFonts w:eastAsia="HG丸ｺﾞｼｯｸM-PRO" w:ascii="HG丸ｺﾞｼｯｸM-PRO" w:hAnsi="HG丸ｺﾞｼｯｸM-PRO"/>
          <w:sz w:val="40"/>
          <w:szCs w:val="40"/>
        </w:rPr>
        <w:br/>
      </w:r>
      <w:r>
        <w:rPr>
          <w:rFonts w:ascii="HG丸ｺﾞｼｯｸM-PRO" w:hAnsi="HG丸ｺﾞｼｯｸM-PRO" w:eastAsia="HG丸ｺﾞｼｯｸM-PRO"/>
          <w:sz w:val="40"/>
          <w:szCs w:val="40"/>
        </w:rPr>
        <w:t>フレームワークのプロトタイプ整備</w:t>
      </w:r>
    </w:p>
    <w:p>
      <w:pPr>
        <w:pStyle w:val="Normal"/>
        <w:jc w:val="center"/>
        <w:rPr>
          <w:rFonts w:ascii="Arial" w:hAnsi="Arial" w:eastAsia="HG丸ｺﾞｼｯｸM-PRO"/>
          <w:sz w:val="32"/>
          <w:szCs w:val="32"/>
        </w:rPr>
      </w:pPr>
      <w:r>
        <w:rPr>
          <w:rFonts w:eastAsia="HG丸ｺﾞｼｯｸM-PRO" w:ascii="Arial" w:hAnsi="Arial"/>
          <w:sz w:val="32"/>
          <w:szCs w:val="32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  <w:sz w:val="28"/>
        </w:rPr>
      </w:pPr>
      <w:r>
        <w:rPr>
          <w:rFonts w:eastAsia="HG丸ｺﾞｼｯｸM-PRO" w:ascii="HG丸ｺﾞｼｯｸM-PRO" w:hAnsi="HG丸ｺﾞｼｯｸM-PRO"/>
          <w:sz w:val="28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  <w:sz w:val="40"/>
          <w:szCs w:val="40"/>
        </w:rPr>
      </w:pPr>
      <w:r>
        <w:rPr>
          <w:rFonts w:ascii="HG丸ｺﾞｼｯｸM-PRO" w:hAnsi="HG丸ｺﾞｼｯｸM-PRO" w:eastAsia="HG丸ｺﾞｼｯｸM-PRO"/>
          <w:sz w:val="40"/>
          <w:szCs w:val="40"/>
        </w:rPr>
        <w:t>利用者説明書</w:t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HG丸ｺﾞｼｯｸM-PRO"/>
        </w:rPr>
      </w:pPr>
      <w:r>
        <w:rPr>
          <w:rFonts w:ascii="HG丸ｺﾞｼｯｸM-PRO" w:hAnsi="HG丸ｺﾞｼｯｸM-PRO" w:cs="HG丸ｺﾞｼｯｸM-PRO" w:eastAsia="HG丸ｺﾞｼｯｸM-PRO"/>
        </w:rPr>
        <w:t>第</w:t>
      </w:r>
      <w:r>
        <w:rPr>
          <w:rFonts w:eastAsia="HG丸ｺﾞｼｯｸM-PRO" w:cs="HG丸ｺﾞｼｯｸM-PRO" w:ascii="HG丸ｺﾞｼｯｸM-PRO" w:hAnsi="HG丸ｺﾞｼｯｸM-PRO"/>
        </w:rPr>
        <w:t>1.</w:t>
      </w:r>
      <w:r>
        <w:rPr>
          <w:rFonts w:eastAsia="HG丸ｺﾞｼｯｸM-PRO" w:cs="HG丸ｺﾞｼｯｸM-PRO" w:ascii="HG丸ｺﾞｼｯｸM-PRO" w:hAnsi="HG丸ｺﾞｼｯｸM-PRO"/>
          <w:color w:val="00000A"/>
          <w:sz w:val="24"/>
          <w:szCs w:val="24"/>
          <w:lang w:bidi="hi-IN"/>
        </w:rPr>
        <w:t>0</w:t>
      </w:r>
      <w:r>
        <w:rPr>
          <w:rFonts w:ascii="HG丸ｺﾞｼｯｸM-PRO" w:hAnsi="HG丸ｺﾞｼｯｸM-PRO" w:cs="HG丸ｺﾞｼｯｸM-PRO" w:eastAsia="HG丸ｺﾞｼｯｸM-PRO"/>
        </w:rPr>
        <w:t>版</w:t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Style26"/>
        <w:spacing w:before="0" w:after="0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widowControl/>
        <w:suppressAutoHyphens w:val="false"/>
        <w:spacing w:lineRule="atLeast" w:line="240"/>
        <w:jc w:val="center"/>
        <w:rPr>
          <w:rFonts w:ascii="HG丸ｺﾞｼｯｸM-PRO" w:hAnsi="HG丸ｺﾞｼｯｸM-PRO" w:eastAsia="HG丸ｺﾞｼｯｸM-PRO" w:cs="Times New Roman"/>
          <w:sz w:val="28"/>
          <w:szCs w:val="28"/>
          <w:lang w:bidi="ar-SA"/>
        </w:rPr>
      </w:pPr>
      <w:r>
        <w:rPr>
          <w:rFonts w:ascii="HG丸ｺﾞｼｯｸM-PRO" w:hAnsi="HG丸ｺﾞｼｯｸM-PRO" w:cs="Times New Roman" w:eastAsia="HG丸ｺﾞｼｯｸM-PRO"/>
          <w:sz w:val="28"/>
          <w:szCs w:val="28"/>
          <w:lang w:bidi="ar-SA"/>
        </w:rPr>
        <w:t>富士通株式会社</w:t>
      </w:r>
    </w:p>
    <w:p>
      <w:pPr>
        <w:pStyle w:val="Style26"/>
        <w:spacing w:before="0" w:after="0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  <w:t>20</w:t>
      </w:r>
      <w:r>
        <w:rPr>
          <w:rFonts w:eastAsia="HG丸ｺﾞｼｯｸM-PRO" w:cs="東風ゴシック" w:ascii="HG丸ｺﾞｼｯｸM-PRO" w:hAnsi="HG丸ｺﾞｼｯｸM-PRO"/>
          <w:color w:val="00000A"/>
          <w:sz w:val="24"/>
          <w:szCs w:val="24"/>
          <w:lang w:bidi="hi-IN"/>
        </w:rPr>
        <w:t>21</w:t>
      </w:r>
      <w:r>
        <w:rPr>
          <w:rFonts w:ascii="HG丸ｺﾞｼｯｸM-PRO" w:hAnsi="HG丸ｺﾞｼｯｸM-PRO" w:eastAsia="HG丸ｺﾞｼｯｸM-PRO"/>
        </w:rPr>
        <w:t>年</w:t>
      </w:r>
      <w:r>
        <w:rPr>
          <w:rFonts w:eastAsia="HG丸ｺﾞｼｯｸM-PRO" w:cs="東風ゴシック" w:ascii="HG丸ｺﾞｼｯｸM-PRO" w:hAnsi="HG丸ｺﾞｼｯｸM-PRO"/>
          <w:color w:val="00000A"/>
          <w:sz w:val="24"/>
          <w:szCs w:val="24"/>
          <w:lang w:bidi="hi-IN"/>
        </w:rPr>
        <w:t>1</w:t>
      </w:r>
      <w:r>
        <w:rPr>
          <w:rFonts w:ascii="HG丸ｺﾞｼｯｸM-PRO" w:hAnsi="HG丸ｺﾞｼｯｸM-PRO" w:eastAsia="HG丸ｺﾞｼｯｸM-PRO"/>
        </w:rPr>
        <w:t>月</w:t>
      </w:r>
    </w:p>
    <w:p>
      <w:pPr>
        <w:pStyle w:val="Normal"/>
        <w:jc w:val="center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  <w:r>
        <w:br w:type="page"/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ascii="HG丸ｺﾞｼｯｸM-PRO" w:hAnsi="HG丸ｺﾞｼｯｸM-PRO" w:cs="TakaoExゴシック" w:eastAsia="HG丸ｺﾞｼｯｸM-PRO"/>
        </w:rPr>
        <w:t>改版履歴</w:t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tbl>
      <w:tblPr>
        <w:tblW w:w="9214" w:type="dxa"/>
        <w:jc w:val="left"/>
        <w:tblInd w:w="458" w:type="dxa"/>
        <w:tblLayout w:type="fixed"/>
        <w:tblCellMar>
          <w:top w:w="0" w:type="dxa"/>
          <w:left w:w="84" w:type="dxa"/>
          <w:bottom w:w="0" w:type="dxa"/>
          <w:right w:w="99" w:type="dxa"/>
        </w:tblCellMar>
        <w:tblLook w:val="04a0" w:noVBand="1" w:noHBand="0" w:lastColumn="0" w:firstColumn="1" w:lastRow="0" w:firstRow="1"/>
      </w:tblPr>
      <w:tblGrid>
        <w:gridCol w:w="1695"/>
        <w:gridCol w:w="915"/>
        <w:gridCol w:w="6604"/>
      </w:tblGrid>
      <w:tr>
        <w:trPr/>
        <w:tc>
          <w:tcPr>
            <w:tcW w:w="16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ascii="HG丸ｺﾞｼｯｸM-PRO" w:hAnsi="HG丸ｺﾞｼｯｸM-PRO" w:cs="TakaoExゴシック" w:eastAsia="HG丸ｺﾞｼｯｸM-PRO"/>
                <w:sz w:val="21"/>
                <w:szCs w:val="21"/>
              </w:rPr>
              <w:t>リリース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ascii="HG丸ｺﾞｼｯｸM-PRO" w:hAnsi="HG丸ｺﾞｼｯｸM-PRO" w:cs="TakaoExゴシック" w:eastAsia="HG丸ｺﾞｼｯｸM-PRO"/>
                <w:sz w:val="21"/>
                <w:szCs w:val="21"/>
              </w:rPr>
              <w:t>版数</w:t>
            </w:r>
          </w:p>
        </w:tc>
        <w:tc>
          <w:tcPr>
            <w:tcW w:w="66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ascii="HG丸ｺﾞｼｯｸM-PRO" w:hAnsi="HG丸ｺﾞｼｯｸM-PRO" w:cs="TakaoExゴシック" w:eastAsia="HG丸ｺﾞｼｯｸM-PRO"/>
                <w:sz w:val="21"/>
                <w:szCs w:val="21"/>
              </w:rPr>
              <w:t>備考</w:t>
            </w:r>
          </w:p>
        </w:tc>
      </w:tr>
      <w:tr>
        <w:trPr/>
        <w:tc>
          <w:tcPr>
            <w:tcW w:w="16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eastAsia="HG丸ｺﾞｼｯｸM-PRO" w:cs="TakaoExゴシック" w:ascii="HG丸ｺﾞｼｯｸM-PRO" w:hAnsi="HG丸ｺﾞｼｯｸM-PRO"/>
                <w:sz w:val="21"/>
                <w:szCs w:val="21"/>
              </w:rPr>
              <w:t>20</w:t>
            </w:r>
            <w:r>
              <w:rPr>
                <w:rFonts w:eastAsia="HG丸ｺﾞｼｯｸM-PRO" w:cs="TakaoExゴシック" w:ascii="HG丸ｺﾞｼｯｸM-PRO" w:hAnsi="HG丸ｺﾞｼｯｸM-PRO"/>
                <w:color w:val="00000A"/>
                <w:sz w:val="21"/>
                <w:szCs w:val="21"/>
                <w:lang w:bidi="hi-IN"/>
              </w:rPr>
              <w:t>21</w:t>
            </w:r>
            <w:r>
              <w:rPr>
                <w:rFonts w:eastAsia="HG丸ｺﾞｼｯｸM-PRO" w:cs="TakaoExゴシック" w:ascii="HG丸ｺﾞｼｯｸM-PRO" w:hAnsi="HG丸ｺﾞｼｯｸM-PRO"/>
                <w:sz w:val="21"/>
                <w:szCs w:val="21"/>
              </w:rPr>
              <w:t>/0</w:t>
            </w:r>
            <w:r>
              <w:rPr>
                <w:rFonts w:eastAsia="HG丸ｺﾞｼｯｸM-PRO" w:cs="TakaoExゴシック" w:ascii="HG丸ｺﾞｼｯｸM-PRO" w:hAnsi="HG丸ｺﾞｼｯｸM-PRO"/>
                <w:color w:val="00000A"/>
                <w:sz w:val="21"/>
                <w:szCs w:val="21"/>
                <w:lang w:bidi="hi-IN"/>
              </w:rPr>
              <w:t>1/27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eastAsia="HG丸ｺﾞｼｯｸM-PRO" w:cs="TakaoExゴシック" w:ascii="HG丸ｺﾞｼｯｸM-PRO" w:hAnsi="HG丸ｺﾞｼｯｸM-PRO"/>
                <w:sz w:val="21"/>
                <w:szCs w:val="21"/>
              </w:rPr>
              <w:t>1.0</w:t>
            </w:r>
          </w:p>
        </w:tc>
        <w:tc>
          <w:tcPr>
            <w:tcW w:w="66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ascii="HG丸ｺﾞｼｯｸM-PRO" w:hAnsi="HG丸ｺﾞｼｯｸM-PRO" w:cs="TakaoExゴシック" w:eastAsia="HG丸ｺﾞｼｯｸM-PRO"/>
                <w:sz w:val="21"/>
                <w:szCs w:val="21"/>
              </w:rPr>
              <w:t>初版</w:t>
            </w:r>
          </w:p>
        </w:tc>
      </w:tr>
    </w:tbl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widowControl/>
        <w:suppressAutoHyphens w:val="false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Normal"/>
        <w:widowControl/>
        <w:suppressAutoHyphens w:val="fals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>
          <w:rFonts w:eastAsia="HG丸ｺﾞｼｯｸM-PRO"/>
        </w:rPr>
      </w:pPr>
      <w:bookmarkStart w:id="0" w:name="__RefHeading___Toc6684_1389316416"/>
      <w:bookmarkStart w:id="1" w:name="_Toc510533263"/>
      <w:bookmarkStart w:id="2" w:name="_Toc443931031"/>
      <w:bookmarkEnd w:id="0"/>
      <w:bookmarkEnd w:id="2"/>
      <w:r>
        <w:rPr>
          <w:rFonts w:eastAsia="HG丸ｺﾞｼｯｸM-PRO" w:asciiTheme="majorEastAsia" w:hAnsiTheme="majorEastAsia"/>
          <w:lang w:val="ja-JP"/>
        </w:rPr>
        <w:t>目次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r>
            <w:fldChar w:fldCharType="begin"/>
          </w:r>
          <w:r>
            <w:rPr/>
            <w:instrText> TOC \o "1-9" \h</w:instrText>
          </w:r>
          <w:r>
            <w:rPr/>
            <w:fldChar w:fldCharType="separate"/>
          </w:r>
          <w:hyperlink w:anchor="__RefHeading___Toc6684_1389316416">
            <w:r>
              <w:rPr/>
              <w:t>目次</w:t>
            </w:r>
            <w:r>
              <w:rPr/>
              <w:tab/>
              <w:t>3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686_1389316416">
            <w:r>
              <w:rPr/>
              <w:t xml:space="preserve">1. </w:t>
            </w:r>
            <w:r>
              <w:rPr/>
              <w:t>はじめに</w:t>
            </w:r>
            <w:r>
              <w:rPr/>
              <w:tab/>
              <w:t>4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688_1389316416">
            <w:r>
              <w:rPr/>
              <w:t xml:space="preserve">2. </w:t>
            </w:r>
            <w:r>
              <w:rPr/>
              <w:t>システム概要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690_1389316416">
            <w:r>
              <w:rPr/>
              <w:t xml:space="preserve">2.1. </w:t>
            </w:r>
            <w:r>
              <w:rPr/>
              <w:t>ソフトウエア構成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692_1389316416">
            <w:r>
              <w:rPr/>
              <w:t xml:space="preserve">2.2. </w:t>
            </w:r>
            <w:r>
              <w:rPr/>
              <w:t>動作環境とインストール作業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694_1389316416">
            <w:r>
              <w:rPr/>
              <w:t xml:space="preserve">2.2.1. </w:t>
            </w:r>
            <w:r>
              <w:rPr/>
              <w:t>必要な動作環境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696_1389316416">
            <w:r>
              <w:rPr/>
              <w:t xml:space="preserve">2.2.2. </w:t>
            </w:r>
            <w:r>
              <w:rPr/>
              <w:t>インストール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698_1389316416">
            <w:r>
              <w:rPr/>
              <w:t xml:space="preserve">3. </w:t>
            </w:r>
            <w:r>
              <w:rPr/>
              <w:t>操作説明</w:t>
            </w:r>
            <w:r>
              <w:rPr/>
              <w:tab/>
              <w:t>7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00_1389316416">
            <w:r>
              <w:rPr/>
              <w:t xml:space="preserve">3.1. </w:t>
            </w:r>
            <w:r>
              <w:rPr/>
              <w:t>概要</w:t>
            </w:r>
            <w:r>
              <w:rPr/>
              <w:tab/>
              <w:t>7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883_3236865239">
            <w:r>
              <w:rPr/>
              <w:t>3.2. Temporal Buffer</w:t>
              <w:tab/>
              <w:t>7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02_1389316416">
            <w:r>
              <w:rPr/>
              <w:t xml:space="preserve">3.2.1. </w:t>
            </w:r>
            <w:r>
              <w:rPr/>
              <w:t>実行方法</w:t>
            </w:r>
            <w:r>
              <w:rPr/>
              <w:tab/>
              <w:t>7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04_1389316416">
            <w:r>
              <w:rPr/>
              <w:t xml:space="preserve">3.2.2. </w:t>
            </w:r>
            <w:r>
              <w:rPr/>
              <w:t>コマンドラインオプション</w:t>
            </w:r>
            <w:r>
              <w:rPr/>
              <w:tab/>
              <w:t>7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04_13893164162">
            <w:r>
              <w:rPr/>
              <w:t xml:space="preserve">3.2.3. </w:t>
            </w:r>
            <w:r>
              <w:rPr/>
              <w:t>終了方法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28_1389316416">
            <w:r>
              <w:rPr/>
              <w:t>3.3. TB2C server</w:t>
              <w:tab/>
              <w:t>8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30_1389316416">
            <w:r>
              <w:rPr/>
              <w:t xml:space="preserve">3.3.1. </w:t>
            </w:r>
            <w:r>
              <w:rPr/>
              <w:t>実行方法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04_13893164161">
            <w:r>
              <w:rPr/>
              <w:t xml:space="preserve">3.3.2. </w:t>
            </w:r>
            <w:r>
              <w:rPr/>
              <w:t>コマンドラインオプション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04_138931641621">
            <w:r>
              <w:rPr/>
              <w:t xml:space="preserve">3.3.3. </w:t>
            </w:r>
            <w:r>
              <w:rPr/>
              <w:t>終了方法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28_13893164161">
            <w:r>
              <w:rPr/>
              <w:t>3.4. TB2C client</w:t>
              <w:tab/>
              <w:t>8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30_13893164161">
            <w:r>
              <w:rPr/>
              <w:t xml:space="preserve">3.4.1. </w:t>
            </w:r>
            <w:r>
              <w:rPr/>
              <w:t>実行方法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04_138931641611">
            <w:r>
              <w:rPr/>
              <w:t xml:space="preserve">3.4.2. </w:t>
            </w:r>
            <w:r>
              <w:rPr/>
              <w:t>コマンドラインオプション</w:t>
            </w:r>
            <w:r>
              <w:rPr/>
              <w:tab/>
              <w:t>9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04_1389316416111">
            <w:r>
              <w:rPr/>
              <w:t xml:space="preserve">3.4.3. </w:t>
            </w:r>
            <w:r>
              <w:rPr/>
              <w:t>操作方法</w:t>
            </w:r>
            <w:r>
              <w:rPr/>
              <w:tab/>
              <w:t>9</w:t>
            </w:r>
          </w:hyperlink>
        </w:p>
        <w:p>
          <w:pPr>
            <w:pStyle w:val="12"/>
            <w:tabs>
              <w:tab w:val="clear" w:pos="1300"/>
              <w:tab w:val="right" w:pos="9638" w:leader="dot"/>
            </w:tabs>
            <w:rPr/>
          </w:pPr>
          <w:hyperlink w:anchor="__RefHeading___Toc6704_1389316416211">
            <w:r>
              <w:rPr/>
              <w:t xml:space="preserve">3.4.4. </w:t>
            </w:r>
            <w:r>
              <w:rPr/>
              <w:t>終了方法</w:t>
            </w:r>
            <w:r>
              <w:rPr/>
              <w:tab/>
              <w:t>11</w:t>
            </w:r>
          </w:hyperlink>
          <w:r>
            <w:rPr/>
            <w:fldChar w:fldCharType="end"/>
          </w:r>
        </w:p>
      </w:sdtContent>
    </w:sdt>
    <w:p>
      <w:pPr>
        <w:pStyle w:val="32"/>
        <w:tabs>
          <w:tab w:val="clear" w:pos="1300"/>
          <w:tab w:val="right" w:pos="9638" w:leader="dot"/>
        </w:tabs>
        <w:rPr/>
      </w:pPr>
      <w:r>
        <w:rPr/>
      </w:r>
    </w:p>
    <w:p>
      <w:pPr>
        <w:pStyle w:val="Normal"/>
        <w:widowControl/>
        <w:suppressAutoHyphens w:val="fals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widowControl/>
        <w:suppressAutoHyphens w:val="false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1"/>
        <w:numPr>
          <w:ilvl w:val="0"/>
          <w:numId w:val="1"/>
        </w:numPr>
        <w:rPr>
          <w:rFonts w:ascii="HG丸ｺﾞｼｯｸM-PRO" w:hAnsi="HG丸ｺﾞｼｯｸM-PRO" w:eastAsia="HG丸ｺﾞｼｯｸM-PRO"/>
        </w:rPr>
      </w:pPr>
      <w:bookmarkStart w:id="3" w:name="__RefHeading___Toc6686_1389316416"/>
      <w:bookmarkStart w:id="4" w:name="_Toc510533264"/>
      <w:bookmarkStart w:id="5" w:name="_Toc411928940"/>
      <w:bookmarkStart w:id="6" w:name="_Toc443931032"/>
      <w:bookmarkEnd w:id="3"/>
      <w:bookmarkEnd w:id="5"/>
      <w:bookmarkEnd w:id="6"/>
      <w:r>
        <w:rPr>
          <w:rFonts w:ascii="HG丸ｺﾞｼｯｸM-PRO" w:hAnsi="HG丸ｺﾞｼｯｸM-PRO" w:eastAsia="HG丸ｺﾞｼｯｸM-PRO"/>
        </w:rPr>
        <w:t>はじめに</w:t>
      </w:r>
      <w:bookmarkEnd w:id="4"/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本書は、国立研究開発法人理化学研究所向け「</w:t>
      </w:r>
      <w:r>
        <w:rPr>
          <w:rFonts w:eastAsia="HG丸ｺﾞｼｯｸM-PRO" w:cs="東風ゴシック" w:ascii="HG丸ｺﾞｼｯｸM-PRO" w:hAnsi="HG丸ｺﾞｼｯｸM-PRO"/>
          <w:color w:val="00000A"/>
          <w:sz w:val="20"/>
          <w:szCs w:val="20"/>
          <w:lang w:bidi="hi-IN"/>
        </w:rPr>
        <w:t>2020</w:t>
      </w:r>
      <w:r>
        <w:rPr>
          <w:rFonts w:ascii="HG丸ｺﾞｼｯｸM-PRO" w:hAnsi="HG丸ｺﾞｼｯｸM-PRO" w:cs="東風ゴシック" w:eastAsia="HG丸ｺﾞｼｯｸM-PRO"/>
          <w:color w:val="00000A"/>
          <w:sz w:val="20"/>
          <w:szCs w:val="20"/>
          <w:lang w:bidi="hi-IN"/>
        </w:rPr>
        <w:t>年度</w:t>
      </w:r>
      <w:r>
        <w:rPr>
          <w:rFonts w:eastAsia="HG丸ｺﾞｼｯｸM-PRO" w:cs="東風ゴシック" w:ascii="HG丸ｺﾞｼｯｸM-PRO" w:hAnsi="HG丸ｺﾞｼｯｸM-PRO"/>
          <w:color w:val="00000A"/>
          <w:sz w:val="20"/>
          <w:szCs w:val="20"/>
          <w:lang w:bidi="hi-IN"/>
        </w:rPr>
        <w:t>InSitu</w:t>
      </w:r>
      <w:r>
        <w:rPr>
          <w:rFonts w:ascii="HG丸ｺﾞｼｯｸM-PRO" w:hAnsi="HG丸ｺﾞｼｯｸM-PRO" w:cs="東風ゴシック" w:eastAsia="HG丸ｺﾞｼｯｸM-PRO"/>
          <w:color w:val="00000A"/>
          <w:sz w:val="20"/>
          <w:szCs w:val="20"/>
          <w:lang w:bidi="hi-IN"/>
        </w:rPr>
        <w:t>処理向け三次元可視化フレームワークのプロトタイプ整備</w:t>
      </w:r>
      <w:r>
        <w:rPr>
          <w:rFonts w:ascii="HG丸ｺﾞｼｯｸM-PRO" w:hAnsi="HG丸ｺﾞｼｯｸM-PRO" w:eastAsia="HG丸ｺﾞｼｯｸM-PRO"/>
          <w:sz w:val="20"/>
          <w:szCs w:val="20"/>
        </w:rPr>
        <w:t>」で開発した</w:t>
      </w:r>
      <w:r>
        <w:rPr>
          <w:rFonts w:eastAsia="HG丸ｺﾞｼｯｸM-PRO" w:ascii="HG丸ｺﾞｼｯｸM-PRO" w:hAnsi="HG丸ｺﾞｼｯｸM-PRO"/>
          <w:sz w:val="20"/>
          <w:szCs w:val="20"/>
        </w:rPr>
        <w:t>TB2C(Temporal Buffer to ChOWDER)</w:t>
      </w:r>
      <w:r>
        <w:rPr>
          <w:rFonts w:ascii="HG丸ｺﾞｼｯｸM-PRO" w:hAnsi="HG丸ｺﾞｼｯｸM-PRO" w:eastAsia="HG丸ｺﾞｼｯｸM-PRO"/>
          <w:sz w:val="20"/>
          <w:szCs w:val="20"/>
        </w:rPr>
        <w:t>の利用者説明書です。</w:t>
      </w:r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  <w:t>TB2C</w:t>
      </w:r>
      <w:r>
        <w:rPr>
          <w:rFonts w:ascii="HG丸ｺﾞｼｯｸM-PRO" w:hAnsi="HG丸ｺﾞｼｯｸM-PRO" w:eastAsia="HG丸ｺﾞｼｯｸM-PRO"/>
          <w:sz w:val="21"/>
          <w:szCs w:val="21"/>
        </w:rPr>
        <w:t>のインストール方法および使用方法について説明しています。</w:t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1"/>
        <w:numPr>
          <w:ilvl w:val="0"/>
          <w:numId w:val="1"/>
        </w:numPr>
        <w:rPr>
          <w:rFonts w:ascii="HG丸ｺﾞｼｯｸM-PRO" w:hAnsi="HG丸ｺﾞｼｯｸM-PRO" w:eastAsia="HG丸ｺﾞｼｯｸM-PRO"/>
        </w:rPr>
      </w:pPr>
      <w:bookmarkStart w:id="7" w:name="__RefHeading___Toc6688_1389316416"/>
      <w:bookmarkStart w:id="8" w:name="_Toc510533265"/>
      <w:bookmarkStart w:id="9" w:name="_Toc443931033"/>
      <w:bookmarkEnd w:id="7"/>
      <w:bookmarkEnd w:id="9"/>
      <w:r>
        <w:rPr>
          <w:rFonts w:ascii="HG丸ｺﾞｼｯｸM-PRO" w:hAnsi="HG丸ｺﾞｼｯｸM-PRO" w:eastAsia="HG丸ｺﾞｼｯｸM-PRO"/>
        </w:rPr>
        <w:t>システム概要</w:t>
      </w:r>
      <w:bookmarkEnd w:id="8"/>
    </w:p>
    <w:p>
      <w:pPr>
        <w:pStyle w:val="1"/>
        <w:numPr>
          <w:ilvl w:val="1"/>
          <w:numId w:val="1"/>
        </w:numPr>
        <w:tabs>
          <w:tab w:val="clear" w:pos="1300"/>
          <w:tab w:val="left" w:pos="855" w:leader="none"/>
        </w:tabs>
        <w:rPr>
          <w:rFonts w:ascii="HG丸ｺﾞｼｯｸM-PRO" w:hAnsi="HG丸ｺﾞｼｯｸM-PRO" w:eastAsia="HG丸ｺﾞｼｯｸM-PRO"/>
          <w:sz w:val="28"/>
          <w:szCs w:val="28"/>
        </w:rPr>
      </w:pPr>
      <w:bookmarkStart w:id="10" w:name="__RefHeading___Toc6690_1389316416"/>
      <w:bookmarkStart w:id="11" w:name="_Toc510533266"/>
      <w:bookmarkStart w:id="12" w:name="_Toc443931034"/>
      <w:bookmarkEnd w:id="10"/>
      <w:bookmarkEnd w:id="12"/>
      <w:r>
        <w:rPr>
          <w:rFonts w:ascii="HG丸ｺﾞｼｯｸM-PRO" w:hAnsi="HG丸ｺﾞｼｯｸM-PRO" w:eastAsia="HG丸ｺﾞｼｯｸM-PRO"/>
          <w:sz w:val="28"/>
          <w:szCs w:val="28"/>
        </w:rPr>
        <w:t>ソフトウエア構成</w:t>
      </w:r>
      <w:bookmarkEnd w:id="11"/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本システムを構成するプログラムの構成を以下に示します。</w:t>
      </w:r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(1) </w:t>
      </w:r>
      <w:r>
        <w:rPr>
          <w:rFonts w:eastAsia="HG丸ｺﾞｼｯｸM-PRO" w:cs="HG丸ｺﾞｼｯｸM-PRO" w:ascii="HG丸ｺﾞｼｯｸM-PRO" w:hAnsi="HG丸ｺﾞｼｯｸM-PRO"/>
          <w:color w:val="00000A"/>
          <w:sz w:val="20"/>
          <w:szCs w:val="20"/>
          <w:lang w:bidi="hi-IN"/>
        </w:rPr>
        <w:t>Temporal Buffer</w:t>
      </w:r>
    </w:p>
    <w:p>
      <w:pPr>
        <w:pStyle w:val="Normal"/>
        <w:ind w:firstLine="24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・</w:t>
      </w:r>
      <w:r>
        <w:rPr>
          <w:rFonts w:eastAsia="HG丸ｺﾞｼｯｸM-PRO" w:cs="HG丸ｺﾞｼｯｸM-PRO" w:ascii="HG丸ｺﾞｼｯｸM-PRO" w:hAnsi="HG丸ｺﾞｼｯｸM-PRO"/>
          <w:color w:val="00000A"/>
          <w:sz w:val="20"/>
          <w:szCs w:val="20"/>
          <w:lang w:bidi="hi-IN"/>
        </w:rPr>
        <w:t>TB.py</w:t>
      </w:r>
    </w:p>
    <w:p>
      <w:pPr>
        <w:pStyle w:val="Normal"/>
        <w:ind w:firstLine="24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(2) </w:t>
      </w:r>
      <w:r>
        <w:rPr>
          <w:rFonts w:eastAsia="HG丸ｺﾞｼｯｸM-PRO" w:cs="TakaoExゴシック" w:ascii="HG丸ｺﾞｼｯｸM-PRO" w:hAnsi="HG丸ｺﾞｼｯｸM-PRO"/>
          <w:color w:val="00000A"/>
          <w:sz w:val="20"/>
          <w:szCs w:val="20"/>
          <w:lang w:bidi="hi-IN"/>
        </w:rPr>
        <w:t>TB2C_server</w:t>
      </w:r>
    </w:p>
    <w:p>
      <w:pPr>
        <w:pStyle w:val="Normal"/>
        <w:tabs>
          <w:tab w:val="clear" w:pos="1300"/>
          <w:tab w:val="left" w:pos="310" w:leader="none"/>
        </w:tabs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sz w:val="20"/>
          <w:szCs w:val="20"/>
        </w:rPr>
        <w:tab/>
      </w:r>
      <w:r>
        <w:rPr>
          <w:rFonts w:ascii="HG丸ｺﾞｼｯｸM-PRO" w:hAnsi="HG丸ｺﾞｼｯｸM-PRO" w:cs="Arial Unicode MS" w:eastAsia="HG丸ｺﾞｼｯｸM-PRO"/>
          <w:sz w:val="20"/>
          <w:szCs w:val="20"/>
        </w:rPr>
        <w:t>・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TB2C_server.py</w:t>
      </w:r>
    </w:p>
    <w:p>
      <w:pPr>
        <w:pStyle w:val="Normal"/>
        <w:ind w:firstLine="24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(</w:t>
      </w:r>
      <w:r>
        <w:rPr>
          <w:rFonts w:eastAsia="HG丸ｺﾞｼｯｸM-PRO" w:cs="HG丸ｺﾞｼｯｸM-PRO" w:ascii="HG丸ｺﾞｼｯｸM-PRO" w:hAnsi="HG丸ｺﾞｼｯｸM-PRO"/>
          <w:color w:val="00000A"/>
          <w:sz w:val="20"/>
          <w:szCs w:val="20"/>
          <w:lang w:bidi="hi-IN"/>
        </w:rPr>
        <w:t>3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) </w:t>
      </w:r>
      <w:r>
        <w:rPr>
          <w:rFonts w:eastAsia="HG丸ｺﾞｼｯｸM-PRO" w:cs="TakaoExゴシック" w:ascii="HG丸ｺﾞｼｯｸM-PRO" w:hAnsi="HG丸ｺﾞｼｯｸM-PRO"/>
          <w:color w:val="00000A"/>
          <w:sz w:val="20"/>
          <w:szCs w:val="20"/>
          <w:lang w:bidi="hi-IN"/>
        </w:rPr>
        <w:t>TB2C_client</w:t>
      </w:r>
    </w:p>
    <w:p>
      <w:pPr>
        <w:pStyle w:val="Normal"/>
        <w:tabs>
          <w:tab w:val="clear" w:pos="1300"/>
          <w:tab w:val="left" w:pos="310" w:leader="none"/>
        </w:tabs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ab/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・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TB2C_client.py</w:t>
      </w:r>
    </w:p>
    <w:p>
      <w:pPr>
        <w:pStyle w:val="Normal"/>
        <w:widowControl/>
        <w:tabs>
          <w:tab w:val="clear" w:pos="1300"/>
          <w:tab w:val="left" w:pos="1140" w:leader="none"/>
        </w:tabs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1"/>
        <w:numPr>
          <w:ilvl w:val="1"/>
          <w:numId w:val="1"/>
        </w:numPr>
        <w:tabs>
          <w:tab w:val="clear" w:pos="1300"/>
          <w:tab w:val="left" w:pos="855" w:leader="none"/>
        </w:tabs>
        <w:rPr>
          <w:rFonts w:ascii="HG丸ｺﾞｼｯｸM-PRO" w:hAnsi="HG丸ｺﾞｼｯｸM-PRO" w:eastAsia="HG丸ｺﾞｼｯｸM-PRO"/>
          <w:sz w:val="28"/>
          <w:szCs w:val="28"/>
        </w:rPr>
      </w:pPr>
      <w:bookmarkStart w:id="13" w:name="__RefHeading___Toc6692_1389316416"/>
      <w:bookmarkStart w:id="14" w:name="_Toc510533267"/>
      <w:bookmarkStart w:id="15" w:name="_Toc443931035"/>
      <w:bookmarkEnd w:id="13"/>
      <w:bookmarkEnd w:id="15"/>
      <w:r>
        <w:rPr>
          <w:rFonts w:ascii="HG丸ｺﾞｼｯｸM-PRO" w:hAnsi="HG丸ｺﾞｼｯｸM-PRO" w:eastAsia="HG丸ｺﾞｼｯｸM-PRO"/>
          <w:sz w:val="28"/>
          <w:szCs w:val="28"/>
        </w:rPr>
        <w:t>動作環境とインストール作業</w:t>
      </w:r>
      <w:bookmarkEnd w:id="14"/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/>
        </w:rPr>
      </w:pPr>
      <w:bookmarkStart w:id="16" w:name="__RefHeading___Toc6694_1389316416"/>
      <w:bookmarkEnd w:id="16"/>
      <w:r>
        <w:rPr>
          <w:rFonts w:ascii="HG丸ｺﾞｼｯｸM-PRO" w:hAnsi="HG丸ｺﾞｼｯｸM-PRO" w:eastAsia="HG丸ｺﾞｼｯｸM-PRO"/>
          <w:sz w:val="24"/>
          <w:szCs w:val="24"/>
        </w:rPr>
        <w:t>必要な</w:t>
      </w:r>
      <w:bookmarkStart w:id="17" w:name="_Toc5105332671"/>
      <w:r>
        <w:rPr>
          <w:rFonts w:ascii="HG丸ｺﾞｼｯｸM-PRO" w:hAnsi="HG丸ｺﾞｼｯｸM-PRO" w:eastAsia="HG丸ｺﾞｼｯｸM-PRO"/>
          <w:sz w:val="24"/>
          <w:szCs w:val="24"/>
        </w:rPr>
        <w:t>動作環境</w:t>
      </w:r>
      <w:bookmarkEnd w:id="17"/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の動作には、以下のソフトウエアがインストールされた環境が必要です。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 xml:space="preserve">(1) </w:t>
      </w:r>
      <w:r>
        <w:rPr>
          <w:rFonts w:eastAsia="HG丸ｺﾞｼｯｸM-PRO" w:cs="東風ゴシック" w:ascii="HG丸ｺﾞｼｯｸM-PRO" w:hAnsi="HG丸ｺﾞｼｯｸM-PRO"/>
          <w:color w:val="00000A"/>
          <w:sz w:val="20"/>
          <w:szCs w:val="20"/>
          <w:lang w:bidi="hi-IN"/>
        </w:rPr>
        <w:t>ChOWDER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1"/>
        </w:rPr>
      </w:pP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は、動作中の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サーバーに接続して動作することを前提としています。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1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のインストールおよび実行については、以下の</w:t>
      </w:r>
      <w:r>
        <w:rPr>
          <w:rFonts w:eastAsia="HG丸ｺﾞｼｯｸM-PRO" w:ascii="HG丸ｺﾞｼｯｸM-PRO" w:hAnsi="HG丸ｺﾞｼｯｸM-PRO"/>
          <w:sz w:val="20"/>
          <w:szCs w:val="20"/>
        </w:rPr>
        <w:t>URL</w:t>
      </w:r>
      <w:r>
        <w:rPr>
          <w:rFonts w:ascii="HG丸ｺﾞｼｯｸM-PRO" w:hAnsi="HG丸ｺﾞｼｯｸM-PRO" w:eastAsia="HG丸ｺﾞｼｯｸM-PRO"/>
          <w:sz w:val="20"/>
          <w:szCs w:val="20"/>
        </w:rPr>
        <w:t>を参照してください。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1"/>
        </w:rPr>
      </w:pPr>
      <w:r>
        <w:rPr>
          <w:rFonts w:ascii="Consolas" w:hAnsi="Consolas" w:cs="Consolas" w:eastAsia="HG丸ｺﾞｼｯｸM-PRO"/>
          <w:color w:val="00000A"/>
          <w:kern w:val="0"/>
          <w:sz w:val="21"/>
          <w:szCs w:val="21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https://github.com/digirea/ChOWDER/blob/master/UserGuide/jp/UserGuide.md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(2) obj23dtiles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は、動作中に</w:t>
      </w:r>
      <w:r>
        <w:rPr>
          <w:rFonts w:eastAsia="HG丸ｺﾞｼｯｸM-PRO" w:ascii="HG丸ｺﾞｼｯｸM-PRO" w:hAnsi="HG丸ｺﾞｼｯｸM-PRO"/>
          <w:sz w:val="20"/>
          <w:szCs w:val="20"/>
        </w:rPr>
        <w:t>obj23dtiles</w:t>
      </w:r>
      <w:r>
        <w:rPr>
          <w:rFonts w:ascii="HG丸ｺﾞｼｯｸM-PRO" w:hAnsi="HG丸ｺﾞｼｯｸM-PRO" w:eastAsia="HG丸ｺﾞｼｯｸM-PRO"/>
          <w:sz w:val="20"/>
          <w:szCs w:val="20"/>
        </w:rPr>
        <w:t>コマンドを使用します。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obj23dtiles</w:t>
      </w:r>
      <w:r>
        <w:rPr>
          <w:rFonts w:ascii="HG丸ｺﾞｼｯｸM-PRO" w:hAnsi="HG丸ｺﾞｼｯｸM-PRO" w:eastAsia="HG丸ｺﾞｼｯｸM-PRO"/>
          <w:sz w:val="20"/>
          <w:szCs w:val="20"/>
        </w:rPr>
        <w:t>は</w:t>
      </w:r>
      <w:r>
        <w:rPr>
          <w:rFonts w:eastAsia="HG丸ｺﾞｼｯｸM-PRO" w:ascii="HG丸ｺﾞｼｯｸM-PRO" w:hAnsi="HG丸ｺﾞｼｯｸM-PRO"/>
          <w:sz w:val="20"/>
          <w:szCs w:val="20"/>
        </w:rPr>
        <w:t>Node.js</w:t>
      </w:r>
      <w:r>
        <w:rPr>
          <w:rFonts w:ascii="HG丸ｺﾞｼｯｸM-PRO" w:hAnsi="HG丸ｺﾞｼｯｸM-PRO" w:eastAsia="HG丸ｺﾞｼｯｸM-PRO"/>
          <w:sz w:val="20"/>
          <w:szCs w:val="20"/>
        </w:rPr>
        <w:t>の</w:t>
      </w:r>
      <w:r>
        <w:rPr>
          <w:rFonts w:eastAsia="HG丸ｺﾞｼｯｸM-PRO" w:ascii="HG丸ｺﾞｼｯｸM-PRO" w:hAnsi="HG丸ｺﾞｼｯｸM-PRO"/>
          <w:sz w:val="20"/>
          <w:szCs w:val="20"/>
        </w:rPr>
        <w:t>npm</w:t>
      </w:r>
      <w:r>
        <w:rPr>
          <w:rFonts w:ascii="HG丸ｺﾞｼｯｸM-PRO" w:hAnsi="HG丸ｺﾞｼｯｸM-PRO" w:eastAsia="HG丸ｺﾞｼｯｸM-PRO"/>
          <w:sz w:val="20"/>
          <w:szCs w:val="20"/>
        </w:rPr>
        <w:t>パッケージとして公開されており、以下のコマンドでインストールできます。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npm install -g obj23dtiles</w:t>
      </w:r>
    </w:p>
    <w:p>
      <w:pPr>
        <w:pStyle w:val="Normal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</w:r>
    </w:p>
    <w:p>
      <w:pPr>
        <w:pStyle w:val="Normal"/>
        <w:rPr>
          <w:rFonts w:ascii="HG丸ｺﾞｼｯｸM-PRO" w:hAnsi="HG丸ｺﾞｼｯｸM-PRO" w:eastAsia="HG丸ｺﾞｼｯｸM-PRO" w:cs="東風ゴシック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東風ゴシック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obj23dtiles</w:t>
      </w:r>
      <w:r>
        <w:rPr>
          <w:rFonts w:ascii="HG丸ｺﾞｼｯｸM-PRO" w:hAnsi="HG丸ｺﾞｼｯｸM-PRO" w:cs="東風ゴシック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の詳細については、以下の</w:t>
      </w:r>
      <w:r>
        <w:rPr>
          <w:rFonts w:eastAsia="HG丸ｺﾞｼｯｸM-PRO" w:cs="東風ゴシック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URL</w:t>
      </w:r>
      <w:r>
        <w:rPr>
          <w:rFonts w:ascii="HG丸ｺﾞｼｯｸM-PRO" w:hAnsi="HG丸ｺﾞｼｯｸM-PRO" w:cs="東風ゴシック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を参照してください。</w:t>
      </w:r>
    </w:p>
    <w:p>
      <w:pPr>
        <w:pStyle w:val="Normal"/>
        <w:rPr>
          <w:rFonts w:ascii="HG丸ｺﾞｼｯｸM-PRO" w:hAnsi="HG丸ｺﾞｼｯｸM-PRO" w:eastAsia="HG丸ｺﾞｼｯｸM-PRO" w:cs="東風ゴシック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ascii="HG丸ｺﾞｼｯｸM-PRO" w:hAnsi="HG丸ｺﾞｼｯｸM-PRO" w:cs="東風ゴシック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https://github.com/PrincessGod/objTo3d-tiles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3</w:t>
      </w:r>
      <w:r>
        <w:rPr>
          <w:rFonts w:eastAsia="HG丸ｺﾞｼｯｸM-PRO" w:ascii="HG丸ｺﾞｼｯｸM-PRO" w:hAnsi="HG丸ｺﾞｼｯｸM-PRO"/>
          <w:sz w:val="20"/>
          <w:szCs w:val="20"/>
        </w:rPr>
        <w:t>) Python</w:t>
      </w:r>
    </w:p>
    <w:p>
      <w:pPr>
        <w:pStyle w:val="Normal"/>
        <w:tabs>
          <w:tab w:val="clear" w:pos="1300"/>
          <w:tab w:val="left" w:pos="310" w:leader="none"/>
        </w:tabs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ab/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・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Python 3.x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 xml:space="preserve"> 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および以下の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Python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モジュール</w:t>
      </w:r>
    </w:p>
    <w:p>
      <w:pPr>
        <w:pStyle w:val="Normal"/>
        <w:widowControl/>
        <w:tabs>
          <w:tab w:val="clear" w:pos="130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numpy</w:t>
      </w:r>
    </w:p>
    <w:p>
      <w:pPr>
        <w:pStyle w:val="Normal"/>
        <w:widowControl/>
        <w:tabs>
          <w:tab w:val="clear" w:pos="130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scikit-image</w:t>
      </w:r>
    </w:p>
    <w:p>
      <w:pPr>
        <w:pStyle w:val="Normal"/>
        <w:widowControl/>
        <w:tabs>
          <w:tab w:val="clear" w:pos="130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wxPython</w:t>
      </w:r>
    </w:p>
    <w:p>
      <w:pPr>
        <w:pStyle w:val="Normal"/>
        <w:widowControl/>
        <w:tabs>
          <w:tab w:val="clear" w:pos="130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PyOpenGL</w:t>
      </w:r>
    </w:p>
    <w:p>
      <w:pPr>
        <w:pStyle w:val="Normal"/>
        <w:widowControl/>
        <w:tabs>
          <w:tab w:val="clear" w:pos="130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websocket-client</w:t>
      </w:r>
    </w:p>
    <w:p>
      <w:pPr>
        <w:pStyle w:val="Normal"/>
        <w:widowControl/>
        <w:tabs>
          <w:tab w:val="clear" w:pos="1300"/>
          <w:tab w:val="left" w:pos="1140" w:leader="none"/>
        </w:tabs>
        <w:suppressAutoHyphens w:val="false"/>
        <w:ind w:hanging="0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/>
        </w:rPr>
      </w:pPr>
      <w:bookmarkStart w:id="18" w:name="__RefHeading___Toc6696_1389316416"/>
      <w:bookmarkEnd w:id="18"/>
      <w:r>
        <w:rPr>
          <w:rFonts w:ascii="HG丸ｺﾞｼｯｸM-PRO" w:hAnsi="HG丸ｺﾞｼｯｸM-PRO" w:eastAsia="HG丸ｺﾞｼｯｸM-PRO"/>
          <w:sz w:val="24"/>
          <w:szCs w:val="24"/>
        </w:rPr>
        <w:t>インストール</w:t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(1) Python 3</w:t>
      </w:r>
    </w:p>
    <w:p>
      <w:pPr>
        <w:pStyle w:val="Normal"/>
        <w:widowControl/>
        <w:tabs>
          <w:tab w:val="clear" w:pos="130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Python 3.x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のインストールは、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Python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の公式サイト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(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https://www.python.org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)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からインストーラーをダウンロードし、実行することで行います。</w:t>
      </w:r>
    </w:p>
    <w:p>
      <w:pPr>
        <w:pStyle w:val="Normal"/>
        <w:widowControl/>
        <w:tabs>
          <w:tab w:val="clear" w:pos="130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sz w:val="20"/>
          <w:szCs w:val="20"/>
        </w:rPr>
      </w:r>
    </w:p>
    <w:p>
      <w:pPr>
        <w:pStyle w:val="Normal"/>
        <w:widowControl/>
        <w:tabs>
          <w:tab w:val="clear" w:pos="130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Windows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の場合、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Microsoft Store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からインストールすることも可能です。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Windows 10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以降のコマンドプロンプトで</w:t>
      </w:r>
      <w:r>
        <w:rPr>
          <w:rFonts w:eastAsia="HG丸ｺﾞｼｯｸM-PRO" w:cs="Consolas" w:ascii="Consolas" w:hAnsi="Consolas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コマンドを実行すると、自動的に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Microsoft Store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版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のインストール画面が表示され、インストールできるようになっています。</w:t>
      </w:r>
    </w:p>
    <w:p>
      <w:pPr>
        <w:pStyle w:val="Normal"/>
        <w:widowControl/>
        <w:tabs>
          <w:tab w:val="clear" w:pos="130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b w:val="false"/>
          <w:b w:val="false"/>
          <w:i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r>
    </w:p>
    <w:p>
      <w:pPr>
        <w:pStyle w:val="Normal"/>
        <w:widowControl/>
        <w:tabs>
          <w:tab w:val="clear" w:pos="130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macOS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の場合、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Homebrew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を使用したインストールを行うことも可能です。以下の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URL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を参照してください。</w:t>
      </w:r>
    </w:p>
    <w:p>
      <w:pPr>
        <w:pStyle w:val="Normal"/>
        <w:widowControl/>
        <w:tabs>
          <w:tab w:val="clear" w:pos="1300"/>
          <w:tab w:val="left" w:pos="310" w:leader="none"/>
        </w:tabs>
        <w:suppressAutoHyphens w:val="false"/>
        <w:rPr>
          <w:rFonts w:ascii="Consolas" w:hAnsi="Consolas" w:eastAsia="HG丸ｺﾞｼｯｸM-PRO" w:cs="Consolas"/>
          <w:color w:val="00000A"/>
          <w:kern w:val="0"/>
          <w:sz w:val="21"/>
          <w:szCs w:val="21"/>
          <w:lang w:val="en-US" w:eastAsia="ja-JP" w:bidi="hi-IN"/>
        </w:rPr>
      </w:pP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1"/>
          <w:szCs w:val="21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https://www.python.jp/install/macos/install_python.html</w:t>
      </w:r>
    </w:p>
    <w:p>
      <w:pPr>
        <w:pStyle w:val="Normal"/>
        <w:widowControl/>
        <w:tabs>
          <w:tab w:val="clear" w:pos="130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sz w:val="20"/>
          <w:szCs w:val="20"/>
        </w:rPr>
      </w:r>
    </w:p>
    <w:p>
      <w:pPr>
        <w:pStyle w:val="Normal"/>
        <w:widowControl/>
        <w:tabs>
          <w:tab w:val="clear" w:pos="130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Ubuntu 18.04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および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20.04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には最初から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 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がインストールされており、そのまま利用可能ですが、後述の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モジュールのインストールのために、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のインストールが必要です。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コマンドが存在しない場合は、以下のコマンドを実行してください。</w:t>
      </w:r>
    </w:p>
    <w:p>
      <w:pPr>
        <w:pStyle w:val="Style31"/>
        <w:rPr>
          <w:rFonts w:ascii="Consolas" w:hAnsi="Consolas" w:eastAsia="HG丸ｺﾞｼｯｸM-PRO" w:cs="Consolas"/>
          <w:b w:val="false"/>
          <w:b w:val="false"/>
          <w:i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pP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sudo apt install python3-pip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CentOS 7</w:t>
      </w:r>
      <w:r>
        <w:rPr>
          <w:rFonts w:ascii="HG丸ｺﾞｼｯｸM-PRO" w:hAnsi="HG丸ｺﾞｼｯｸM-PRO" w:eastAsia="HG丸ｺﾞｼｯｸM-PRO"/>
          <w:sz w:val="20"/>
          <w:szCs w:val="20"/>
        </w:rPr>
        <w:t>では、</w:t>
      </w:r>
      <w:r>
        <w:rPr>
          <w:rFonts w:eastAsia="HG丸ｺﾞｼｯｸM-PRO" w:ascii="HG丸ｺﾞｼｯｸM-PRO" w:hAnsi="HG丸ｺﾞｼｯｸM-PRO"/>
          <w:sz w:val="20"/>
          <w:szCs w:val="20"/>
        </w:rPr>
        <w:t>Python 3</w:t>
      </w:r>
      <w:r>
        <w:rPr>
          <w:rFonts w:ascii="HG丸ｺﾞｼｯｸM-PRO" w:hAnsi="HG丸ｺﾞｼｯｸM-PRO" w:eastAsia="HG丸ｺﾞｼｯｸM-PRO"/>
          <w:sz w:val="20"/>
          <w:szCs w:val="20"/>
        </w:rPr>
        <w:t>は</w:t>
      </w:r>
      <w:r>
        <w:rPr>
          <w:rFonts w:eastAsia="HG丸ｺﾞｼｯｸM-PRO" w:ascii="HG丸ｺﾞｼｯｸM-PRO" w:hAnsi="HG丸ｺﾞｼｯｸM-PRO"/>
          <w:sz w:val="20"/>
          <w:szCs w:val="20"/>
        </w:rPr>
        <w:t>EPEL</w:t>
      </w:r>
      <w:r>
        <w:rPr>
          <w:rFonts w:ascii="HG丸ｺﾞｼｯｸM-PRO" w:hAnsi="HG丸ｺﾞｼｯｸM-PRO" w:eastAsia="HG丸ｺﾞｼｯｸM-PRO"/>
          <w:sz w:val="20"/>
          <w:szCs w:val="20"/>
        </w:rPr>
        <w:t>リポジトリから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インストールを行うことも可能です。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コマンドが存在しない場合は、以下のコマンドを実行してください。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コマンドも併せてインストールします。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yum install epel-release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sudo yum install python36u</w:t>
      </w:r>
    </w:p>
    <w:p>
      <w:pPr>
        <w:pStyle w:val="Normal"/>
        <w:rPr>
          <w:rFonts w:ascii="Consolas" w:hAnsi="Consolas" w:eastAsia="HG丸ｺﾞｼｯｸM-PRO" w:cs="Consolas"/>
          <w:b w:val="false"/>
          <w:b w:val="false"/>
          <w:i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pP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sudo yum install python36u-pip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(2) Python</w:t>
      </w:r>
      <w:r>
        <w:rPr>
          <w:rFonts w:ascii="HG丸ｺﾞｼｯｸM-PRO" w:hAnsi="HG丸ｺﾞｼｯｸM-PRO" w:eastAsia="HG丸ｺﾞｼｯｸM-PRO"/>
          <w:sz w:val="20"/>
          <w:szCs w:val="20"/>
        </w:rPr>
        <w:t>モジュール群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本ソフトウエアの動作に必要な</w:t>
      </w:r>
      <w:r>
        <w:rPr>
          <w:rFonts w:eastAsia="HG丸ｺﾞｼｯｸM-PRO" w:ascii="HG丸ｺﾞｼｯｸM-PRO" w:hAnsi="HG丸ｺﾞｼｯｸM-PRO"/>
          <w:sz w:val="20"/>
          <w:szCs w:val="20"/>
        </w:rPr>
        <w:t>python</w:t>
      </w:r>
      <w:r>
        <w:rPr>
          <w:rFonts w:ascii="HG丸ｺﾞｼｯｸM-PRO" w:hAnsi="HG丸ｺﾞｼｯｸM-PRO" w:eastAsia="HG丸ｺﾞｼｯｸM-PRO"/>
          <w:sz w:val="20"/>
          <w:szCs w:val="20"/>
        </w:rPr>
        <w:t>モジュールは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コマンドでインストールを行うことができます。以下のコマンドを実行してください。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numpy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scikit-image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wxPython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PyOpenGL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websocket-client</w:t>
      </w:r>
    </w:p>
    <w:p>
      <w:pPr>
        <w:pStyle w:val="Normal"/>
        <w:rPr>
          <w:rFonts w:ascii="HG丸ｺﾞｼｯｸM-PRO" w:hAnsi="HG丸ｺﾞｼｯｸM-PRO" w:eastAsia="HG丸ｺﾞｼｯｸM-PRO" w:cs="東風ゴシック"/>
          <w:b w:val="false"/>
          <w:b w:val="false"/>
          <w:i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東風ゴシック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3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)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</w:p>
    <w:p>
      <w:pPr>
        <w:pStyle w:val="Normal"/>
        <w:widowControl/>
        <w:suppressAutoHyphens w:val="false"/>
        <w:rPr>
          <w:sz w:val="20"/>
          <w:szCs w:val="20"/>
        </w:rPr>
      </w:pP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は、特別なインストール作業は必要ありません。環境を任意のディレクトリに展開すれば、そのディレクトリで使用可能です。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ind w:left="450" w:hanging="210"/>
        <w:rPr>
          <w:sz w:val="20"/>
          <w:szCs w:val="20"/>
        </w:rPr>
      </w:pPr>
      <w:r>
        <w:rPr>
          <w:rFonts w:eastAsia="HG丸ｺﾞｼｯｸM-PRO" w:cs="Consolas" w:ascii="Consolas" w:hAnsi="Consolas"/>
          <w:sz w:val="20"/>
          <w:szCs w:val="20"/>
        </w:rPr>
        <w:t xml:space="preserve">$ tar xvfz 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cs="Consolas" w:ascii="Consolas" w:hAnsi="Consolas"/>
          <w:sz w:val="20"/>
          <w:szCs w:val="20"/>
        </w:rPr>
        <w:t>-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x</w:t>
      </w:r>
      <w:r>
        <w:rPr>
          <w:rFonts w:eastAsia="HG丸ｺﾞｼｯｸM-PRO" w:cs="Consolas" w:ascii="Consolas" w:hAnsi="Consolas"/>
          <w:sz w:val="20"/>
          <w:szCs w:val="20"/>
        </w:rPr>
        <w:t>.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y</w:t>
      </w:r>
      <w:r>
        <w:rPr>
          <w:rFonts w:eastAsia="HG丸ｺﾞｼｯｸM-PRO" w:cs="Consolas" w:ascii="Consolas" w:hAnsi="Consolas"/>
          <w:sz w:val="20"/>
          <w:szCs w:val="20"/>
        </w:rPr>
        <w:t xml:space="preserve">.tar.gz </w:t>
      </w:r>
      <w:r>
        <w:rPr>
          <w:rFonts w:ascii="Consolas" w:hAnsi="Consolas" w:cs="Consolas" w:eastAsia="HG丸ｺﾞｼｯｸM-PRO"/>
          <w:sz w:val="20"/>
          <w:szCs w:val="20"/>
        </w:rPr>
        <w:t xml:space="preserve">または 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cs="Consolas" w:ascii="Consolas" w:hAnsi="Consolas"/>
          <w:sz w:val="20"/>
          <w:szCs w:val="20"/>
        </w:rPr>
        <w:t>-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x</w:t>
      </w:r>
      <w:r>
        <w:rPr>
          <w:rFonts w:eastAsia="HG丸ｺﾞｼｯｸM-PRO" w:cs="Consolas" w:ascii="Consolas" w:hAnsi="Consolas"/>
          <w:sz w:val="20"/>
          <w:szCs w:val="20"/>
        </w:rPr>
        <w:t>.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y</w:t>
      </w:r>
      <w:r>
        <w:rPr>
          <w:rFonts w:eastAsia="HG丸ｺﾞｼｯｸM-PRO" w:cs="Consolas" w:ascii="Consolas" w:hAnsi="Consolas"/>
          <w:sz w:val="20"/>
          <w:szCs w:val="20"/>
        </w:rPr>
        <w:t>.zip</w:t>
      </w:r>
      <w:r>
        <w:rPr>
          <w:rFonts w:ascii="Consolas" w:hAnsi="Consolas" w:cs="Consolas" w:eastAsia="HG丸ｺﾞｼｯｸM-PRO"/>
          <w:sz w:val="20"/>
          <w:szCs w:val="20"/>
        </w:rPr>
        <w:t>を展開</w:t>
      </w:r>
    </w:p>
    <w:p>
      <w:pPr>
        <w:pStyle w:val="Normal"/>
        <w:ind w:left="450" w:hanging="210"/>
        <w:rPr>
          <w:sz w:val="20"/>
          <w:szCs w:val="20"/>
        </w:rPr>
      </w:pPr>
      <w:r>
        <w:rPr>
          <w:rFonts w:eastAsia="HG丸ｺﾞｼｯｸM-PRO" w:cs="Consolas" w:ascii="Consolas" w:hAnsi="Consolas"/>
          <w:sz w:val="20"/>
          <w:szCs w:val="20"/>
        </w:rPr>
        <w:t xml:space="preserve">$ cd 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TB2C-x.y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  <w:r>
        <w:br w:type="page"/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1"/>
        <w:numPr>
          <w:ilvl w:val="0"/>
          <w:numId w:val="1"/>
        </w:numPr>
        <w:rPr>
          <w:rFonts w:ascii="HG丸ｺﾞｼｯｸM-PRO" w:hAnsi="HG丸ｺﾞｼｯｸM-PRO" w:eastAsia="HG丸ｺﾞｼｯｸM-PRO"/>
        </w:rPr>
      </w:pPr>
      <w:bookmarkStart w:id="19" w:name="__RefHeading___Toc6698_1389316416"/>
      <w:bookmarkStart w:id="20" w:name="_Toc510533268"/>
      <w:bookmarkEnd w:id="19"/>
      <w:r>
        <w:rPr>
          <w:rFonts w:ascii="HG丸ｺﾞｼｯｸM-PRO" w:hAnsi="HG丸ｺﾞｼｯｸM-PRO" w:eastAsia="HG丸ｺﾞｼｯｸM-PRO"/>
        </w:rPr>
        <w:t>操作説明</w:t>
      </w:r>
      <w:bookmarkEnd w:id="20"/>
    </w:p>
    <w:p>
      <w:pPr>
        <w:pStyle w:val="1"/>
        <w:numPr>
          <w:ilvl w:val="1"/>
          <w:numId w:val="1"/>
        </w:numPr>
        <w:tabs>
          <w:tab w:val="clear" w:pos="1300"/>
          <w:tab w:val="left" w:pos="855" w:leader="none"/>
        </w:tabs>
        <w:rPr>
          <w:rFonts w:ascii="HG丸ｺﾞｼｯｸM-PRO" w:hAnsi="HG丸ｺﾞｼｯｸM-PRO" w:eastAsia="HG丸ｺﾞｼｯｸM-PRO"/>
          <w:sz w:val="28"/>
          <w:szCs w:val="28"/>
        </w:rPr>
      </w:pPr>
      <w:bookmarkStart w:id="21" w:name="__RefHeading___Toc6700_1389316416"/>
      <w:bookmarkStart w:id="22" w:name="_Toc510533269"/>
      <w:bookmarkEnd w:id="21"/>
      <w:r>
        <w:rPr>
          <w:rFonts w:ascii="HG丸ｺﾞｼｯｸM-PRO" w:hAnsi="HG丸ｺﾞｼｯｸM-PRO" w:eastAsia="HG丸ｺﾞｼｯｸM-PRO"/>
          <w:sz w:val="28"/>
          <w:szCs w:val="28"/>
        </w:rPr>
        <w:t>概要</w:t>
      </w:r>
      <w:bookmarkEnd w:id="22"/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は、</w:t>
      </w:r>
      <w:r>
        <w:rPr>
          <w:rFonts w:eastAsia="HG丸ｺﾞｼｯｸM-PRO" w:ascii="HG丸ｺﾞｼｯｸM-PRO" w:hAnsi="HG丸ｺﾞｼｯｸM-PRO"/>
          <w:sz w:val="20"/>
          <w:szCs w:val="20"/>
        </w:rPr>
        <w:t>Temporal Buffer (TB)</w:t>
      </w:r>
      <w:r>
        <w:rPr>
          <w:rFonts w:ascii="HG丸ｺﾞｼｯｸM-PRO" w:hAnsi="HG丸ｺﾞｼｯｸM-PRO" w:eastAsia="HG丸ｺﾞｼｯｸM-PRO"/>
          <w:sz w:val="20"/>
          <w:szCs w:val="20"/>
        </w:rPr>
        <w:t>と</w:t>
      </w:r>
      <w:r>
        <w:rPr>
          <w:rFonts w:eastAsia="HG丸ｺﾞｼｯｸM-PRO" w:ascii="HG丸ｺﾞｼｯｸM-PRO" w:hAnsi="HG丸ｺﾞｼｯｸM-PRO"/>
          <w:sz w:val="20"/>
          <w:szCs w:val="20"/>
        </w:rPr>
        <w:t>TB2C_server (TB2C_S)</w:t>
      </w:r>
      <w:r>
        <w:rPr>
          <w:rFonts w:ascii="HG丸ｺﾞｼｯｸM-PRO" w:hAnsi="HG丸ｺﾞｼｯｸM-PRO" w:eastAsia="HG丸ｺﾞｼｯｸM-PRO"/>
          <w:sz w:val="20"/>
          <w:szCs w:val="20"/>
        </w:rPr>
        <w:t>および</w:t>
      </w:r>
      <w:r>
        <w:rPr>
          <w:rFonts w:eastAsia="HG丸ｺﾞｼｯｸM-PRO" w:ascii="HG丸ｺﾞｼｯｸM-PRO" w:hAnsi="HG丸ｺﾞｼｯｸM-PRO"/>
          <w:sz w:val="20"/>
          <w:szCs w:val="20"/>
        </w:rPr>
        <w:t>TB2C client (TB2C_C)</w:t>
      </w:r>
      <w:r>
        <w:rPr>
          <w:rFonts w:ascii="HG丸ｺﾞｼｯｸM-PRO" w:hAnsi="HG丸ｺﾞｼｯｸM-PRO" w:eastAsia="HG丸ｺﾞｼｯｸM-PRO"/>
          <w:sz w:val="20"/>
          <w:szCs w:val="20"/>
        </w:rPr>
        <w:t>から構成されるシステムであり、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に接続して動作します。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69870"/>
            <wp:effectExtent l="0" t="0" r="0" b="0"/>
            <wp:wrapSquare wrapText="largest"/>
            <wp:docPr id="1" name="イメージ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イメージ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Temporal Buffer(TB)</w:t>
      </w:r>
      <w:r>
        <w:rPr>
          <w:rFonts w:ascii="HG丸ｺﾞｼｯｸM-PRO" w:hAnsi="HG丸ｺﾞｼｯｸM-PRO" w:eastAsia="HG丸ｺﾞｼｯｸM-PRO"/>
          <w:sz w:val="20"/>
          <w:szCs w:val="20"/>
        </w:rPr>
        <w:t>は、</w:t>
      </w:r>
      <w:r>
        <w:rPr>
          <w:rFonts w:eastAsia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eastAsia="HG丸ｺﾞｼｯｸM-PRO"/>
          <w:sz w:val="20"/>
          <w:szCs w:val="20"/>
        </w:rPr>
        <w:t>フォーマットで用意された時系列の数値シミュレーション結果データを読み込んでバッファリングし、外部からの要求に応じて必要な時刻スライス・物理量のデータを提供します。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 client(TB2C_C)</w:t>
      </w:r>
      <w:r>
        <w:rPr>
          <w:rFonts w:ascii="HG丸ｺﾞｼｯｸM-PRO" w:hAnsi="HG丸ｺﾞｼｯｸM-PRO" w:eastAsia="HG丸ｺﾞｼｯｸM-PRO"/>
          <w:sz w:val="20"/>
          <w:szCs w:val="20"/>
        </w:rPr>
        <w:t>はユーザーが直接操作する</w:t>
      </w:r>
      <w:r>
        <w:rPr>
          <w:rFonts w:eastAsia="HG丸ｺﾞｼｯｸM-PRO" w:ascii="HG丸ｺﾞｼｯｸM-PRO" w:hAnsi="HG丸ｺﾞｼｯｸM-PRO"/>
          <w:sz w:val="20"/>
          <w:szCs w:val="20"/>
        </w:rPr>
        <w:t>GUI</w:t>
      </w:r>
      <w:r>
        <w:rPr>
          <w:rFonts w:ascii="HG丸ｺﾞｼｯｸM-PRO" w:hAnsi="HG丸ｺﾞｼｯｸM-PRO" w:eastAsia="HG丸ｺﾞｼｯｸM-PRO"/>
          <w:sz w:val="20"/>
          <w:szCs w:val="20"/>
        </w:rPr>
        <w:t>プログラムであり、可視化パラメータの設定や時刻スライスの指定、視点の変更等の操作を行い、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に対する表示更新要求を行います。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 server(TB2C_S)</w:t>
      </w:r>
      <w:r>
        <w:rPr>
          <w:rFonts w:ascii="HG丸ｺﾞｼｯｸM-PRO" w:hAnsi="HG丸ｺﾞｼｯｸM-PRO" w:eastAsia="HG丸ｺﾞｼｯｸM-PRO"/>
          <w:sz w:val="20"/>
          <w:szCs w:val="20"/>
        </w:rPr>
        <w:t>は、</w:t>
      </w:r>
      <w:r>
        <w:rPr>
          <w:rFonts w:eastAsia="HG丸ｺﾞｼｯｸM-PRO" w:ascii="HG丸ｺﾞｼｯｸM-PRO" w:hAnsi="HG丸ｺﾞｼｯｸM-PRO"/>
          <w:sz w:val="20"/>
          <w:szCs w:val="20"/>
        </w:rPr>
        <w:t>TB2C_C</w:t>
      </w:r>
      <w:r>
        <w:rPr>
          <w:rFonts w:ascii="HG丸ｺﾞｼｯｸM-PRO" w:hAnsi="HG丸ｺﾞｼｯｸM-PRO" w:eastAsia="HG丸ｺﾞｼｯｸM-PRO"/>
          <w:sz w:val="20"/>
          <w:szCs w:val="20"/>
        </w:rPr>
        <w:t>からの要求に応じて、</w:t>
      </w:r>
      <w:r>
        <w:rPr>
          <w:rFonts w:eastAsia="HG丸ｺﾞｼｯｸM-PRO" w:ascii="HG丸ｺﾞｼｯｸM-PRO" w:hAnsi="HG丸ｺﾞｼｯｸM-PRO"/>
          <w:sz w:val="20"/>
          <w:szCs w:val="20"/>
        </w:rPr>
        <w:t>TB</w:t>
      </w:r>
      <w:r>
        <w:rPr>
          <w:rFonts w:ascii="HG丸ｺﾞｼｯｸM-PRO" w:hAnsi="HG丸ｺﾞｼｯｸM-PRO" w:eastAsia="HG丸ｺﾞｼｯｸM-PRO"/>
          <w:sz w:val="20"/>
          <w:szCs w:val="20"/>
        </w:rPr>
        <w:t>が保持するデータを取得して可視化図種の生成を行い、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表示用に</w:t>
      </w:r>
      <w:r>
        <w:rPr>
          <w:rFonts w:eastAsia="HG丸ｺﾞｼｯｸM-PRO" w:ascii="HG丸ｺﾞｼｯｸM-PRO" w:hAnsi="HG丸ｺﾞｼｯｸM-PRO"/>
          <w:sz w:val="20"/>
          <w:szCs w:val="20"/>
        </w:rPr>
        <w:t>3D-Tiles</w:t>
      </w:r>
      <w:r>
        <w:rPr>
          <w:rFonts w:ascii="HG丸ｺﾞｼｯｸM-PRO" w:hAnsi="HG丸ｺﾞｼｯｸM-PRO" w:eastAsia="HG丸ｺﾞｼｯｸM-PRO"/>
          <w:sz w:val="20"/>
          <w:szCs w:val="20"/>
        </w:rPr>
        <w:t>形式のファイルに出力します。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</w:t>
      </w:r>
      <w:r>
        <w:rPr>
          <w:rFonts w:ascii="HG丸ｺﾞｼｯｸM-PRO" w:hAnsi="HG丸ｺﾞｼｯｸM-PRO" w:eastAsia="HG丸ｺﾞｼｯｸM-PRO"/>
          <w:sz w:val="20"/>
          <w:szCs w:val="20"/>
        </w:rPr>
        <w:t>および</w:t>
      </w:r>
      <w:r>
        <w:rPr>
          <w:rFonts w:eastAsia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eastAsia="HG丸ｺﾞｼｯｸM-PRO"/>
          <w:sz w:val="20"/>
          <w:szCs w:val="20"/>
        </w:rPr>
        <w:t>は、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と同一のマシン上で動作することを前提としています。</w:t>
      </w:r>
      <w:r>
        <w:rPr>
          <w:rFonts w:eastAsia="HG丸ｺﾞｼｯｸM-PRO" w:ascii="HG丸ｺﾞｼｯｸM-PRO" w:hAnsi="HG丸ｺﾞｼｯｸM-PRO"/>
          <w:sz w:val="20"/>
          <w:szCs w:val="20"/>
        </w:rPr>
        <w:t>TB2C client</w:t>
      </w:r>
      <w:r>
        <w:rPr>
          <w:rFonts w:ascii="HG丸ｺﾞｼｯｸM-PRO" w:hAnsi="HG丸ｺﾞｼｯｸM-PRO" w:eastAsia="HG丸ｺﾞｼｯｸM-PRO"/>
          <w:sz w:val="20"/>
          <w:szCs w:val="20"/>
        </w:rPr>
        <w:t>は別のマシン上で動作し、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および</w:t>
      </w:r>
      <w:r>
        <w:rPr>
          <w:rFonts w:eastAsia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eastAsia="HG丸ｺﾞｼｯｸM-PRO"/>
          <w:sz w:val="20"/>
          <w:szCs w:val="20"/>
        </w:rPr>
        <w:t>と通信を行います。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以下の章では、</w:t>
      </w:r>
      <w:r>
        <w:rPr>
          <w:rFonts w:eastAsia="HG丸ｺﾞｼｯｸM-PRO" w:ascii="HG丸ｺﾞｼｯｸM-PRO" w:hAnsi="HG丸ｺﾞｼｯｸM-PRO"/>
          <w:sz w:val="20"/>
          <w:szCs w:val="20"/>
        </w:rPr>
        <w:t>TB</w:t>
      </w:r>
      <w:r>
        <w:rPr>
          <w:rFonts w:ascii="HG丸ｺﾞｼｯｸM-PRO" w:hAnsi="HG丸ｺﾞｼｯｸM-PRO" w:eastAsia="HG丸ｺﾞｼｯｸM-PRO"/>
          <w:sz w:val="20"/>
          <w:szCs w:val="20"/>
        </w:rPr>
        <w:t>、</w:t>
      </w:r>
      <w:r>
        <w:rPr>
          <w:rFonts w:eastAsia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eastAsia="HG丸ｺﾞｼｯｸM-PRO"/>
          <w:sz w:val="20"/>
          <w:szCs w:val="20"/>
        </w:rPr>
        <w:t>および</w:t>
      </w:r>
      <w:r>
        <w:rPr>
          <w:rFonts w:eastAsia="HG丸ｺﾞｼｯｸM-PRO" w:ascii="HG丸ｺﾞｼｯｸM-PRO" w:hAnsi="HG丸ｺﾞｼｯｸM-PRO"/>
          <w:sz w:val="20"/>
          <w:szCs w:val="20"/>
        </w:rPr>
        <w:t>client</w:t>
      </w:r>
      <w:r>
        <w:rPr>
          <w:rFonts w:ascii="HG丸ｺﾞｼｯｸM-PRO" w:hAnsi="HG丸ｺﾞｼｯｸM-PRO" w:eastAsia="HG丸ｺﾞｼｯｸM-PRO"/>
          <w:sz w:val="20"/>
          <w:szCs w:val="20"/>
        </w:rPr>
        <w:t>について、実行方法・操作方法を説明します。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なお、以下の説明では、</w:t>
      </w:r>
      <w:r>
        <w:rPr>
          <w:rFonts w:eastAsia="HG丸ｺﾞｼｯｸM-PRO" w:ascii="HG丸ｺﾞｼｯｸM-PRO" w:hAnsi="HG丸ｺﾞｼｯｸM-PRO"/>
          <w:sz w:val="20"/>
          <w:szCs w:val="20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環境を展開したディレクトリを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${TOP}</w:t>
      </w:r>
      <w:r>
        <w:rPr>
          <w:rFonts w:ascii="HG丸ｺﾞｼｯｸM-PRO" w:hAnsi="HG丸ｺﾞｼｯｸM-PRO" w:eastAsia="HG丸ｺﾞｼｯｸM-PRO"/>
          <w:sz w:val="20"/>
          <w:szCs w:val="20"/>
        </w:rPr>
        <w:t>で表します。</w:t>
      </w:r>
    </w:p>
    <w:p>
      <w:pPr>
        <w:pStyle w:val="Normal"/>
        <w:rPr/>
      </w:pPr>
      <w:r>
        <w:rPr/>
      </w:r>
    </w:p>
    <w:p>
      <w:pPr>
        <w:pStyle w:val="1"/>
        <w:numPr>
          <w:ilvl w:val="1"/>
          <w:numId w:val="1"/>
        </w:numPr>
        <w:tabs>
          <w:tab w:val="clear" w:pos="1300"/>
          <w:tab w:val="left" w:pos="855" w:leader="none"/>
        </w:tabs>
        <w:rPr/>
      </w:pPr>
      <w:bookmarkStart w:id="23" w:name="__RefHeading___Toc883_3236865239"/>
      <w:bookmarkStart w:id="24" w:name="_Toc5105332691"/>
      <w:bookmarkEnd w:id="23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T</w:t>
      </w:r>
      <w:bookmarkEnd w:id="24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emporal Buffer</w:t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25" w:name="__RefHeading___Toc6702_1389316416"/>
      <w:bookmarkEnd w:id="25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実行</w:t>
      </w:r>
      <w:bookmarkStart w:id="26" w:name="_Toc510533270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方法</w:t>
      </w:r>
      <w:bookmarkEnd w:id="26"/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ターミナル上で、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${TOP}/python/TB.py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コマンドで実行し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python3 ${TOP}/python/TB.py [-h | --help] [-p portNo]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>[-j input.json | -l file0.sph file1.sph ...]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27" w:name="__RefHeading___Toc6704_1389316416"/>
      <w:bookmarkStart w:id="28" w:name="_Toc510533271"/>
      <w:bookmarkEnd w:id="27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コマンドライン</w:t>
      </w:r>
      <w:bookmarkEnd w:id="28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オプション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-h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 xml:space="preserve">または 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--help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簡易ヘルプメッセージを出力して終了します。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-p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 xml:space="preserve"> 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ポート番号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接続を受け付けるポート番号を指定します。省略時は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4001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番になります。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j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入力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ファイル記述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JSON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入力する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ファイルリストを記述した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JSON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ファイルのパスを指定します。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この指定か、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l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による指定のいずれかを行う必要があります。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-l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入力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ファイルリスト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入力する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ファイル群を時系列の順に指定します。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この指定か、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-j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による指定のいずれかを行う必要があります。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■ 指定例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1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python3 ${TOP}/python/TB.py -j data01/pres.json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■ 指定例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2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python3 ${TOP}/python/TB.py -l data01/pres_0.sph data01/pres_1.sph ...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29" w:name="__RefHeading___Toc6704_13893164162"/>
      <w:bookmarkEnd w:id="29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終了方法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実行したターミナル上で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Ctrl-C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を入力します。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numPr>
          <w:ilvl w:val="1"/>
          <w:numId w:val="1"/>
        </w:numPr>
        <w:tabs>
          <w:tab w:val="clear" w:pos="1300"/>
          <w:tab w:val="left" w:pos="855" w:leader="none"/>
        </w:tabs>
        <w:rPr/>
      </w:pPr>
      <w:bookmarkStart w:id="30" w:name="__RefHeading___Toc6728_1389316416"/>
      <w:bookmarkStart w:id="31" w:name="_Toc510533283"/>
      <w:bookmarkEnd w:id="30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T</w:t>
      </w:r>
      <w:bookmarkEnd w:id="31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B2C server</w:t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32" w:name="__RefHeading___Toc6730_1389316416"/>
      <w:bookmarkStart w:id="33" w:name="_Toc510533284"/>
      <w:bookmarkEnd w:id="32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実行方法</w:t>
      </w:r>
      <w:bookmarkEnd w:id="33"/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ターミナル上で、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${TOP}/python/TB2C_server.py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コマンドで実行し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python3 ${TOP}/python/TB2C_server.py [-h | --help] [--port portNo]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>[--odir outDir] [--dx divX] [--dy divY] [--dz divZ]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34" w:name="__RefHeading___Toc6704_13893164161"/>
      <w:bookmarkStart w:id="35" w:name="_Toc5105332711"/>
      <w:bookmarkEnd w:id="34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コマンドライン</w:t>
      </w:r>
      <w:bookmarkEnd w:id="35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オプション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-h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 xml:space="preserve">または 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--help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簡易ヘルプメッセージを出力して終了します。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--port 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ポート番号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接続を受け付けるポート番号を指定します。省略時は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4000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番になります。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--odir 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出力先ディレクトリ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3D-Tiles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形式の等値面ポリゴンデータを出力するディレクトリを指定します。省略時はカレントディレクトリになります。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今回の実装では、このディレクトリは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の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public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ディレクトリ配下の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data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というディレクトリである必要があります。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--dx </w:t>
      </w:r>
      <w:r>
        <w:rPr>
          <w:rFonts w:eastAsia="HG丸ｺﾞｼｯｸM-PRO" w:cs="Consola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X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軸方向分割数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--dy </w:t>
      </w:r>
      <w:r>
        <w:rPr>
          <w:rFonts w:eastAsia="HG丸ｺﾞｼｯｸM-PRO" w:cs="Consola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Y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軸方向分割数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--dz </w:t>
      </w:r>
      <w:r>
        <w:rPr>
          <w:rFonts w:eastAsia="HG丸ｺﾞｼｯｸM-PRO" w:cs="Consola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Z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軸方向分割数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等値面を生成する際の、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データの各軸方向の分割数を指定します。省略時はいずれも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1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になります。</w:t>
      </w:r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■ 指定例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python3 ${TOP}/python/TB2C_server.py --odir /</w:t>
      </w: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home</w:t>
      </w:r>
      <w:r>
        <w:rPr>
          <w:rFonts w:eastAsia="HG丸ｺﾞｼｯｸM-PRO" w:cs="Consolas" w:ascii="Consolas" w:hAnsi="Consolas"/>
          <w:b w:val="false"/>
          <w:i/>
          <w:iCs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/</w:t>
      </w: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chowder/public/data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>--dx 2  --dy 2  --dz 2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36" w:name="__RefHeading___Toc6704_138931641621"/>
      <w:bookmarkEnd w:id="36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終了方法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実行したターミナル上で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Ctrl-C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を入力します。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numPr>
          <w:ilvl w:val="1"/>
          <w:numId w:val="1"/>
        </w:numPr>
        <w:tabs>
          <w:tab w:val="clear" w:pos="1300"/>
          <w:tab w:val="left" w:pos="855" w:leader="none"/>
        </w:tabs>
        <w:rPr/>
      </w:pPr>
      <w:bookmarkStart w:id="37" w:name="__RefHeading___Toc6728_13893164161"/>
      <w:bookmarkStart w:id="38" w:name="_Toc5105332831"/>
      <w:bookmarkEnd w:id="37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T</w:t>
      </w:r>
      <w:bookmarkEnd w:id="38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B2C client</w:t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39" w:name="__RefHeading___Toc6730_13893164161"/>
      <w:bookmarkStart w:id="40" w:name="_Toc5105332841"/>
      <w:bookmarkEnd w:id="39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実行方法</w:t>
      </w:r>
      <w:bookmarkEnd w:id="40"/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ターミナル上で、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${TOP}/python/TB2C_client.py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コマンドで実行し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python3 ${TOP}/python/TB2C_client.py [-h | --help]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>[-s tb2c_server_url] [-c chowder_host]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41" w:name="__RefHeading___Toc6704_138931641611"/>
      <w:bookmarkStart w:id="42" w:name="_Toc51053327111"/>
      <w:bookmarkEnd w:id="41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コマンドライン</w:t>
      </w:r>
      <w:bookmarkEnd w:id="42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オプション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-h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 xml:space="preserve">または 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--help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簡易ヘルプメッセージを出力して終了します。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-s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TB2C server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URL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起動時に接続する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の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URL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を指定します。省略した場合、起動時には接続されません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(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メニューから接続可能です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)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-c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の実行ホスト名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起動時に接続する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の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ホスト名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(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または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IP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アドレス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)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を指定します。省略した場合、起動時には接続されません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(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メニューから接続可能です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)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今回の実装では、基本的に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localhost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を指定する必要があります。</w:t>
      </w:r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■ 指定例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python3 ${TOP}/python/TB2C_client.py </w:t>
      </w: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-s http://localhost:4000/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>-c localhost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43" w:name="__RefHeading___Toc6704_1389316416111"/>
      <w:bookmarkEnd w:id="43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操作方法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(1)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ウインドウ構成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TB2C client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は、起動されると下図の様なウインドウを表示します。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1540510</wp:posOffset>
                </wp:positionH>
                <wp:positionV relativeFrom="paragraph">
                  <wp:posOffset>2771775</wp:posOffset>
                </wp:positionV>
                <wp:extent cx="1589405" cy="306070"/>
                <wp:effectExtent l="0" t="0" r="0" b="0"/>
                <wp:wrapNone/>
                <wp:docPr id="2" name="シェイプ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680" cy="30528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50000">
                              <a:srgbClr val="ffffff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5400000"/>
                        </a:gra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8"/>
                              <w:overflowPunct w:val="true"/>
                              <w:bidi w:val="0"/>
                              <w:spacing w:lineRule="auto" w:line="240" w:before="0" w:after="0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rFonts w:eastAsia="HG丸ｺﾞｼｯｸM-PRO" w:cs="Times New Roman" w:ascii="HG丸ｺﾞｼｯｸM-PRO" w:hAnsi="HG丸ｺﾞｼｯｸM-PRO"/>
                                <w:b w:val="false"/>
                                <w:bCs w:val="false"/>
                                <w:i w:val="false"/>
                                <w:iCs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outline w:val="false"/>
                                <w:shadow w:val="false"/>
                                <w:emboss w:val="false"/>
                                <w:imprint w:val="false"/>
                                <w:color w:val="auto"/>
                                <w:spacing w:val="0"/>
                                <w:w w:val="1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u w:val="none"/>
                                <w:vertAlign w:val="baseline"/>
                                <w:em w:val="none"/>
                                <w:lang w:val="en-US" w:eastAsia="ja-JP" w:bidi="ar-SA"/>
                              </w:rPr>
                              <w:t>3D</w:t>
                            </w:r>
                            <w:r>
                              <w:rPr>
                                <w:rFonts w:ascii="HG丸ｺﾞｼｯｸM-PRO" w:hAnsi="HG丸ｺﾞｼｯｸM-PRO" w:cs="Times New Roman" w:eastAsia="HG丸ｺﾞｼｯｸM-PRO"/>
                                <w:b w:val="false"/>
                                <w:bCs w:val="false"/>
                                <w:i w:val="false"/>
                                <w:iCs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outline w:val="false"/>
                                <w:shadow w:val="false"/>
                                <w:emboss w:val="false"/>
                                <w:imprint w:val="false"/>
                                <w:color w:val="auto"/>
                                <w:spacing w:val="0"/>
                                <w:w w:val="1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u w:val="none"/>
                                <w:vertAlign w:val="baseline"/>
                                <w:em w:val="none"/>
                                <w:lang w:val="en-US" w:eastAsia="ja-JP" w:bidi="ar-SA"/>
                              </w:rPr>
                              <w:t>表示・視界操作領域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シェイプ1" fillcolor="white" stroked="f" style="position:absolute;margin-left:121.3pt;margin-top:218.25pt;width:125.05pt;height:24pt;mso-wrap-style:squar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8"/>
                        <w:overflowPunct w:val="true"/>
                        <w:bidi w:val="0"/>
                        <w:spacing w:lineRule="auto" w:line="240" w:before="0" w:after="0"/>
                        <w:ind w:hanging="0"/>
                        <w:jc w:val="center"/>
                        <w:rPr/>
                      </w:pPr>
                      <w:r>
                        <w:rPr>
                          <w:rFonts w:eastAsia="HG丸ｺﾞｼｯｸM-PRO" w:cs="Times New Roman" w:ascii="HG丸ｺﾞｼｯｸM-PRO" w:hAnsi="HG丸ｺﾞｼｯｸM-PRO"/>
                          <w:b w:val="false"/>
                          <w:bCs w:val="false"/>
                          <w:i w:val="false"/>
                          <w:iCs w:val="false"/>
                          <w:caps w:val="false"/>
                          <w:smallCaps w:val="false"/>
                          <w:strike w:val="false"/>
                          <w:dstrike w:val="false"/>
                          <w:outline w:val="false"/>
                          <w:shadow w:val="false"/>
                          <w:emboss w:val="false"/>
                          <w:imprint w:val="false"/>
                          <w:color w:val="auto"/>
                          <w:spacing w:val="0"/>
                          <w:w w:val="100"/>
                          <w:kern w:val="0"/>
                          <w:position w:val="0"/>
                          <w:sz w:val="20"/>
                          <w:sz w:val="20"/>
                          <w:szCs w:val="20"/>
                          <w:u w:val="none"/>
                          <w:vertAlign w:val="baseline"/>
                          <w:em w:val="none"/>
                          <w:lang w:val="en-US" w:eastAsia="ja-JP" w:bidi="ar-SA"/>
                        </w:rPr>
                        <w:t>3D</w:t>
                      </w:r>
                      <w:r>
                        <w:rPr>
                          <w:rFonts w:ascii="HG丸ｺﾞｼｯｸM-PRO" w:hAnsi="HG丸ｺﾞｼｯｸM-PRO" w:cs="Times New Roman" w:eastAsia="HG丸ｺﾞｼｯｸM-PRO"/>
                          <w:b w:val="false"/>
                          <w:bCs w:val="false"/>
                          <w:i w:val="false"/>
                          <w:iCs w:val="false"/>
                          <w:caps w:val="false"/>
                          <w:smallCaps w:val="false"/>
                          <w:strike w:val="false"/>
                          <w:dstrike w:val="false"/>
                          <w:outline w:val="false"/>
                          <w:shadow w:val="false"/>
                          <w:emboss w:val="false"/>
                          <w:imprint w:val="false"/>
                          <w:color w:val="auto"/>
                          <w:spacing w:val="0"/>
                          <w:w w:val="100"/>
                          <w:kern w:val="0"/>
                          <w:position w:val="0"/>
                          <w:sz w:val="20"/>
                          <w:sz w:val="20"/>
                          <w:szCs w:val="20"/>
                          <w:u w:val="none"/>
                          <w:vertAlign w:val="baseline"/>
                          <w:em w:val="none"/>
                          <w:lang w:val="en-US" w:eastAsia="ja-JP" w:bidi="ar-SA"/>
                        </w:rPr>
                        <w:t>表示・視界操作領域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4074160</wp:posOffset>
                </wp:positionH>
                <wp:positionV relativeFrom="paragraph">
                  <wp:posOffset>571500</wp:posOffset>
                </wp:positionV>
                <wp:extent cx="1036955" cy="306070"/>
                <wp:effectExtent l="0" t="0" r="0" b="0"/>
                <wp:wrapNone/>
                <wp:docPr id="4" name="シェイプ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440" cy="30528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5400000"/>
                        </a:gra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8"/>
                              <w:overflowPunct w:val="true"/>
                              <w:bidi w:val="0"/>
                              <w:spacing w:lineRule="auto" w:line="240" w:before="0" w:after="0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rFonts w:ascii="HG丸ｺﾞｼｯｸM-PRO" w:hAnsi="HG丸ｺﾞｼｯｸM-PRO" w:cs="Times New Roman" w:eastAsia="HG丸ｺﾞｼｯｸM-PRO"/>
                                <w:b w:val="false"/>
                                <w:bCs w:val="false"/>
                                <w:i w:val="false"/>
                                <w:iCs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outline w:val="false"/>
                                <w:shadow w:val="false"/>
                                <w:emboss w:val="false"/>
                                <w:imprint w:val="false"/>
                                <w:color w:val="auto"/>
                                <w:spacing w:val="0"/>
                                <w:w w:val="1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u w:val="none"/>
                                <w:vertAlign w:val="baseline"/>
                                <w:em w:val="none"/>
                                <w:lang w:val="en-US" w:eastAsia="ja-JP" w:bidi="ar-SA"/>
                              </w:rPr>
                              <w:t>情報表示領域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シェイプ1_0" fillcolor="white" stroked="f" style="position:absolute;margin-left:320.8pt;margin-top:45pt;width:81.55pt;height:24pt;mso-wrap-style:square;v-text-anchor:middle">
                <v:fill o:detectmouseclick="t" color2="white"/>
                <v:stroke color="#3465a4" joinstyle="round" endcap="flat"/>
                <v:textbox>
                  <w:txbxContent>
                    <w:p>
                      <w:pPr>
                        <w:pStyle w:val="Style28"/>
                        <w:overflowPunct w:val="true"/>
                        <w:bidi w:val="0"/>
                        <w:spacing w:lineRule="auto" w:line="240" w:before="0" w:after="0"/>
                        <w:ind w:hanging="0"/>
                        <w:jc w:val="center"/>
                        <w:rPr/>
                      </w:pPr>
                      <w:r>
                        <w:rPr>
                          <w:rFonts w:ascii="HG丸ｺﾞｼｯｸM-PRO" w:hAnsi="HG丸ｺﾞｼｯｸM-PRO" w:cs="Times New Roman" w:eastAsia="HG丸ｺﾞｼｯｸM-PRO"/>
                          <w:b w:val="false"/>
                          <w:bCs w:val="false"/>
                          <w:i w:val="false"/>
                          <w:iCs w:val="false"/>
                          <w:caps w:val="false"/>
                          <w:smallCaps w:val="false"/>
                          <w:strike w:val="false"/>
                          <w:dstrike w:val="false"/>
                          <w:outline w:val="false"/>
                          <w:shadow w:val="false"/>
                          <w:emboss w:val="false"/>
                          <w:imprint w:val="false"/>
                          <w:color w:val="auto"/>
                          <w:spacing w:val="0"/>
                          <w:w w:val="100"/>
                          <w:kern w:val="0"/>
                          <w:position w:val="0"/>
                          <w:sz w:val="20"/>
                          <w:sz w:val="20"/>
                          <w:szCs w:val="20"/>
                          <w:u w:val="none"/>
                          <w:vertAlign w:val="baseline"/>
                          <w:em w:val="none"/>
                          <w:lang w:val="en-US" w:eastAsia="ja-JP" w:bidi="ar-SA"/>
                        </w:rPr>
                        <w:t>情報表示領域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4036060</wp:posOffset>
                </wp:positionH>
                <wp:positionV relativeFrom="paragraph">
                  <wp:posOffset>2466975</wp:posOffset>
                </wp:positionV>
                <wp:extent cx="1217930" cy="306070"/>
                <wp:effectExtent l="0" t="0" r="0" b="0"/>
                <wp:wrapNone/>
                <wp:docPr id="6" name="シェイプ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160" cy="30528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5400000"/>
                        </a:gra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8"/>
                              <w:overflowPunct w:val="true"/>
                              <w:bidi w:val="0"/>
                              <w:spacing w:lineRule="auto" w:line="240" w:before="0" w:after="0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rFonts w:ascii="HG丸ｺﾞｼｯｸM-PRO" w:hAnsi="HG丸ｺﾞｼｯｸM-PRO" w:cs="Times New Roman" w:eastAsia="HG丸ｺﾞｼｯｸM-PRO"/>
                                <w:b w:val="false"/>
                                <w:bCs w:val="false"/>
                                <w:i w:val="false"/>
                                <w:iCs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outline w:val="false"/>
                                <w:shadow w:val="false"/>
                                <w:emboss w:val="false"/>
                                <w:imprint w:val="false"/>
                                <w:color w:val="auto"/>
                                <w:spacing w:val="0"/>
                                <w:w w:val="1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u w:val="none"/>
                                <w:vertAlign w:val="baseline"/>
                                <w:em w:val="none"/>
                                <w:lang w:val="en-US" w:eastAsia="ja-JP" w:bidi="ar-SA"/>
                              </w:rPr>
                              <w:t>データ操作領域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シェイプ1_1" fillcolor="white" stroked="f" style="position:absolute;margin-left:317.8pt;margin-top:194.25pt;width:95.8pt;height:24pt;mso-wrap-style:square;v-text-anchor:middle">
                <v:fill o:detectmouseclick="t" color2="white"/>
                <v:stroke color="#3465a4" joinstyle="round" endcap="flat"/>
                <v:textbox>
                  <w:txbxContent>
                    <w:p>
                      <w:pPr>
                        <w:pStyle w:val="Style28"/>
                        <w:overflowPunct w:val="true"/>
                        <w:bidi w:val="0"/>
                        <w:spacing w:lineRule="auto" w:line="240" w:before="0" w:after="0"/>
                        <w:ind w:hanging="0"/>
                        <w:jc w:val="center"/>
                        <w:rPr/>
                      </w:pPr>
                      <w:r>
                        <w:rPr>
                          <w:rFonts w:ascii="HG丸ｺﾞｼｯｸM-PRO" w:hAnsi="HG丸ｺﾞｼｯｸM-PRO" w:cs="Times New Roman" w:eastAsia="HG丸ｺﾞｼｯｸM-PRO"/>
                          <w:b w:val="false"/>
                          <w:bCs w:val="false"/>
                          <w:i w:val="false"/>
                          <w:iCs w:val="false"/>
                          <w:caps w:val="false"/>
                          <w:smallCaps w:val="false"/>
                          <w:strike w:val="false"/>
                          <w:dstrike w:val="false"/>
                          <w:outline w:val="false"/>
                          <w:shadow w:val="false"/>
                          <w:emboss w:val="false"/>
                          <w:imprint w:val="false"/>
                          <w:color w:val="auto"/>
                          <w:spacing w:val="0"/>
                          <w:w w:val="100"/>
                          <w:kern w:val="0"/>
                          <w:position w:val="0"/>
                          <w:sz w:val="20"/>
                          <w:sz w:val="20"/>
                          <w:szCs w:val="20"/>
                          <w:u w:val="none"/>
                          <w:vertAlign w:val="baseline"/>
                          <w:em w:val="none"/>
                          <w:lang w:val="en-US" w:eastAsia="ja-JP" w:bidi="ar-SA"/>
                        </w:rPr>
                        <w:t>データ操作領域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4646295" cy="3502025"/>
            <wp:effectExtent l="0" t="0" r="0" b="0"/>
            <wp:docPr id="8" name="イメージ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イメージ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(2) </w:t>
      </w:r>
      <w:r>
        <w:rPr>
          <w:rFonts w:eastAsia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u w:val="none"/>
          <w:em w:val="none"/>
        </w:rPr>
        <w:t>3D</w:t>
      </w:r>
      <w:r>
        <w:rPr>
          <w:rFonts w:ascii="HG丸ｺﾞｼｯｸM-PRO" w:hAnsi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u w:val="none"/>
          <w:em w:val="none"/>
        </w:rPr>
        <w:t>表示・視界操作領域の操作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3D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表示・視界操作領域には、可視化対象データのバウンディングボックスを表すキューブが表示されています。キューブの各面の色は、以下の意味を表します。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明赤：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YZ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+X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暗赤：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YZ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-X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明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緑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ZX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+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Y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暗緑：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ZX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-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Y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明青：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XY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+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Z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暗青：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XY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-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Z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3D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表示・視界操作領域では、マウス操作によって視界変更を行うことができます。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視線方向の回転：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マウス左ボタンドラッグ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視点位置の上下の移動：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Shit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キー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+ 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マウス左ボタンドラッグ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視点位置の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前後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の移動：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Ctrl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キー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+ 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 xml:space="preserve">マウス左ボタンドラッグ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(macOS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の場合は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Command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キー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)</w:t>
        <w:br/>
        <w:t xml:space="preserve"> </w:t>
        <w:tab/>
        <w:tab/>
        <w:tab/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またはマウスホイール回転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(3) 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情報表示領域の説明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情報表示領域には、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TB2C server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から取得したデータの情報が表示されます。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時間ステップ数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シミュレーション時刻の範囲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データ項目数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データの値域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バウンディングボックスの座標値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 xml:space="preserve">(4) </w:t>
      </w:r>
      <w:r>
        <w:rPr>
          <w:rFonts w:ascii="HG丸ｺﾞｼｯｸM-PRO" w:hAnsi="HG丸ｺﾞｼｯｸM-PRO" w:eastAsia="HG丸ｺﾞｼｯｸM-PRO"/>
          <w:sz w:val="20"/>
          <w:szCs w:val="20"/>
        </w:rPr>
        <w:t>データ操作領域での操作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データ操作領域では、可視化対象の時間ステップ番号と、等値面の値を設定します。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どちらもスライダーとテキスト入力欄があり、一方を変更するともう一方の値に反映されます。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テキスト入力欄では、数値を入力した後</w:t>
      </w:r>
      <w:r>
        <w:rPr>
          <w:rFonts w:eastAsia="HG丸ｺﾞｼｯｸM-PRO" w:ascii="HG丸ｺﾞｼｯｸM-PRO" w:hAnsi="HG丸ｺﾞｼｯｸM-PRO"/>
          <w:sz w:val="20"/>
          <w:szCs w:val="20"/>
        </w:rPr>
        <w:t>Enter</w:t>
      </w:r>
      <w:r>
        <w:rPr>
          <w:rFonts w:ascii="HG丸ｺﾞｼｯｸM-PRO" w:hAnsi="HG丸ｺﾞｼｯｸM-PRO" w:eastAsia="HG丸ｺﾞｼｯｸM-PRO"/>
          <w:sz w:val="20"/>
          <w:szCs w:val="20"/>
        </w:rPr>
        <w:t>キーを入力しないと値は反映されません。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 xml:space="preserve">(5) </w:t>
      </w:r>
      <w:r>
        <w:rPr>
          <w:rFonts w:ascii="HG丸ｺﾞｼｯｸM-PRO" w:hAnsi="HG丸ｺﾞｼｯｸM-PRO" w:eastAsia="HG丸ｺﾞｼｯｸM-PRO"/>
          <w:sz w:val="20"/>
          <w:szCs w:val="20"/>
        </w:rPr>
        <w:t>メニューバーからの操作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 client</w:t>
      </w:r>
      <w:r>
        <w:rPr>
          <w:rFonts w:ascii="HG丸ｺﾞｼｯｸM-PRO" w:hAnsi="HG丸ｺﾞｼｯｸM-PRO" w:eastAsia="HG丸ｺﾞｼｯｸM-PRO"/>
          <w:sz w:val="20"/>
          <w:szCs w:val="20"/>
        </w:rPr>
        <w:t>のウインドウのメニューバーには「</w:t>
      </w:r>
      <w:r>
        <w:rPr>
          <w:rFonts w:eastAsia="HG丸ｺﾞｼｯｸM-PRO" w:ascii="HG丸ｺﾞｼｯｸM-PRO" w:hAnsi="HG丸ｺﾞｼｯｸM-PRO"/>
          <w:sz w:val="20"/>
          <w:szCs w:val="20"/>
        </w:rPr>
        <w:t>File</w:t>
      </w:r>
      <w:r>
        <w:rPr>
          <w:rFonts w:ascii="HG丸ｺﾞｼｯｸM-PRO" w:hAnsi="HG丸ｺﾞｼｯｸM-PRO" w:eastAsia="HG丸ｺﾞｼｯｸM-PRO"/>
          <w:sz w:val="20"/>
          <w:szCs w:val="20"/>
        </w:rPr>
        <w:t>」メニューがあり、ここから以下の操作を行うことができます。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　「</w:t>
      </w:r>
      <w:r>
        <w:rPr>
          <w:rFonts w:eastAsia="HG丸ｺﾞｼｯｸM-PRO" w:ascii="HG丸ｺﾞｼｯｸM-PRO" w:hAnsi="HG丸ｺﾞｼｯｸM-PRO"/>
          <w:sz w:val="20"/>
          <w:szCs w:val="20"/>
        </w:rPr>
        <w:t>Connect to TB2C server</w:t>
      </w:r>
      <w:r>
        <w:rPr>
          <w:rFonts w:ascii="HG丸ｺﾞｼｯｸM-PRO" w:hAnsi="HG丸ｺﾞｼｯｸM-PRO" w:eastAsia="HG丸ｺﾞｼｯｸM-PRO"/>
          <w:sz w:val="20"/>
          <w:szCs w:val="20"/>
        </w:rPr>
        <w:t>」</w:t>
      </w:r>
    </w:p>
    <w:p>
      <w:pPr>
        <w:pStyle w:val="Normal"/>
        <w:ind w:left="720" w:hanging="0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以下のダイアログウインドウが表示され、ここに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の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URL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入力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し、「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OK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」ボタンをクリックすると、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への接続を行います。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　</w:t>
      </w:r>
      <w:r>
        <w:rPr/>
        <w:drawing>
          <wp:inline distT="0" distB="0" distL="0" distR="0">
            <wp:extent cx="2413000" cy="920750"/>
            <wp:effectExtent l="0" t="0" r="0" b="0"/>
            <wp:docPr id="9" name="イメージ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イメージ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　「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Connect to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 server</w:t>
      </w:r>
      <w:r>
        <w:rPr>
          <w:rFonts w:ascii="HG丸ｺﾞｼｯｸM-PRO" w:hAnsi="HG丸ｺﾞｼｯｸM-PRO" w:eastAsia="HG丸ｺﾞｼｯｸM-PRO"/>
          <w:sz w:val="20"/>
          <w:szCs w:val="20"/>
        </w:rPr>
        <w:t>」</w:t>
      </w:r>
    </w:p>
    <w:p>
      <w:pPr>
        <w:pStyle w:val="Normal"/>
        <w:ind w:left="720" w:hanging="0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以下のダイアログウインドウが表示され、ここに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が動作するマシンのホスト名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(IP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アドレス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)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と、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の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API User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のパスワード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を入力し、「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OK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」ボタンをクリックすると、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への接続を行います。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　</w:t>
      </w:r>
      <w:r>
        <w:rPr/>
        <w:drawing>
          <wp:inline distT="0" distB="0" distL="0" distR="0">
            <wp:extent cx="2397125" cy="1242060"/>
            <wp:effectExtent l="0" t="0" r="0" b="0"/>
            <wp:docPr id="10" name="イメージ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イメージ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　「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Quit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client</w:t>
      </w:r>
      <w:r>
        <w:rPr>
          <w:rFonts w:ascii="HG丸ｺﾞｼｯｸM-PRO" w:hAnsi="HG丸ｺﾞｼｯｸM-PRO" w:eastAsia="HG丸ｺﾞｼｯｸM-PRO"/>
          <w:sz w:val="20"/>
          <w:szCs w:val="20"/>
        </w:rPr>
        <w:t>」</w:t>
      </w:r>
    </w:p>
    <w:p>
      <w:pPr>
        <w:pStyle w:val="Normal"/>
        <w:ind w:left="720" w:hanging="0"/>
        <w:rPr>
          <w:rFonts w:ascii="HG丸ｺﾞｼｯｸM-PRO" w:hAnsi="HG丸ｺﾞｼｯｸM-PRO" w:eastAsia="HG丸ｺﾞｼｯｸM-PRO" w:cs="東風ゴシック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 client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を終了します。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br/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なお、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macOS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では「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File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」メニューではなく「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Python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」メニューに配置されています。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6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)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と連携した動作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および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と接続した状態で、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3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D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表示・視界操作領域、データ操作領域での操作を行うと、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ChOWDER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上の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TB2C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コンテンツ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(Content ID : tb2c_3dtile)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の表示が更新されます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(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下図参照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)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0880"/>
            <wp:effectExtent l="0" t="0" r="0" b="0"/>
            <wp:wrapSquare wrapText="largest"/>
            <wp:docPr id="11" name="イメージ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イメージ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44" w:name="__RefHeading___Toc6704_1389316416211"/>
      <w:bookmarkEnd w:id="44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終了方法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実行したターミナル上で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Ctrl-C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を入力するか、「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File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」メニューの「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Quit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client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」を選択します。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尚、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client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を終了しても、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上の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コンテンツは削除されません。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sectPr>
      <w:footerReference w:type="default" r:id="rId7"/>
      <w:type w:val="nextPage"/>
      <w:pgSz w:w="11906" w:h="16838"/>
      <w:pgMar w:left="1134" w:right="1134" w:header="0" w:top="1134" w:footer="72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rebuchet MS">
    <w:charset w:val="01"/>
    <w:family w:val="roman"/>
    <w:pitch w:val="variable"/>
  </w:font>
  <w:font w:name="さざなみ明朝">
    <w:charset w:val="01"/>
    <w:family w:val="roman"/>
    <w:pitch w:val="variable"/>
  </w:font>
  <w:font w:name="東風ゴシック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ＭＳ Ｐゴシック">
    <w:charset w:val="01"/>
    <w:family w:val="roman"/>
    <w:pitch w:val="variable"/>
  </w:font>
  <w:font w:name="HG丸ｺﾞｼｯｸM-PRO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11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smallCaps w:val="false"/>
        <w:caps w:val="false"/>
        <w:dstrike w:val="false"/>
        <w:strike w:val="false"/>
        <w:vertAlign w:val="baseline"/>
        <w:position w:val="0"/>
        <w:sz w:val="32"/>
        <w:sz w:val="32"/>
        <w:spacing w:val="0"/>
        <w:i w:val="false"/>
        <w:u w:val="none"/>
        <w:b w:val="false"/>
        <w:szCs w:val="32"/>
        <w:iCs w:val="false"/>
        <w:bCs w:val="false"/>
        <w:vanish w:val="false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hanging="0"/>
      </w:pPr>
      <w:rPr>
        <w:sz w:val="32"/>
        <w:szCs w:val="32"/>
        <w:rFonts w:ascii="HG丸ｺﾞｼｯｸM-PRO" w:hAnsi="HG丸ｺﾞｼｯｸM-PRO"/>
      </w:rPr>
    </w:lvl>
    <w:lvl w:ilvl="2">
      <w:start w:val="1"/>
      <w:numFmt w:val="decimal"/>
      <w:lvlText w:val="%1.%2.%3."/>
      <w:lvlJc w:val="left"/>
      <w:pPr>
        <w:tabs>
          <w:tab w:val="num" w:pos="1276"/>
        </w:tabs>
        <w:ind w:left="1276" w:hanging="1276"/>
      </w:pPr>
      <w:rPr>
        <w:sz w:val="24"/>
        <w:szCs w:val="24"/>
        <w:rFonts w:eastAsia="HG丸ｺﾞｼｯｸM-PRO"/>
      </w:rPr>
    </w:lvl>
    <w:lvl w:ilvl="3">
      <w:start w:val="1"/>
      <w:numFmt w:val="decimal"/>
      <w:lvlText w:val="%4)"/>
      <w:lvlJc w:val="left"/>
      <w:pPr>
        <w:tabs>
          <w:tab w:val="num" w:pos="1701"/>
        </w:tabs>
        <w:ind w:left="1701" w:hanging="425"/>
      </w:pPr>
    </w:lvl>
    <w:lvl w:ilvl="4">
      <w:start w:val="1"/>
      <w:numFmt w:val="lowerLetter"/>
      <w:lvlText w:val="(%5)"/>
      <w:lvlJc w:val="left"/>
      <w:pPr>
        <w:tabs>
          <w:tab w:val="num" w:pos="2126"/>
        </w:tabs>
        <w:ind w:left="2126" w:hanging="425"/>
      </w:pPr>
    </w:lvl>
    <w:lvl w:ilvl="5">
      <w:start w:val="1"/>
      <w:numFmt w:val="lowerRoman"/>
      <w:lvlText w:val="(%6)"/>
      <w:lvlJc w:val="left"/>
      <w:pPr>
        <w:tabs>
          <w:tab w:val="num" w:pos="2551"/>
        </w:tabs>
        <w:ind w:left="2551" w:hanging="425"/>
      </w:pPr>
    </w:lvl>
    <w:lvl w:ilvl="6">
      <w:start w:val="1"/>
      <w:numFmt w:val="decimal"/>
      <w:lvlText w:val="(%7)"/>
      <w:lvlJc w:val="left"/>
      <w:pPr>
        <w:tabs>
          <w:tab w:val="num" w:pos="2976"/>
        </w:tabs>
        <w:ind w:left="2976" w:hanging="425"/>
      </w:pPr>
    </w:lvl>
    <w:lvl w:ilvl="7">
      <w:start w:val="1"/>
      <w:numFmt w:val="lowerLetter"/>
      <w:lvlText w:val="(%8)"/>
      <w:lvlJc w:val="left"/>
      <w:pPr>
        <w:tabs>
          <w:tab w:val="num" w:pos="3402"/>
        </w:tabs>
        <w:ind w:left="3402" w:hanging="426"/>
      </w:pPr>
    </w:lvl>
    <w:lvl w:ilvl="8">
      <w:start w:val="1"/>
      <w:numFmt w:val="lowerRoman"/>
      <w:lvlText w:val="(%9)"/>
      <w:lvlJc w:val="left"/>
      <w:pPr>
        <w:tabs>
          <w:tab w:val="num" w:pos="3827"/>
        </w:tabs>
        <w:ind w:left="3827" w:hanging="425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75"/>
  <w:defaultTabStop w:val="1300"/>
  <w:autoHyphenation w:val="true"/>
  <w:compat>
    <w:doNotExpandShiftReturn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rebuchet MS" w:hAnsi="Trebuchet MS" w:eastAsia="" w:cs="Times New Roman" w:eastAsiaTheme="minorEastAsia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0" w:unhideWhenUsed="1" w:qFormat="1"/>
    <w:lsdException w:name="heading 4" w:uiPriority="9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semiHidden="1" w:unhideWhenUsed="1"/>
    <w:lsdException w:name="toc 3" w:uiPriority="39" w:unhideWhenUsed="1"/>
    <w:lsdException w:name="toc 4" w:uiPriority="39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さざなみ明朝" w:hAnsi="さざなみ明朝" w:eastAsia="東風ゴシック" w:cs="東風ゴシック"/>
      <w:color w:val="00000A"/>
      <w:kern w:val="0"/>
      <w:sz w:val="24"/>
      <w:szCs w:val="24"/>
      <w:lang w:val="en-US" w:eastAsia="ja-JP" w:bidi="hi-IN"/>
    </w:rPr>
  </w:style>
  <w:style w:type="paragraph" w:styleId="1">
    <w:name w:val="Heading 1"/>
    <w:basedOn w:val="Normal"/>
    <w:next w:val="Normal"/>
    <w:link w:val="10"/>
    <w:qFormat/>
    <w:pPr>
      <w:keepNext w:val="true"/>
      <w:spacing w:before="240" w:after="120"/>
      <w:outlineLvl w:val="0"/>
    </w:pPr>
    <w:rPr>
      <w:rFonts w:ascii="東風ゴシック" w:hAnsi="東風ゴシック"/>
      <w:b/>
      <w:bCs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pPr>
      <w:keepNext w:val="true"/>
      <w:outlineLvl w:val="1"/>
    </w:pPr>
    <w:rPr>
      <w:rFonts w:ascii="Trebuchet MS" w:hAnsi="Trebuchet MS" w:cs="Mangal"/>
      <w:szCs w:val="21"/>
    </w:rPr>
  </w:style>
  <w:style w:type="paragraph" w:styleId="3">
    <w:name w:val="Heading 3"/>
    <w:basedOn w:val="Normal"/>
    <w:next w:val="Normal"/>
    <w:link w:val="30"/>
    <w:unhideWhenUsed/>
    <w:qFormat/>
    <w:pPr>
      <w:keepNext w:val="true"/>
      <w:ind w:left="400" w:hanging="0"/>
      <w:outlineLvl w:val="2"/>
    </w:pPr>
    <w:rPr>
      <w:rFonts w:ascii="Trebuchet MS" w:hAnsi="Trebuchet MS" w:cs="Mangal"/>
      <w:szCs w:val="21"/>
    </w:rPr>
  </w:style>
  <w:style w:type="paragraph" w:styleId="4">
    <w:name w:val="Heading 4"/>
    <w:basedOn w:val="Normal"/>
    <w:next w:val="Normal"/>
    <w:link w:val="40"/>
    <w:uiPriority w:val="9"/>
    <w:unhideWhenUsed/>
    <w:qFormat/>
    <w:pPr>
      <w:keepNext w:val="true"/>
      <w:ind w:left="400" w:hanging="0"/>
      <w:outlineLvl w:val="3"/>
    </w:pPr>
    <w:rPr>
      <w:rFonts w:cs="Mangal"/>
      <w:b/>
      <w:bCs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Style10" w:customStyle="1">
    <w:name w:val="フッター (文字)"/>
    <w:basedOn w:val="DefaultParagraphFont"/>
    <w:qFormat/>
    <w:rPr>
      <w:rFonts w:ascii="さざなみ明朝" w:hAnsi="さざなみ明朝" w:eastAsia="東風ゴシック" w:cs="東風ゴシック"/>
      <w:sz w:val="24"/>
      <w:szCs w:val="24"/>
      <w:lang w:bidi="hi-IN"/>
    </w:rPr>
  </w:style>
  <w:style w:type="character" w:styleId="Style11" w:customStyle="1">
    <w:name w:val="本文 (文字)"/>
    <w:basedOn w:val="DefaultParagraphFont"/>
    <w:uiPriority w:val="99"/>
    <w:semiHidden/>
    <w:qFormat/>
    <w:rPr>
      <w:rFonts w:ascii="さざなみ明朝" w:hAnsi="さざなみ明朝" w:eastAsia="東風ゴシック" w:cs="Mangal"/>
      <w:sz w:val="24"/>
      <w:szCs w:val="21"/>
      <w:lang w:bidi="hi-IN"/>
    </w:rPr>
  </w:style>
  <w:style w:type="character" w:styleId="11" w:customStyle="1">
    <w:name w:val="見出し 1 (文字)"/>
    <w:basedOn w:val="DefaultParagraphFont"/>
    <w:link w:val="1"/>
    <w:qFormat/>
    <w:rPr>
      <w:rFonts w:ascii="東風ゴシック" w:hAnsi="東風ゴシック" w:eastAsia="東風ゴシック" w:cs="東風ゴシック"/>
      <w:b/>
      <w:bCs/>
      <w:sz w:val="32"/>
      <w:szCs w:val="32"/>
      <w:lang w:bidi="hi-IN"/>
    </w:rPr>
  </w:style>
  <w:style w:type="character" w:styleId="Style12" w:customStyle="1">
    <w:name w:val="インターネットリンク"/>
    <w:basedOn w:val="DefaultParagraphFont"/>
    <w:uiPriority w:val="99"/>
    <w:unhideWhenUsed/>
    <w:rPr>
      <w:color w:val="0000FF"/>
      <w:u w:val="single"/>
    </w:rPr>
  </w:style>
  <w:style w:type="character" w:styleId="Style13" w:customStyle="1">
    <w:name w:val="吹き出し (文字)"/>
    <w:basedOn w:val="DefaultParagraphFont"/>
    <w:uiPriority w:val="99"/>
    <w:semiHidden/>
    <w:qFormat/>
    <w:rPr>
      <w:rFonts w:ascii="Trebuchet MS" w:hAnsi="Trebuchet MS" w:cs="Mangal"/>
      <w:sz w:val="18"/>
      <w:szCs w:val="16"/>
      <w:lang w:bidi="hi-IN"/>
    </w:rPr>
  </w:style>
  <w:style w:type="character" w:styleId="21" w:customStyle="1">
    <w:name w:val="見出し 2 (文字)"/>
    <w:basedOn w:val="DefaultParagraphFont"/>
    <w:link w:val="2"/>
    <w:uiPriority w:val="9"/>
    <w:qFormat/>
    <w:rPr>
      <w:rFonts w:ascii="Trebuchet MS" w:hAnsi="Trebuchet MS" w:cs="Mangal"/>
      <w:sz w:val="24"/>
      <w:szCs w:val="21"/>
      <w:lang w:bidi="hi-IN"/>
    </w:rPr>
  </w:style>
  <w:style w:type="character" w:styleId="31" w:customStyle="1">
    <w:name w:val="見出し 3 (文字)"/>
    <w:basedOn w:val="DefaultParagraphFont"/>
    <w:link w:val="3"/>
    <w:uiPriority w:val="9"/>
    <w:qFormat/>
    <w:rPr>
      <w:rFonts w:ascii="Trebuchet MS" w:hAnsi="Trebuchet MS" w:cs="Mangal"/>
      <w:sz w:val="24"/>
      <w:szCs w:val="21"/>
      <w:lang w:bidi="hi-IN"/>
    </w:rPr>
  </w:style>
  <w:style w:type="character" w:styleId="Style14" w:customStyle="1">
    <w:name w:val="索引ジャンプ"/>
    <w:qFormat/>
    <w:rPr/>
  </w:style>
  <w:style w:type="character" w:styleId="Style15" w:customStyle="1">
    <w:name w:val="ヘッダー (文字)"/>
    <w:basedOn w:val="DefaultParagraphFont"/>
    <w:link w:val="a6"/>
    <w:uiPriority w:val="99"/>
    <w:qFormat/>
    <w:rPr>
      <w:rFonts w:ascii="さざなみ明朝" w:hAnsi="さざなみ明朝" w:eastAsia="東風ゴシック" w:cs="Mangal"/>
      <w:color w:val="00000A"/>
      <w:sz w:val="24"/>
      <w:szCs w:val="21"/>
      <w:lang w:bidi="hi-IN"/>
    </w:rPr>
  </w:style>
  <w:style w:type="character" w:styleId="41" w:customStyle="1">
    <w:name w:val="見出し 4 (文字)"/>
    <w:basedOn w:val="DefaultParagraphFont"/>
    <w:link w:val="4"/>
    <w:uiPriority w:val="9"/>
    <w:qFormat/>
    <w:rPr>
      <w:rFonts w:ascii="さざなみ明朝" w:hAnsi="さざなみ明朝" w:eastAsia="東風ゴシック" w:cs="Mangal"/>
      <w:b/>
      <w:bCs/>
      <w:color w:val="00000A"/>
      <w:sz w:val="24"/>
      <w:szCs w:val="21"/>
      <w:lang w:bidi="hi-IN"/>
    </w:rPr>
  </w:style>
  <w:style w:type="character" w:styleId="Style16">
    <w:name w:val="ソーステキスト"/>
    <w:qFormat/>
    <w:rPr>
      <w:rFonts w:ascii="Liberation Mono" w:hAnsi="Liberation Mono" w:eastAsia="ヒラギノ角ゴシック" w:cs="Liberation Mono"/>
    </w:rPr>
  </w:style>
  <w:style w:type="character" w:styleId="Style17">
    <w:name w:val="箇条書き"/>
    <w:qFormat/>
    <w:rPr>
      <w:rFonts w:ascii="OpenSymbol" w:hAnsi="OpenSymbol" w:eastAsia="OpenSymbol" w:cs="OpenSymbol"/>
    </w:rPr>
  </w:style>
  <w:style w:type="paragraph" w:styleId="Style18" w:customStyle="1">
    <w:name w:val="見出し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Takao Pゴシック" w:cs="Takao Pゴシック"/>
      <w:sz w:val="28"/>
      <w:szCs w:val="28"/>
    </w:rPr>
  </w:style>
  <w:style w:type="paragraph" w:styleId="Style19">
    <w:name w:val="Body Text"/>
    <w:basedOn w:val="Normal"/>
    <w:uiPriority w:val="99"/>
    <w:unhideWhenUsed/>
    <w:pPr>
      <w:spacing w:lineRule="auto" w:line="288" w:before="0" w:after="140"/>
    </w:pPr>
    <w:rPr>
      <w:rFonts w:cs="Mangal"/>
      <w:szCs w:val="21"/>
    </w:rPr>
  </w:style>
  <w:style w:type="paragraph" w:styleId="Style20">
    <w:name w:val="List"/>
    <w:basedOn w:val="Style19"/>
    <w:pPr/>
    <w:rPr>
      <w:rFonts w:cs="Arial Unicode MS"/>
    </w:rPr>
  </w:style>
  <w:style w:type="paragraph" w:styleId="Style21" w:customStyle="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Style22" w:customStyle="1">
    <w:name w:val="索引"/>
    <w:basedOn w:val="Normal"/>
    <w:qFormat/>
    <w:pPr>
      <w:suppressLineNumbers/>
    </w:pPr>
    <w:rPr/>
  </w:style>
  <w:style w:type="paragraph" w:styleId="BalloonText">
    <w:name w:val="Balloon Text"/>
    <w:basedOn w:val="Normal"/>
    <w:uiPriority w:val="99"/>
    <w:unhideWhenUsed/>
    <w:qFormat/>
    <w:pPr/>
    <w:rPr>
      <w:rFonts w:ascii="Trebuchet MS" w:hAnsi="Trebuchet MS" w:cs="Mangal"/>
      <w:sz w:val="18"/>
      <w:szCs w:val="16"/>
    </w:rPr>
  </w:style>
  <w:style w:type="paragraph" w:styleId="Style23">
    <w:name w:val="ヘッダーとフッター"/>
    <w:basedOn w:val="Normal"/>
    <w:qFormat/>
    <w:pPr/>
    <w:rPr/>
  </w:style>
  <w:style w:type="paragraph" w:styleId="Style24">
    <w:name w:val="Footer"/>
    <w:basedOn w:val="Normal"/>
    <w:pPr>
      <w:tabs>
        <w:tab w:val="clear" w:pos="1300"/>
        <w:tab w:val="center" w:pos="4252" w:leader="none"/>
        <w:tab w:val="right" w:pos="8504" w:leader="none"/>
      </w:tabs>
    </w:pPr>
    <w:rPr/>
  </w:style>
  <w:style w:type="paragraph" w:styleId="Style25">
    <w:name w:val="Header"/>
    <w:basedOn w:val="Normal"/>
    <w:link w:val="a7"/>
    <w:uiPriority w:val="99"/>
    <w:unhideWhenUsed/>
    <w:pPr>
      <w:tabs>
        <w:tab w:val="clear" w:pos="1300"/>
        <w:tab w:val="center" w:pos="4252" w:leader="none"/>
        <w:tab w:val="right" w:pos="8504" w:leader="none"/>
      </w:tabs>
      <w:snapToGrid w:val="false"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qFormat/>
    <w:pPr>
      <w:spacing w:before="0" w:after="280"/>
    </w:pPr>
    <w:rPr>
      <w:rFonts w:ascii="ＭＳ Ｐゴシック" w:hAnsi="ＭＳ Ｐゴシック" w:eastAsia="ＭＳ Ｐゴシック" w:cs="ＭＳ Ｐゴシック"/>
      <w:lang w:bidi="ar-SA"/>
    </w:rPr>
  </w:style>
  <w:style w:type="paragraph" w:styleId="12">
    <w:name w:val="TOC 1"/>
    <w:basedOn w:val="Normal"/>
    <w:next w:val="Normal"/>
    <w:uiPriority w:val="39"/>
    <w:unhideWhenUsed/>
    <w:pPr/>
    <w:rPr>
      <w:rFonts w:cs="Mangal"/>
      <w:szCs w:val="21"/>
    </w:rPr>
  </w:style>
  <w:style w:type="paragraph" w:styleId="32">
    <w:name w:val="TOC 3"/>
    <w:basedOn w:val="Normal"/>
    <w:next w:val="Normal"/>
    <w:uiPriority w:val="39"/>
    <w:unhideWhenUsed/>
    <w:pPr>
      <w:ind w:left="480" w:hanging="0"/>
    </w:pPr>
    <w:rPr>
      <w:rFonts w:cs="Mangal"/>
      <w:szCs w:val="21"/>
    </w:rPr>
  </w:style>
  <w:style w:type="paragraph" w:styleId="42">
    <w:name w:val="TOC 4"/>
    <w:basedOn w:val="Normal"/>
    <w:next w:val="Normal"/>
    <w:uiPriority w:val="39"/>
    <w:unhideWhenUsed/>
    <w:pPr>
      <w:ind w:left="720" w:hanging="0"/>
    </w:pPr>
    <w:rPr>
      <w:rFonts w:cs="Mangal"/>
      <w:szCs w:val="21"/>
    </w:rPr>
  </w:style>
  <w:style w:type="paragraph" w:styleId="Style26" w:customStyle="1">
    <w:name w:val="リスト"/>
    <w:basedOn w:val="Style19"/>
    <w:qFormat/>
    <w:pPr>
      <w:spacing w:before="0" w:after="120"/>
    </w:pPr>
    <w:rPr>
      <w:rFonts w:cs="東風ゴシック"/>
      <w:szCs w:val="24"/>
    </w:rPr>
  </w:style>
  <w:style w:type="paragraph" w:styleId="Style27">
    <w:name w:val="Index Heading"/>
    <w:basedOn w:val="Style18"/>
    <w:pPr/>
    <w:rPr/>
  </w:style>
  <w:style w:type="paragraph" w:styleId="TOAHeading" w:customStyle="1">
    <w:name w:val="TOA Heading"/>
    <w:basedOn w:val="1"/>
    <w:uiPriority w:val="39"/>
    <w:unhideWhenUsed/>
    <w:qFormat/>
    <w:pPr>
      <w:keepLines/>
      <w:widowControl/>
      <w:suppressAutoHyphens w:val="false"/>
      <w:spacing w:lineRule="auto" w:line="276" w:before="480" w:after="0"/>
    </w:pPr>
    <w:rPr>
      <w:rFonts w:ascii="Trebuchet MS" w:hAnsi="Trebuchet MS"/>
      <w:color w:val="365F91"/>
      <w:sz w:val="28"/>
      <w:szCs w:val="28"/>
      <w:lang w:bidi="ar-SA"/>
    </w:rPr>
  </w:style>
  <w:style w:type="paragraph" w:styleId="13" w:customStyle="1">
    <w:name w:val="リスト段落1"/>
    <w:basedOn w:val="Normal"/>
    <w:uiPriority w:val="34"/>
    <w:qFormat/>
    <w:pPr>
      <w:ind w:left="840" w:hanging="0"/>
    </w:pPr>
    <w:rPr>
      <w:rFonts w:cs="Mangal"/>
      <w:szCs w:val="21"/>
    </w:rPr>
  </w:style>
  <w:style w:type="paragraph" w:styleId="Style28" w:customStyle="1">
    <w:name w:val="枠の内容"/>
    <w:basedOn w:val="Normal"/>
    <w:qFormat/>
    <w:pPr/>
    <w:rPr/>
  </w:style>
  <w:style w:type="paragraph" w:styleId="Style29" w:customStyle="1">
    <w:name w:val="表の内容"/>
    <w:basedOn w:val="Normal"/>
    <w:qFormat/>
    <w:pPr/>
    <w:rPr/>
  </w:style>
  <w:style w:type="paragraph" w:styleId="Style30" w:customStyle="1">
    <w:name w:val="表の見出し"/>
    <w:basedOn w:val="Style29"/>
    <w:qFormat/>
    <w:pPr/>
    <w:rPr/>
  </w:style>
  <w:style w:type="paragraph" w:styleId="ListParagraph">
    <w:name w:val="List Paragraph"/>
    <w:basedOn w:val="Normal"/>
    <w:uiPriority w:val="99"/>
    <w:qFormat/>
    <w:rsid w:val="000b23cb"/>
    <w:pPr>
      <w:ind w:left="840" w:hanging="0"/>
    </w:pPr>
    <w:rPr>
      <w:rFonts w:cs="Mangal"/>
      <w:szCs w:val="21"/>
    </w:rPr>
  </w:style>
  <w:style w:type="paragraph" w:styleId="Style31">
    <w:name w:val="整形済みテキスト"/>
    <w:basedOn w:val="Normal"/>
    <w:qFormat/>
    <w:pPr>
      <w:spacing w:before="0" w:after="0"/>
    </w:pPr>
    <w:rPr>
      <w:rFonts w:ascii="Liberation Mono" w:hAnsi="Liberation Mono" w:eastAsia="ヒラギノ角ゴシック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キュート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6"/>
    <customShpInfo spid="_x0000_s1039"/>
    <customShpInfo spid="_x0000_s1041"/>
    <customShpInfo spid="_x0000_s1042"/>
    <customShpInfo spid="_x0000_s1043"/>
    <customShpInfo spid="_x0000_s1044"/>
    <customShpInfo spid="_x0000_s1040"/>
    <customShpInfo spid="_x0000_s1038"/>
    <customShpInfo spid="_x0000_s1029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Application>LibreOffice/7.0.4.2$MacOSX_X86_64 LibreOffice_project/dcf040e67528d9187c66b2379df5ea4407429775</Application>
  <AppVersion>15.0000</AppVersion>
  <Pages>11</Pages>
  <Words>3573</Words>
  <Characters>5767</Characters>
  <CharactersWithSpaces>6093</CharactersWithSpaces>
  <Paragraphs>200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2018-03-29T06:48:00Z</dcterms:created>
  <dc:creator>yoh@jp.fujitsu.com</dc:creator>
  <dc:description/>
  <dc:language>ja-JP</dc:language>
  <cp:lastModifiedBy/>
  <cp:lastPrinted>2018-04-03T08:10:00Z</cp:lastPrinted>
  <dcterms:modified xsi:type="dcterms:W3CDTF">2021-01-14T17:00:49Z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17-10.1.0.5707</vt:lpwstr>
  </property>
</Properties>
</file>