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7" w:rsidRDefault="00D61013" w:rsidP="00D61013">
      <w:pPr>
        <w:pStyle w:val="Ttulo1"/>
        <w:jc w:val="center"/>
      </w:pPr>
      <w:r>
        <w:t>Comparación de clasificadores con y sin filtrado</w:t>
      </w:r>
    </w:p>
    <w:p w:rsidR="00D61013" w:rsidRDefault="00D61013" w:rsidP="00D61013"/>
    <w:p w:rsidR="00D61013" w:rsidRDefault="00D61013" w:rsidP="00D61013">
      <w:r>
        <w:t>Sea que tras el filtrado del conjunto inicial, hemos construido un clasificador que ahora queremos probar con un conjunto de prueba de tamaño 100.000.</w:t>
      </w:r>
    </w:p>
    <w:p w:rsidR="00D61013" w:rsidRDefault="00D61013" w:rsidP="00D61013">
      <w:r>
        <w:t>Podemos proceder de dos maneras:</w:t>
      </w:r>
    </w:p>
    <w:p w:rsidR="00D61013" w:rsidRDefault="00D61013" w:rsidP="00D61013">
      <w:pPr>
        <w:pStyle w:val="Prrafodelista"/>
        <w:numPr>
          <w:ilvl w:val="0"/>
          <w:numId w:val="1"/>
        </w:numPr>
      </w:pPr>
      <w:r>
        <w:t>Aplicar el clasificador directamente a las 100.000 instancias del conjunto de prueba.</w:t>
      </w:r>
    </w:p>
    <w:p w:rsidR="00340D6E" w:rsidRDefault="009D3C76" w:rsidP="00340D6E">
      <w:pPr>
        <w:pStyle w:val="Descripcin"/>
        <w:jc w:val="center"/>
      </w:pPr>
      <w:r>
        <w:object w:dxaOrig="8305" w:dyaOrig="4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208.8pt" o:ole="">
            <v:imagedata r:id="rId6" o:title=""/>
          </v:shape>
          <o:OLEObject Type="Link" ProgID="Excel.Sheet.12" ShapeID="_x0000_i1025" DrawAspect="Content" r:id="rId7" UpdateMode="Always">
            <o:LinkType>EnhancedMetaFile</o:LinkType>
            <o:LockedField>false</o:LockedField>
            <o:FieldCodes>\* MERGEFORMAT</o:FieldCodes>
          </o:OLEObject>
        </w:object>
      </w:r>
    </w:p>
    <w:p w:rsidR="00BF47C6" w:rsidRDefault="00340D6E" w:rsidP="00340D6E">
      <w:pPr>
        <w:pStyle w:val="Descripcin"/>
        <w:jc w:val="center"/>
        <w:rPr>
          <w:noProof/>
        </w:rPr>
      </w:pPr>
      <w:r>
        <w:t xml:space="preserve">Fig. </w:t>
      </w:r>
      <w:fldSimple w:instr=" SEQ Fig. \* ARABIC ">
        <w:r w:rsidR="00535483">
          <w:rPr>
            <w:noProof/>
          </w:rPr>
          <w:t>1</w:t>
        </w:r>
      </w:fldSimple>
      <w:r>
        <w:t xml:space="preserve">: </w:t>
      </w:r>
      <w:r w:rsidRPr="00D12D47">
        <w:t>Clasificación en Conjunto de Prueba sin Filtrado</w:t>
      </w:r>
    </w:p>
    <w:p w:rsidR="00BF47C6" w:rsidRDefault="00BF47C6" w:rsidP="001B26E1">
      <w:pPr>
        <w:ind w:left="696"/>
      </w:pPr>
      <w:r>
        <w:t xml:space="preserve">Como se observa, debido a su tamaño y no estar etiquetado ignoramos el número de tuits de odio - </w:t>
      </w:r>
      <w:r w:rsidRPr="00BF47C6">
        <w:rPr>
          <w:b/>
        </w:rPr>
        <w:t>O</w:t>
      </w:r>
      <w:r>
        <w:t xml:space="preserve">- contenidos en el fichero de prueba pero, tras la clasificación, mediante simple inspección, de los tuits clasificados como de odio (que serán pocos) podemos averiguar los </w:t>
      </w:r>
      <w:r w:rsidR="00340D6E">
        <w:t>valores X</w:t>
      </w:r>
      <w:r>
        <w:t xml:space="preserve"> - TP - e Y - FP – y, por lo tanto el valor total de los neutros predichos por el modelo (1000-X-Y).</w:t>
      </w:r>
    </w:p>
    <w:p w:rsidR="001B26E1" w:rsidRDefault="001B26E1" w:rsidP="001B26E1">
      <w:pPr>
        <w:ind w:left="696"/>
      </w:pPr>
      <w:r>
        <w:t>Es claro que FN y TN no pueden calcularse directamente ya que ello exigiría la lectura de casi 100.000 tuits lo que es impensable.</w:t>
      </w:r>
    </w:p>
    <w:p w:rsidR="00252D40" w:rsidRPr="00252D40" w:rsidRDefault="001B26E1" w:rsidP="001B26E1">
      <w:pPr>
        <w:ind w:left="696"/>
        <w:rPr>
          <w:rFonts w:eastAsiaTheme="minorEastAsia"/>
        </w:rPr>
      </w:pPr>
      <w:r>
        <w:t xml:space="preserve">No obstante, es </w:t>
      </w:r>
      <w:r w:rsidR="00252D40">
        <w:t xml:space="preserve">posible llevar a cabo una estimación de FN y TN ya que sabemos que la proporción de tuits de odio en el conjunto de prueba similar al de la población) se encuentra en torno al 2 ‰, podemos construir la tabla para </w:t>
      </w:r>
      <w:r w:rsidR="00572328">
        <w:t xml:space="preserve">un error </w:t>
      </w:r>
      <w:r w:rsidR="00340D6E">
        <w:rPr>
          <w:rFonts w:ascii="Times New Roman" w:hAnsi="Times New Roman" w:cs="Times New Roman"/>
        </w:rPr>
        <w:t>ε</w:t>
      </w:r>
      <w:r w:rsidR="00340D6E">
        <w:t xml:space="preserve"> y</w:t>
      </w:r>
      <w:r w:rsidR="00572328">
        <w:t xml:space="preserve"> un nivel de confianza de 1-</w:t>
      </w:r>
      <w:r w:rsidR="00572328">
        <w:rPr>
          <w:rFonts w:ascii="Times New Roman" w:hAnsi="Times New Roman" w:cs="Times New Roman"/>
        </w:rPr>
        <w:t>α</w:t>
      </w:r>
      <w:r w:rsidR="00572328">
        <w:t xml:space="preserve"> tal que:</w:t>
      </w:r>
    </w:p>
    <w:p w:rsidR="001B26E1" w:rsidRPr="00586158" w:rsidRDefault="00252D40" w:rsidP="001B26E1">
      <w:pPr>
        <w:ind w:left="6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-p</m:t>
                  </m:r>
                </m:e>
              </m:d>
              <m:r>
                <w:rPr>
                  <w:rFonts w:ascii="Cambria Math" w:hAnsi="Cambria Math"/>
                </w:rPr>
                <m:t>&lt;ϵ</m:t>
              </m:r>
            </m:e>
          </m:d>
          <m:r>
            <w:rPr>
              <w:rFonts w:ascii="Cambria Math" w:hAnsi="Cambria Math"/>
            </w:rPr>
            <m:t>≤1-α</m:t>
          </m:r>
        </m:oMath>
      </m:oMathPara>
    </w:p>
    <w:p w:rsidR="00586158" w:rsidRDefault="00586158" w:rsidP="00586158">
      <w:pPr>
        <w:ind w:left="696"/>
        <w:rPr>
          <w:rFonts w:eastAsiaTheme="minorEastAsia"/>
        </w:rPr>
      </w:pPr>
      <w:r>
        <w:rPr>
          <w:rFonts w:eastAsiaTheme="minorEastAsia"/>
        </w:rPr>
        <w:t>que proporciona los siguientes resultados:</w:t>
      </w:r>
    </w:p>
    <w:p w:rsidR="00586158" w:rsidRDefault="00340D6E" w:rsidP="00586158">
      <w:pPr>
        <w:ind w:left="696"/>
        <w:jc w:val="center"/>
        <w:rPr>
          <w:rFonts w:eastAsiaTheme="minorEastAsia"/>
        </w:rPr>
      </w:pPr>
      <w:r>
        <w:rPr>
          <w:rFonts w:eastAsiaTheme="minorEastAsia"/>
        </w:rPr>
        <w:object w:dxaOrig="4132" w:dyaOrig="1502">
          <v:shape id="_x0000_i1026" type="#_x0000_t75" style="width:194.4pt;height:1in" o:ole="">
            <v:imagedata r:id="rId8" o:title=""/>
          </v:shape>
          <o:OLEObject Type="Embed" ProgID="Excel.Sheet.12" ShapeID="_x0000_i1026" DrawAspect="Content" ObjectID="_1555425872" r:id="rId9"/>
        </w:object>
      </w:r>
    </w:p>
    <w:p w:rsidR="00340D6E" w:rsidRDefault="00340D6E" w:rsidP="00340D6E">
      <w:pPr>
        <w:pStyle w:val="Descripcin"/>
        <w:jc w:val="center"/>
        <w:rPr>
          <w:rFonts w:eastAsiaTheme="minorEastAsia"/>
        </w:rPr>
      </w:pPr>
      <w:r>
        <w:t xml:space="preserve">Tabla </w:t>
      </w:r>
      <w:fldSimple w:instr=" SEQ Tabla \* ARABIC ">
        <w:r w:rsidR="00535483">
          <w:rPr>
            <w:noProof/>
          </w:rPr>
          <w:t>1</w:t>
        </w:r>
      </w:fldSimple>
      <w:r>
        <w:t>: Tamaño de Muestra Binomial</w:t>
      </w:r>
    </w:p>
    <w:p w:rsidR="00586158" w:rsidRPr="00F654FE" w:rsidRDefault="00586158" w:rsidP="001B26E1">
      <w:pPr>
        <w:ind w:left="696"/>
        <w:rPr>
          <w:rFonts w:eastAsiaTheme="minorEastAsia"/>
        </w:rPr>
      </w:pPr>
    </w:p>
    <w:p w:rsidR="00F654FE" w:rsidRDefault="00F654FE" w:rsidP="001B26E1">
      <w:pPr>
        <w:ind w:left="696"/>
        <w:rPr>
          <w:rFonts w:eastAsiaTheme="minorEastAsia"/>
        </w:rPr>
      </w:pPr>
      <w:r>
        <w:rPr>
          <w:rFonts w:eastAsiaTheme="minorEastAsia"/>
        </w:rPr>
        <w:t xml:space="preserve">Y dado que </w:t>
      </w:r>
      <m:oMath>
        <m:r>
          <w:rPr>
            <w:rFonts w:ascii="Cambria Math" w:eastAsiaTheme="minorEastAsia" w:hAnsi="Cambria Math"/>
          </w:rPr>
          <m:t>υ=n∙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 sigue una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n∙p;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np(1-p)</m:t>
                </m:r>
              </m:e>
            </m:rad>
          </m:e>
        </m:d>
      </m:oMath>
      <w:r>
        <w:rPr>
          <w:rFonts w:eastAsiaTheme="minorEastAsia"/>
        </w:rPr>
        <w:t xml:space="preserve"> tendremos que  </w:t>
      </w:r>
    </w:p>
    <w:p w:rsidR="00F654FE" w:rsidRPr="0058080B" w:rsidRDefault="00F654FE" w:rsidP="00F654FE">
      <w:pPr>
        <w:ind w:left="6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υ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-p|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p(1-p)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ϵ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p(1-p)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</w:rPr>
            <m:t>≤1-α</m:t>
          </m:r>
        </m:oMath>
      </m:oMathPara>
    </w:p>
    <w:p w:rsidR="0058080B" w:rsidRDefault="0058080B" w:rsidP="00F654FE">
      <w:pPr>
        <w:ind w:left="696"/>
        <w:rPr>
          <w:rFonts w:eastAsiaTheme="minorEastAsia"/>
        </w:rPr>
      </w:pPr>
      <w:r>
        <w:rPr>
          <w:rFonts w:eastAsiaTheme="minorEastAsia"/>
        </w:rPr>
        <w:t xml:space="preserve">Y como en la </w:t>
      </w:r>
      <w:r w:rsidR="00340D6E">
        <w:rPr>
          <w:rFonts w:eastAsiaTheme="minorEastAsia"/>
        </w:rPr>
        <w:t>N (</w:t>
      </w:r>
      <w:r>
        <w:rPr>
          <w:rFonts w:eastAsiaTheme="minorEastAsia"/>
        </w:rPr>
        <w:t xml:space="preserve">0;1) para </w:t>
      </w:r>
      <w:r>
        <w:rPr>
          <w:rFonts w:ascii="Times New Roman" w:eastAsiaTheme="minorEastAsia" w:hAnsi="Times New Roman" w:cs="Times New Roman"/>
        </w:rPr>
        <w:t>α</w:t>
      </w:r>
      <w:r>
        <w:rPr>
          <w:rFonts w:eastAsiaTheme="minorEastAsia"/>
        </w:rPr>
        <w:t xml:space="preserve">=0,025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=1,96</m:t>
        </m:r>
      </m:oMath>
      <w:r>
        <w:rPr>
          <w:rFonts w:eastAsiaTheme="minorEastAsia"/>
        </w:rPr>
        <w:t xml:space="preserve">  tendremos que el tamaño de muestra se </w:t>
      </w:r>
      <w:r w:rsidR="00586158">
        <w:rPr>
          <w:rFonts w:eastAsiaTheme="minorEastAsia"/>
        </w:rPr>
        <w:t>puede calcular también</w:t>
      </w:r>
      <w:r>
        <w:rPr>
          <w:rFonts w:eastAsiaTheme="minorEastAsia"/>
        </w:rPr>
        <w:t xml:space="preserve"> por:</w:t>
      </w:r>
    </w:p>
    <w:p w:rsidR="0058080B" w:rsidRPr="00586158" w:rsidRDefault="00535483" w:rsidP="00F654FE">
      <w:pPr>
        <w:ind w:left="69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=1,96</m:t>
          </m:r>
          <m:r>
            <w:rPr>
              <w:rFonts w:ascii="Cambria Math" w:eastAsiaTheme="minorEastAsia" w:hAnsi="Cambria Math"/>
            </w:rPr>
            <m:t>→n=</m:t>
          </m:r>
          <m:r>
            <w:rPr>
              <w:rFonts w:ascii="Cambria Math" w:hAnsi="Cambria Math"/>
            </w:rPr>
            <m:t>p(1-p)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1,96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ϵ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86158" w:rsidRDefault="00586158" w:rsidP="00F654FE">
      <w:pPr>
        <w:ind w:left="696"/>
        <w:rPr>
          <w:rFonts w:eastAsiaTheme="minorEastAsia"/>
        </w:rPr>
      </w:pPr>
      <w:r>
        <w:rPr>
          <w:rFonts w:eastAsiaTheme="minorEastAsia"/>
        </w:rPr>
        <w:t>Con similares resultados:</w:t>
      </w:r>
    </w:p>
    <w:p w:rsidR="00586158" w:rsidRDefault="00586158" w:rsidP="00586158">
      <w:pPr>
        <w:ind w:left="696"/>
        <w:jc w:val="center"/>
        <w:rPr>
          <w:rFonts w:eastAsiaTheme="minorEastAsia"/>
        </w:rPr>
      </w:pPr>
      <w:r>
        <w:rPr>
          <w:rFonts w:eastAsiaTheme="minorEastAsia"/>
        </w:rPr>
        <w:object w:dxaOrig="3921" w:dyaOrig="1502">
          <v:shape id="_x0000_i1027" type="#_x0000_t75" style="width:194.4pt;height:1in" o:ole="">
            <v:imagedata r:id="rId10" o:title=""/>
          </v:shape>
          <o:OLEObject Type="Embed" ProgID="Excel.Sheet.12" ShapeID="_x0000_i1027" DrawAspect="Content" ObjectID="_1555425873" r:id="rId11"/>
        </w:object>
      </w:r>
    </w:p>
    <w:p w:rsidR="00340D6E" w:rsidRDefault="00340D6E" w:rsidP="00340D6E">
      <w:pPr>
        <w:pStyle w:val="Descripcin"/>
        <w:jc w:val="center"/>
        <w:rPr>
          <w:rFonts w:eastAsiaTheme="minorEastAsia"/>
        </w:rPr>
      </w:pPr>
      <w:r>
        <w:t xml:space="preserve">Tabla </w:t>
      </w:r>
      <w:fldSimple w:instr=" SEQ Tabla \* ARABIC ">
        <w:r w:rsidR="00535483">
          <w:rPr>
            <w:noProof/>
          </w:rPr>
          <w:t>2</w:t>
        </w:r>
      </w:fldSimple>
      <w:r>
        <w:t>: Tamaño de Muestra con la Normal</w:t>
      </w:r>
    </w:p>
    <w:p w:rsidR="00572328" w:rsidRPr="00586158" w:rsidRDefault="00572328" w:rsidP="00572328">
      <w:pPr>
        <w:ind w:left="696"/>
        <w:rPr>
          <w:rFonts w:eastAsiaTheme="minorEastAsia"/>
        </w:rPr>
      </w:pPr>
      <w:r>
        <w:rPr>
          <w:rFonts w:eastAsiaTheme="minorEastAsia"/>
        </w:rPr>
        <w:t xml:space="preserve">Así pues, podemos estimar FN y TN con una muestra del conjunto de prueba </w:t>
      </w:r>
      <w:r w:rsidR="00340D6E">
        <w:rPr>
          <w:rFonts w:eastAsiaTheme="minorEastAsia"/>
        </w:rPr>
        <w:t>de tamaño</w:t>
      </w:r>
      <w:r>
        <w:rPr>
          <w:rFonts w:eastAsiaTheme="minorEastAsia"/>
        </w:rPr>
        <w:t xml:space="preserve"> 3.000, lo que es viable. </w:t>
      </w:r>
    </w:p>
    <w:p w:rsidR="00D61013" w:rsidRDefault="00D61013" w:rsidP="00D61013">
      <w:pPr>
        <w:pStyle w:val="Prrafodelista"/>
        <w:numPr>
          <w:ilvl w:val="0"/>
          <w:numId w:val="1"/>
        </w:numPr>
      </w:pPr>
      <w:r>
        <w:t>Aplicarlo tras filtrar.</w:t>
      </w:r>
    </w:p>
    <w:p w:rsidR="00A6473C" w:rsidRDefault="00A6473C" w:rsidP="00572328">
      <w:pPr>
        <w:ind w:left="360"/>
      </w:pPr>
      <w:r>
        <w:t xml:space="preserve">También podemos clasificar tras el filtrado, asignando </w:t>
      </w:r>
      <w:r w:rsidRPr="00A6473C">
        <w:rPr>
          <w:i/>
        </w:rPr>
        <w:t>todas las instancias que no pasan el filtro como neutras</w:t>
      </w:r>
      <w:r>
        <w:t xml:space="preserve"> como se muestra en la </w:t>
      </w:r>
      <w:r>
        <w:fldChar w:fldCharType="begin"/>
      </w:r>
      <w:r>
        <w:instrText xml:space="preserve"> REF _Ref481665550 \h </w:instrText>
      </w:r>
      <w:r>
        <w:fldChar w:fldCharType="separate"/>
      </w:r>
      <w:r w:rsidR="00535483">
        <w:t xml:space="preserve">Fig. </w:t>
      </w:r>
      <w:r w:rsidR="00535483">
        <w:rPr>
          <w:noProof/>
        </w:rPr>
        <w:t>2</w:t>
      </w:r>
      <w:r>
        <w:fldChar w:fldCharType="end"/>
      </w:r>
      <w:r>
        <w:t>:</w:t>
      </w:r>
    </w:p>
    <w:p w:rsidR="00A6473C" w:rsidRDefault="00192DE1" w:rsidP="00A6473C">
      <w:pPr>
        <w:pStyle w:val="Descripcin"/>
        <w:ind w:left="360"/>
        <w:jc w:val="center"/>
      </w:pPr>
      <w:r>
        <w:object w:dxaOrig="13141" w:dyaOrig="4785">
          <v:shape id="_x0000_i1028" type="#_x0000_t75" style="width:403.2pt;height:2in" o:ole="">
            <v:imagedata r:id="rId12" o:title=""/>
          </v:shape>
          <o:OLEObject Type="Link" ProgID="Excel.Sheet.12" ShapeID="_x0000_i1028" DrawAspect="Content" r:id="rId13" UpdateMode="Always">
            <o:LinkType>EnhancedMetaFile</o:LinkType>
            <o:LockedField>false</o:LockedField>
          </o:OLEObject>
        </w:object>
      </w:r>
    </w:p>
    <w:p w:rsidR="00A6473C" w:rsidRDefault="00A6473C" w:rsidP="00A6473C">
      <w:pPr>
        <w:pStyle w:val="Descripcin"/>
        <w:ind w:left="360"/>
        <w:jc w:val="center"/>
      </w:pPr>
      <w:bookmarkStart w:id="0" w:name="_Ref481665550"/>
      <w:r>
        <w:t xml:space="preserve">Fig. </w:t>
      </w:r>
      <w:fldSimple w:instr=" SEQ Fig. \* ARABIC ">
        <w:r w:rsidR="00535483">
          <w:rPr>
            <w:noProof/>
          </w:rPr>
          <w:t>2</w:t>
        </w:r>
      </w:fldSimple>
      <w:bookmarkEnd w:id="0"/>
      <w:r>
        <w:t>: Clasificación tras Filtrado</w:t>
      </w:r>
    </w:p>
    <w:p w:rsidR="00340D6E" w:rsidRDefault="00340D6E" w:rsidP="00340D6E">
      <w:r>
        <w:t>En este caso, también será necesario completar la matriz de contingencia con los valores estimados de FN y TN:</w:t>
      </w:r>
    </w:p>
    <w:p w:rsidR="00340D6E" w:rsidRPr="00340D6E" w:rsidRDefault="003A5127" w:rsidP="00340D6E">
      <w:pPr>
        <w:jc w:val="center"/>
      </w:pPr>
      <w:r>
        <w:object w:dxaOrig="4856" w:dyaOrig="1617">
          <v:shape id="_x0000_i1076" type="#_x0000_t75" style="width:244.8pt;height:79.2pt" o:ole="">
            <v:imagedata r:id="rId14" o:title=""/>
          </v:shape>
          <o:OLEObject Type="Link" ProgID="Excel.Sheet.12" ShapeID="_x0000_i1076" DrawAspect="Content" r:id="rId15" UpdateMode="Always">
            <o:LinkType>EnhancedMetaFile</o:LinkType>
            <o:LockedField>false</o:LockedField>
          </o:OLEObject>
        </w:object>
      </w:r>
    </w:p>
    <w:p w:rsidR="00A6473C" w:rsidRDefault="00340D6E" w:rsidP="00340D6E">
      <w:pPr>
        <w:pStyle w:val="Descripcin"/>
        <w:jc w:val="center"/>
      </w:pPr>
      <w:r>
        <w:t xml:space="preserve">Tabla </w:t>
      </w:r>
      <w:fldSimple w:instr=" SEQ Tabla \* ARABIC ">
        <w:r w:rsidR="00535483">
          <w:rPr>
            <w:noProof/>
          </w:rPr>
          <w:t>3</w:t>
        </w:r>
      </w:fldSimple>
      <w:r>
        <w:t>: Matriz de Contingencia en Clasificación tras Filtrado</w:t>
      </w:r>
    </w:p>
    <w:p w:rsidR="00340D6E" w:rsidRDefault="00340D6E" w:rsidP="00340D6E">
      <w:r>
        <w:t>Que, como antes, se hará muestreando el conjunto de prueba.</w:t>
      </w:r>
    </w:p>
    <w:p w:rsidR="00524DCD" w:rsidRDefault="00524DCD" w:rsidP="00340D6E">
      <w:r>
        <w:t>Solo lo haríamos con el clasificador que nos haya dado mejores resultados en conjunto de prueba.</w:t>
      </w:r>
    </w:p>
    <w:p w:rsidR="00192DE1" w:rsidRDefault="00192DE1" w:rsidP="00340D6E">
      <w:r>
        <w:t xml:space="preserve">Previo al muestreo, la comparación entre los valores </w:t>
      </w:r>
      <w:r w:rsidRPr="00192DE1">
        <w:rPr>
          <w:b/>
        </w:rPr>
        <w:t>X</w:t>
      </w:r>
      <w:r>
        <w:t xml:space="preserve"> –</w:t>
      </w:r>
      <w:r w:rsidRPr="00192DE1">
        <w:rPr>
          <w:b/>
        </w:rPr>
        <w:t>x</w:t>
      </w:r>
      <w:r>
        <w:t xml:space="preserve"> e </w:t>
      </w:r>
      <w:r w:rsidRPr="00192DE1">
        <w:rPr>
          <w:b/>
        </w:rPr>
        <w:t>Y</w:t>
      </w:r>
      <w:r>
        <w:t xml:space="preserve">- </w:t>
      </w:r>
      <w:proofErr w:type="gramStart"/>
      <w:r w:rsidRPr="00192DE1">
        <w:rPr>
          <w:b/>
        </w:rPr>
        <w:t>y</w:t>
      </w:r>
      <w:r>
        <w:t xml:space="preserve">  nos</w:t>
      </w:r>
      <w:proofErr w:type="gramEnd"/>
      <w:r>
        <w:t xml:space="preserve"> da una primera impresión acerca del funcionamiento de cada uno de los </w:t>
      </w:r>
      <w:proofErr w:type="spellStart"/>
      <w:r>
        <w:t>procdimientos</w:t>
      </w:r>
      <w:proofErr w:type="spellEnd"/>
      <w:r>
        <w:t>.</w:t>
      </w:r>
    </w:p>
    <w:p w:rsidR="008E2CE6" w:rsidRDefault="008E2CE6" w:rsidP="008E2CE6">
      <w:pPr>
        <w:pStyle w:val="Ttulo2"/>
      </w:pPr>
      <w:r>
        <w:t>Clasificador bayesiano.</w:t>
      </w:r>
    </w:p>
    <w:p w:rsidR="008E2CE6" w:rsidRPr="008E2CE6" w:rsidRDefault="008E2CE6" w:rsidP="008E2CE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,..,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P(C)</m:t>
          </m:r>
        </m:oMath>
      </m:oMathPara>
    </w:p>
    <w:p w:rsidR="008E2CE6" w:rsidRPr="008E2CE6" w:rsidRDefault="008E2CE6" w:rsidP="008E2CE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P(C)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8E2CE6" w:rsidRPr="008E2CE6" w:rsidRDefault="008E2CE6" w:rsidP="008E2C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classify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c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P(C)</m:t>
                  </m:r>
                </m:num>
                <m:den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</m:oMath>
      </m:oMathPara>
    </w:p>
    <w:p w:rsidR="008E2CE6" w:rsidRDefault="00DC472A" w:rsidP="008E2CE6">
      <w:pPr>
        <w:rPr>
          <w:rFonts w:eastAsiaTheme="minorEastAsia"/>
        </w:rPr>
      </w:pPr>
      <w:r>
        <w:rPr>
          <w:rFonts w:eastAsiaTheme="minorEastAsia"/>
        </w:rPr>
        <w:t xml:space="preserve">Es claro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y </w:t>
      </w:r>
      <w:r w:rsidRPr="00DC472A">
        <w:rPr>
          <w:rFonts w:eastAsiaTheme="minorEastAsia"/>
          <w:i/>
        </w:rPr>
        <w:t>P(C</w:t>
      </w:r>
      <w:proofErr w:type="gramStart"/>
      <w:r w:rsidRPr="00DC472A">
        <w:rPr>
          <w:rFonts w:eastAsiaTheme="minorEastAsia"/>
          <w:i/>
        </w:rPr>
        <w:t>)</w:t>
      </w:r>
      <w:r>
        <w:rPr>
          <w:rFonts w:eastAsiaTheme="minorEastAsia"/>
        </w:rPr>
        <w:t xml:space="preserve">  son</w:t>
      </w:r>
      <w:proofErr w:type="gramEnd"/>
      <w:r>
        <w:rPr>
          <w:rFonts w:eastAsiaTheme="minorEastAsia"/>
        </w:rPr>
        <w:t xml:space="preserve"> diferentes en el conjunto de prueba y en el filtrado</w:t>
      </w:r>
      <w:r w:rsidR="00B764C7">
        <w:rPr>
          <w:rFonts w:eastAsiaTheme="minorEastAsia"/>
        </w:rPr>
        <w:t>.</w:t>
      </w:r>
    </w:p>
    <w:p w:rsidR="00535483" w:rsidRDefault="006464F1" w:rsidP="00535483">
      <w:pPr>
        <w:rPr>
          <w:rFonts w:eastAsiaTheme="minorEastAsia"/>
        </w:rPr>
      </w:pPr>
      <w:r>
        <w:rPr>
          <w:rFonts w:eastAsiaTheme="minorEastAsia"/>
        </w:rPr>
        <w:t xml:space="preserve">Si p.e. con un solo atributo </w:t>
      </w:r>
      <w:r w:rsidRPr="006464F1">
        <w:rPr>
          <w:rFonts w:eastAsiaTheme="minorEastAsia"/>
          <w:i/>
        </w:rPr>
        <w:t>f</w:t>
      </w:r>
      <w:r>
        <w:rPr>
          <w:rFonts w:eastAsiaTheme="minorEastAsia"/>
        </w:rPr>
        <w:t xml:space="preserve"> tuviésemos las siguientes proba</w:t>
      </w:r>
      <w:r w:rsidR="00A404E8">
        <w:rPr>
          <w:rFonts w:eastAsiaTheme="minorEastAsia"/>
        </w:rPr>
        <w:t>b</w:t>
      </w:r>
      <w:r>
        <w:rPr>
          <w:rFonts w:eastAsiaTheme="minorEastAsia"/>
        </w:rPr>
        <w:t>ilidades:</w:t>
      </w:r>
    </w:p>
    <w:bookmarkStart w:id="1" w:name="_GoBack"/>
    <w:p w:rsidR="006464F1" w:rsidRDefault="00535483" w:rsidP="00535483">
      <w:pPr>
        <w:jc w:val="center"/>
      </w:pPr>
      <w:r>
        <w:object w:dxaOrig="3340" w:dyaOrig="2852">
          <v:shape id="_x0000_i1123" type="#_x0000_t75" style="width:165.6pt;height:2in" o:ole="">
            <v:imagedata r:id="rId16" o:title=""/>
          </v:shape>
          <o:OLEObject Type="Link" ProgID="Excel.Sheet.12" ShapeID="_x0000_i1123" DrawAspect="Content" r:id="rId17" UpdateMode="Always">
            <o:LinkType>EnhancedMetaFile</o:LinkType>
            <o:LockedField>false</o:LockedField>
            <o:FieldCodes>\* MERGEFORMAT</o:FieldCodes>
          </o:OLEObject>
        </w:object>
      </w:r>
      <w:bookmarkEnd w:id="1"/>
    </w:p>
    <w:p w:rsidR="00B658DD" w:rsidRDefault="00B658DD" w:rsidP="00B658DD">
      <w:pPr>
        <w:pStyle w:val="Descripcin"/>
        <w:jc w:val="center"/>
      </w:pPr>
      <w:r>
        <w:t xml:space="preserve">Fig. </w:t>
      </w:r>
      <w:fldSimple w:instr=" SEQ Fig. \* ARABIC ">
        <w:r w:rsidR="00535483">
          <w:rPr>
            <w:noProof/>
          </w:rPr>
          <w:t>3</w:t>
        </w:r>
      </w:fldSimple>
      <w:r>
        <w:t>: Probabilidades bayesianas en conjuntos inicial y filtrado</w:t>
      </w:r>
    </w:p>
    <w:p w:rsidR="00A404E8" w:rsidRDefault="006464F1" w:rsidP="006464F1">
      <w:r>
        <w:t xml:space="preserve">Es claro que un tuit del </w:t>
      </w:r>
      <w:r w:rsidRPr="00A404E8">
        <w:rPr>
          <w:i/>
        </w:rPr>
        <w:t xml:space="preserve">conjunto </w:t>
      </w:r>
      <w:r w:rsidR="00A404E8" w:rsidRPr="00A404E8">
        <w:rPr>
          <w:i/>
        </w:rPr>
        <w:t>inicial</w:t>
      </w:r>
      <w:r w:rsidR="00A404E8">
        <w:t xml:space="preserve"> con el atributo </w:t>
      </w:r>
      <w:r w:rsidR="00A404E8" w:rsidRPr="00A404E8">
        <w:rPr>
          <w:i/>
        </w:rPr>
        <w:t>f</w:t>
      </w:r>
      <w:r w:rsidR="00A404E8">
        <w:rPr>
          <w:i/>
        </w:rPr>
        <w:t xml:space="preserve"> </w:t>
      </w:r>
      <w:r w:rsidR="00A404E8">
        <w:t xml:space="preserve">se clasificaría como </w:t>
      </w:r>
      <w:r w:rsidR="00A404E8" w:rsidRPr="00DF6D2B">
        <w:rPr>
          <w:b/>
        </w:rPr>
        <w:t>No odio</w:t>
      </w:r>
      <w:r w:rsidR="00A404E8">
        <w:t xml:space="preserve"> ya que</w:t>
      </w:r>
    </w:p>
    <w:p w:rsidR="00A404E8" w:rsidRPr="00A404E8" w:rsidRDefault="00A404E8" w:rsidP="00A404E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Odio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Odio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Odio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Odio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Odio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=0,8∙0,01=0,008</m:t>
          </m:r>
        </m:oMath>
      </m:oMathPara>
    </w:p>
    <w:p w:rsidR="00A404E8" w:rsidRPr="00A404E8" w:rsidRDefault="00A404E8" w:rsidP="00A404E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No 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No o</m:t>
              </m:r>
              <m:r>
                <w:rPr>
                  <w:rFonts w:ascii="Cambria Math" w:hAnsi="Cambria Math"/>
                </w:rPr>
                <m:t>dio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No 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07</m:t>
          </m:r>
          <m:r>
            <m:rPr>
              <m:sty m:val="p"/>
            </m:rPr>
            <w:rPr>
              <w:rFonts w:ascii="Cambria Math" w:hAnsi="Cambria Math"/>
            </w:rPr>
            <m:t>∙0,</m:t>
          </m:r>
          <m:r>
            <m:rPr>
              <m:sty m:val="p"/>
            </m:rPr>
            <w:rPr>
              <w:rFonts w:ascii="Cambria Math" w:hAnsi="Cambria Math"/>
            </w:rPr>
            <m:t>99</m:t>
          </m:r>
          <m:r>
            <m:rPr>
              <m:sty m:val="p"/>
            </m:rP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/>
            </w:rPr>
            <m:t>69&gt;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Odio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A404E8" w:rsidRDefault="00A404E8" w:rsidP="00A404E8">
      <w:pPr>
        <w:rPr>
          <w:rFonts w:eastAsiaTheme="minorEastAsia"/>
        </w:rPr>
      </w:pPr>
      <w:r>
        <w:rPr>
          <w:rFonts w:eastAsiaTheme="minorEastAsia"/>
        </w:rPr>
        <w:t xml:space="preserve">Sin embargo, en </w:t>
      </w:r>
      <w:r w:rsidRPr="00A404E8">
        <w:rPr>
          <w:rFonts w:eastAsiaTheme="minorEastAsia"/>
          <w:i/>
        </w:rPr>
        <w:t>el conjunto filtrado</w:t>
      </w:r>
      <w:r>
        <w:rPr>
          <w:rFonts w:eastAsiaTheme="minorEastAsia"/>
        </w:rPr>
        <w:t xml:space="preserve"> sucede al revés:</w:t>
      </w:r>
    </w:p>
    <w:p w:rsidR="00A404E8" w:rsidRPr="00A404E8" w:rsidRDefault="00A404E8" w:rsidP="00A404E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Odio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∝P</m:t>
          </m:r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r>
                <w:rPr>
                  <w:rFonts w:ascii="Cambria Math" w:hAnsi="Cambria Math"/>
                </w:rPr>
                <m:t>Odio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Odio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∙0,</m:t>
          </m:r>
          <m:r>
            <m:rPr>
              <m:sty m:val="p"/>
            </m:rPr>
            <w:rPr>
              <w:rFonts w:ascii="Cambria Math" w:hAnsi="Cambria Math"/>
            </w:rPr>
            <m:t>35</m:t>
          </m:r>
          <m:r>
            <m:rPr>
              <m:sty m:val="p"/>
            </m:rP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315</m:t>
          </m:r>
        </m:oMath>
      </m:oMathPara>
    </w:p>
    <w:p w:rsidR="00A404E8" w:rsidRPr="00A404E8" w:rsidRDefault="00A404E8" w:rsidP="00A404E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 odio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</m:d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No odio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No odio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∙0,</m:t>
          </m:r>
          <m:r>
            <m:rPr>
              <m:sty m:val="p"/>
            </m:rPr>
            <w:rPr>
              <w:rFonts w:ascii="Cambria Math" w:hAnsi="Cambria Math"/>
            </w:rPr>
            <m:t>65</m:t>
          </m:r>
          <m:r>
            <m:rPr>
              <m:sty m:val="p"/>
            </m:rP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/>
            </w:rPr>
            <m:t>2&lt;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Odio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A404E8" w:rsidRPr="008E2CE6" w:rsidRDefault="00A404E8" w:rsidP="00A404E8">
      <w:pPr>
        <w:rPr>
          <w:rFonts w:eastAsiaTheme="minorEastAsia"/>
        </w:rPr>
      </w:pPr>
      <w:r>
        <w:rPr>
          <w:rFonts w:eastAsiaTheme="minorEastAsia"/>
        </w:rPr>
        <w:t xml:space="preserve">Y se clasificaría como de </w:t>
      </w:r>
      <w:r w:rsidR="00DF6D2B">
        <w:rPr>
          <w:rFonts w:eastAsiaTheme="minorEastAsia"/>
          <w:b/>
        </w:rPr>
        <w:t>Odio.</w:t>
      </w:r>
    </w:p>
    <w:sectPr w:rsidR="00A404E8" w:rsidRPr="008E2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9EC"/>
    <w:multiLevelType w:val="hybridMultilevel"/>
    <w:tmpl w:val="16E81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13"/>
    <w:rsid w:val="00063136"/>
    <w:rsid w:val="00192DE1"/>
    <w:rsid w:val="001B26E1"/>
    <w:rsid w:val="00252D40"/>
    <w:rsid w:val="002770C6"/>
    <w:rsid w:val="00340D6E"/>
    <w:rsid w:val="00372FCB"/>
    <w:rsid w:val="003A5127"/>
    <w:rsid w:val="00524DCD"/>
    <w:rsid w:val="00535483"/>
    <w:rsid w:val="00572328"/>
    <w:rsid w:val="0058080B"/>
    <w:rsid w:val="00586158"/>
    <w:rsid w:val="006464F1"/>
    <w:rsid w:val="006B1C7E"/>
    <w:rsid w:val="00811047"/>
    <w:rsid w:val="00826242"/>
    <w:rsid w:val="008447B8"/>
    <w:rsid w:val="008E2CE6"/>
    <w:rsid w:val="009D3C76"/>
    <w:rsid w:val="009F01F3"/>
    <w:rsid w:val="00A312B1"/>
    <w:rsid w:val="00A404E8"/>
    <w:rsid w:val="00A6473C"/>
    <w:rsid w:val="00B658DD"/>
    <w:rsid w:val="00B764C7"/>
    <w:rsid w:val="00BF47C6"/>
    <w:rsid w:val="00D61013"/>
    <w:rsid w:val="00DC472A"/>
    <w:rsid w:val="00DC774E"/>
    <w:rsid w:val="00DF6D2B"/>
    <w:rsid w:val="00E468FC"/>
    <w:rsid w:val="00F6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8457001-23B1-41F2-BE70-CC7D181D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6101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61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52D4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E2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O:\TASS\Matriz_Confusa.xlsx!Hoja3!F18C2:F33C1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file:///O:\TASS\Matriz_Confusa.xlsx!Hoja3!F1C2:F15C9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O:\TASS\Matriz_Confusa.xlsx!Hoja4!F10C10:F19C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Hoja_de_c_lculo_de_Microsoft_Excel2.xlsx"/><Relationship Id="rId5" Type="http://schemas.openxmlformats.org/officeDocument/2006/relationships/webSettings" Target="webSettings.xml"/><Relationship Id="rId15" Type="http://schemas.openxmlformats.org/officeDocument/2006/relationships/oleObject" Target="file:///O:\TASS\Matriz_Confusa.xlsx!Hoja3!F35C10:F40C14" TargetMode="Externa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Hoja_de_c_lculo_de_Microsoft_Excel1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280CE160-DF02-4A5C-8DFE-90AA50F9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621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Comparación de clasificadores con y sin filtrado</vt:lpstr>
      <vt:lpstr>    Clasificador bayesiano.</vt:lpstr>
    </vt:vector>
  </TitlesOfParts>
  <Company>INSTITUTO NACIONAL DE ESTADISTICA</Company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9</cp:revision>
  <cp:lastPrinted>2017-05-04T15:55:00Z</cp:lastPrinted>
  <dcterms:created xsi:type="dcterms:W3CDTF">2017-05-04T08:41:00Z</dcterms:created>
  <dcterms:modified xsi:type="dcterms:W3CDTF">2017-05-04T15:57:00Z</dcterms:modified>
</cp:coreProperties>
</file>