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53" w:rsidRPr="006D2D78" w:rsidRDefault="00FA4F53" w:rsidP="006D2D78">
      <w:pPr>
        <w:pStyle w:val="Ttulo1"/>
        <w:spacing w:before="0"/>
        <w:jc w:val="center"/>
        <w:rPr>
          <w:b/>
          <w:sz w:val="28"/>
          <w:szCs w:val="28"/>
        </w:rPr>
      </w:pPr>
      <w:bookmarkStart w:id="0" w:name="_Toc473627570"/>
      <w:r w:rsidRPr="006D2D78">
        <w:rPr>
          <w:b/>
          <w:sz w:val="28"/>
          <w:szCs w:val="28"/>
        </w:rPr>
        <w:t xml:space="preserve">Selección de </w:t>
      </w:r>
      <w:r w:rsidR="00F50EBA" w:rsidRPr="006D2D78">
        <w:rPr>
          <w:b/>
          <w:sz w:val="28"/>
          <w:szCs w:val="28"/>
        </w:rPr>
        <w:t>clasificadores con costes de</w:t>
      </w:r>
      <w:r w:rsidR="006D2D78" w:rsidRPr="006D2D78">
        <w:rPr>
          <w:b/>
          <w:sz w:val="28"/>
          <w:szCs w:val="28"/>
        </w:rPr>
        <w:t xml:space="preserve"> </w:t>
      </w:r>
      <w:r w:rsidR="00F50EBA" w:rsidRPr="006D2D78">
        <w:rPr>
          <w:b/>
          <w:sz w:val="28"/>
          <w:szCs w:val="28"/>
        </w:rPr>
        <w:t xml:space="preserve">mala clasificación </w:t>
      </w:r>
      <w:r w:rsidR="006D2D78" w:rsidRPr="006D2D78">
        <w:rPr>
          <w:b/>
          <w:sz w:val="28"/>
          <w:szCs w:val="28"/>
        </w:rPr>
        <w:t>d</w:t>
      </w:r>
      <w:r w:rsidR="00F50EBA" w:rsidRPr="006D2D78">
        <w:rPr>
          <w:b/>
          <w:sz w:val="28"/>
          <w:szCs w:val="28"/>
        </w:rPr>
        <w:t>iferentes</w:t>
      </w:r>
    </w:p>
    <w:p w:rsidR="006D2D78" w:rsidRDefault="006D2D78" w:rsidP="00725415">
      <w:pPr>
        <w:pStyle w:val="Ttulo3"/>
      </w:pPr>
    </w:p>
    <w:p w:rsidR="00725415" w:rsidRDefault="00725415" w:rsidP="00725415">
      <w:pPr>
        <w:pStyle w:val="Ttulo3"/>
      </w:pPr>
      <w:r>
        <w:t>Medida del rendimiento de un clasificador.</w:t>
      </w:r>
      <w:bookmarkEnd w:id="0"/>
    </w:p>
    <w:p w:rsidR="00897CE4" w:rsidRDefault="00897CE4" w:rsidP="00897CE4">
      <w:pPr>
        <w:rPr>
          <w:rFonts w:eastAsiaTheme="majorEastAsia"/>
        </w:rPr>
      </w:pPr>
      <w:r>
        <w:t xml:space="preserve">Como es sabido, la </w:t>
      </w:r>
      <w:r w:rsidRPr="00897CE4">
        <w:rPr>
          <w:rFonts w:eastAsiaTheme="majorEastAsia"/>
          <w:i/>
        </w:rPr>
        <w:t>matriz de confusión</w:t>
      </w:r>
      <w:r>
        <w:rPr>
          <w:rStyle w:val="Ttulo4Car"/>
        </w:rPr>
        <w:t xml:space="preserve"> </w:t>
      </w:r>
      <w:r w:rsidRPr="00897CE4">
        <w:rPr>
          <w:rFonts w:eastAsiaTheme="majorEastAsia"/>
        </w:rPr>
        <w:t>se</w:t>
      </w:r>
      <w:r>
        <w:rPr>
          <w:rStyle w:val="Ttulo4Car"/>
          <w:i w:val="0"/>
        </w:rPr>
        <w:t xml:space="preserve"> </w:t>
      </w:r>
      <w:r w:rsidRPr="00897CE4">
        <w:rPr>
          <w:rFonts w:eastAsiaTheme="majorEastAsia"/>
        </w:rPr>
        <w:t>expresa en el</w:t>
      </w:r>
      <w:r>
        <w:rPr>
          <w:rFonts w:eastAsiaTheme="majorEastAsia"/>
        </w:rPr>
        <w:t xml:space="preserve"> caso de que solo existan dos clases como:</w:t>
      </w:r>
    </w:p>
    <w:p w:rsidR="00897CE4" w:rsidRDefault="006D2D78" w:rsidP="00AD278B">
      <w:pPr>
        <w:jc w:val="center"/>
        <w:rPr>
          <w:rFonts w:eastAsiaTheme="majorEastAsia"/>
          <w:noProof/>
        </w:rPr>
      </w:pPr>
      <w:r>
        <w:rPr>
          <w:rFonts w:eastAsiaTheme="majorEastAsia"/>
          <w:noProof/>
        </w:rPr>
        <w:object w:dxaOrig="6616" w:dyaOrig="3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0.9pt;height:175.85pt" o:ole="">
            <v:imagedata r:id="rId8" o:title=""/>
          </v:shape>
          <o:OLEObject Type="Link" ProgID="Excel.Sheet.12" ShapeID="_x0000_i1030" DrawAspect="Content" r:id="rId9" UpdateMode="Always">
            <o:LinkType>EnhancedMetaFile</o:LinkType>
            <o:LockedField>false</o:LockedField>
          </o:OLEObject>
        </w:object>
      </w:r>
    </w:p>
    <w:p w:rsidR="0098217E" w:rsidRDefault="0098217E" w:rsidP="0098217E">
      <w:pPr>
        <w:pStyle w:val="Descripcin"/>
        <w:jc w:val="center"/>
        <w:rPr>
          <w:rFonts w:eastAsiaTheme="majorEastAsia"/>
        </w:rPr>
      </w:pPr>
      <w:r>
        <w:t xml:space="preserve">Tabla </w:t>
      </w:r>
      <w:fldSimple w:instr=" SEQ Tabla \* ARABIC ">
        <w:r w:rsidR="003E7B8A">
          <w:rPr>
            <w:noProof/>
          </w:rPr>
          <w:t>1</w:t>
        </w:r>
      </w:fldSimple>
      <w:r>
        <w:t>: Matriz de Confusión y Métricas</w:t>
      </w:r>
    </w:p>
    <w:p w:rsidR="00AD278B" w:rsidRDefault="00AD278B" w:rsidP="00AD278B">
      <w:pPr>
        <w:jc w:val="left"/>
        <w:rPr>
          <w:rFonts w:eastAsiaTheme="majorEastAsia"/>
        </w:rPr>
      </w:pPr>
      <w:r>
        <w:rPr>
          <w:rFonts w:eastAsiaTheme="majorEastAsia"/>
        </w:rPr>
        <w:t>Las medidas más inmediatas de evaluación del modelo que se nos ocurren son:</w:t>
      </w:r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Exactitud: </w:t>
      </w:r>
      <m:oMath>
        <m:r>
          <m:rPr>
            <m:sty m:val="p"/>
          </m:rPr>
          <w:rPr>
            <w:rFonts w:ascii="Cambria Math" w:eastAsiaTheme="majorEastAsia" w:hAnsi="Cambria Math"/>
          </w:rPr>
          <m:t>Acc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TP+TN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</m:oMath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>Tasa de error: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>Err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FP+FN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  <m:r>
          <w:rPr>
            <w:rFonts w:ascii="Cambria Math" w:eastAsiaTheme="majorEastAsia"/>
          </w:rPr>
          <m:t>=1</m:t>
        </m:r>
        <m:r>
          <w:rPr>
            <w:rFonts w:ascii="Cambria Math" w:eastAsiaTheme="majorEastAsia"/>
          </w:rPr>
          <m:t>-</m:t>
        </m:r>
        <m:r>
          <w:rPr>
            <w:rFonts w:ascii="Cambria Math" w:eastAsiaTheme="majorEastAsia"/>
          </w:rPr>
          <m:t>Acc</m:t>
        </m:r>
      </m:oMath>
    </w:p>
    <w:p w:rsidR="00AD278B" w:rsidRDefault="00AD278B" w:rsidP="00AD278B">
      <w:pPr>
        <w:jc w:val="left"/>
        <w:rPr>
          <w:rFonts w:eastAsiaTheme="majorEastAsia"/>
        </w:rPr>
      </w:pPr>
      <w:r>
        <w:rPr>
          <w:rFonts w:eastAsiaTheme="majorEastAsia"/>
        </w:rPr>
        <w:t>Sin embargo, cuando existe un claro desequilibrio entre clases, como es el caso de los tuits de odio que pueden ser un 2 ‰ del total, es posible obtener una exactitud enorme si clasificamos todos los tuits (erróneamente) como negativos (no de odio):</w:t>
      </w:r>
    </w:p>
    <w:p w:rsidR="00AD278B" w:rsidRDefault="00747838" w:rsidP="00D70B51">
      <w:pPr>
        <w:jc w:val="center"/>
        <w:rPr>
          <w:rFonts w:eastAsiaTheme="majorEastAsia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"M:\\TFG\\confusion.xlsx!Hoja1!F2C8:F6C12" "" \a \p </w:instrText>
      </w:r>
      <w:r>
        <w:rPr>
          <w:rFonts w:eastAsiaTheme="majorEastAsia"/>
        </w:rPr>
        <w:fldChar w:fldCharType="separate"/>
      </w:r>
      <w:r w:rsidR="002F4169">
        <w:rPr>
          <w:rFonts w:eastAsiaTheme="majorEastAsia"/>
        </w:rPr>
        <w:object w:dxaOrig="4380" w:dyaOrig="3030">
          <v:shape id="_x0000_i1026" type="#_x0000_t75" style="width:235.4pt;height:147.45pt">
            <v:imagedata r:id="rId10" o:title=""/>
          </v:shape>
        </w:object>
      </w:r>
      <w:r>
        <w:rPr>
          <w:rFonts w:eastAsiaTheme="majorEastAsia"/>
        </w:rPr>
        <w:fldChar w:fldCharType="end"/>
      </w:r>
    </w:p>
    <w:p w:rsidR="003E7B8A" w:rsidRDefault="003E7B8A" w:rsidP="003E7B8A">
      <w:pPr>
        <w:pStyle w:val="Descripcin"/>
        <w:jc w:val="center"/>
        <w:rPr>
          <w:rFonts w:eastAsiaTheme="majorEastAsia"/>
        </w:rPr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: Matriz de Confusión en Conjuntos Desequilibrados</w:t>
      </w:r>
    </w:p>
    <w:p w:rsidR="00D70B51" w:rsidRDefault="00D70B51" w:rsidP="00D70B51">
      <w:pPr>
        <w:jc w:val="left"/>
        <w:rPr>
          <w:rFonts w:eastAsiaTheme="majorEastAsia"/>
        </w:rPr>
      </w:pPr>
      <w:r>
        <w:rPr>
          <w:rFonts w:eastAsiaTheme="majorEastAsia"/>
        </w:rPr>
        <w:t>Lo que nos daría unos valores de exactitud del 99%:</w:t>
      </w:r>
    </w:p>
    <w:p w:rsidR="00AD278B" w:rsidRPr="00897CE4" w:rsidRDefault="00747838" w:rsidP="00E078DE">
      <w:pPr>
        <w:jc w:val="center"/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"M:\\TFG\\confusion.xlsx!Hoja1!F9C10:F10C11" "" \a \p </w:instrText>
      </w:r>
      <w:r>
        <w:rPr>
          <w:rFonts w:eastAsiaTheme="majorEastAsia"/>
        </w:rPr>
        <w:fldChar w:fldCharType="separate"/>
      </w:r>
      <w:r w:rsidR="002F4169">
        <w:rPr>
          <w:rFonts w:eastAsiaTheme="majorEastAsia"/>
        </w:rPr>
        <w:object w:dxaOrig="2460" w:dyaOrig="615">
          <v:shape id="_x0000_i1027" type="#_x0000_t75" style="width:132.9pt;height:29.75pt">
            <v:imagedata r:id="rId11" o:title=""/>
          </v:shape>
        </w:object>
      </w:r>
      <w:r>
        <w:rPr>
          <w:rFonts w:eastAsiaTheme="majorEastAsia"/>
        </w:rPr>
        <w:fldChar w:fldCharType="end"/>
      </w:r>
    </w:p>
    <w:p w:rsidR="00725415" w:rsidRDefault="00E078DE" w:rsidP="00725415">
      <w:r>
        <w:t>Po</w:t>
      </w:r>
      <w:r w:rsidR="00D70B51">
        <w:t>r ello, s</w:t>
      </w:r>
      <w:r w:rsidR="00725415">
        <w:t xml:space="preserve">e utilizan </w:t>
      </w:r>
      <w:r w:rsidR="006D2D78">
        <w:t xml:space="preserve">en estos casos </w:t>
      </w:r>
      <w:r w:rsidR="00725415">
        <w:t>los indicadores clásicos en clasificación binaria: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Precisión (</w:t>
      </w:r>
      <w:r w:rsidRPr="00133165">
        <w:rPr>
          <w:i/>
        </w:rPr>
        <w:t>p</w:t>
      </w:r>
      <w:r>
        <w:t>recision)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Exhaustividad (</w:t>
      </w:r>
      <w:r w:rsidRPr="00133165">
        <w:rPr>
          <w:i/>
        </w:rPr>
        <w:t>r</w:t>
      </w:r>
      <w:r>
        <w:t>ecall)</w:t>
      </w:r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FD1EA5">
        <w:t>Precisión (p)</w:t>
      </w:r>
      <w:r>
        <w:t xml:space="preserve"> es</w:t>
      </w:r>
      <w:r w:rsidRPr="00FD1EA5">
        <w:t xml:space="preserve"> </w:t>
      </w:r>
      <w:r>
        <w:t xml:space="preserve">el </w:t>
      </w:r>
      <w:r w:rsidRPr="00FD1EA5">
        <w:t xml:space="preserve">porcentaje de los </w:t>
      </w:r>
      <w:r w:rsidRPr="00133165">
        <w:rPr>
          <w:i/>
        </w:rPr>
        <w:t>tuits</w:t>
      </w:r>
      <w:r w:rsidRPr="00FD1EA5">
        <w:t xml:space="preserve"> clasi</w:t>
      </w:r>
      <w:r>
        <w:t>ficados como pertenecientes a</w:t>
      </w:r>
      <w:r w:rsidR="006D2D78">
        <w:t xml:space="preserve"> </w:t>
      </w:r>
      <w:r>
        <w:t>l</w:t>
      </w:r>
      <w:r w:rsidR="006D2D78">
        <w:t>a</w:t>
      </w:r>
      <w:r>
        <w:t xml:space="preserve"> </w:t>
      </w:r>
      <w:r w:rsidR="006D2D78">
        <w:t xml:space="preserve">clase </w:t>
      </w:r>
      <w:r w:rsidR="005B34FF" w:rsidRPr="00FD1EA5">
        <w:t>que</w:t>
      </w:r>
      <w:r w:rsidRPr="00FD1EA5">
        <w:t xml:space="preserve"> </w:t>
      </w:r>
      <w:r w:rsidR="006D2D78">
        <w:t>verdaderamente son de dicha</w:t>
      </w:r>
      <w:r>
        <w:t xml:space="preserve"> </w:t>
      </w:r>
      <w:r w:rsidR="006D2D78">
        <w:t>clase</w:t>
      </w:r>
      <w:r>
        <w:t xml:space="preserve"> </w:t>
      </w:r>
      <w:r w:rsidRPr="00FD1EA5">
        <w:t>(aciertos).</w:t>
      </w:r>
    </w:p>
    <w:p w:rsidR="00D70B51" w:rsidRPr="00D70B51" w:rsidRDefault="00D70B51" w:rsidP="00D70B51">
      <w:pPr>
        <w:ind w:left="360"/>
        <w:jc w:val="left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FD1EA5">
        <w:t>Exhaustividad (r)</w:t>
      </w:r>
      <w:r>
        <w:t xml:space="preserve"> es el</w:t>
      </w:r>
      <w:r w:rsidRPr="00FD1EA5">
        <w:t xml:space="preserve"> porcentaje de los </w:t>
      </w:r>
      <w:r w:rsidRPr="00133165">
        <w:rPr>
          <w:i/>
        </w:rPr>
        <w:t>tuits</w:t>
      </w:r>
      <w:r w:rsidRPr="00FD1EA5">
        <w:t xml:space="preserve"> </w:t>
      </w:r>
      <w:r w:rsidR="006D2D78">
        <w:t>de la clase en cuestión</w:t>
      </w:r>
      <w:r w:rsidRPr="00FD1EA5">
        <w:t xml:space="preserve"> existentes en </w:t>
      </w:r>
      <w:r>
        <w:t xml:space="preserve">el </w:t>
      </w:r>
      <w:r w:rsidR="006D2D78">
        <w:t>conjunto</w:t>
      </w:r>
      <w:r>
        <w:t xml:space="preserve"> que han sido </w:t>
      </w:r>
      <w:r w:rsidR="006D2D78">
        <w:t>clasificados</w:t>
      </w:r>
      <w:r>
        <w:t xml:space="preserve"> correctamente.</w:t>
      </w:r>
    </w:p>
    <w:p w:rsidR="00D70B51" w:rsidRPr="00D70B51" w:rsidRDefault="00D70B51" w:rsidP="00D70B51">
      <w:pPr>
        <w:ind w:left="36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D70B51" w:rsidRPr="00FD1EA5" w:rsidRDefault="00D70B51" w:rsidP="004A3527">
      <w:pPr>
        <w:ind w:left="360"/>
        <w:jc w:val="left"/>
      </w:pPr>
    </w:p>
    <w:p w:rsidR="006D2D78" w:rsidRDefault="006D2D78" w:rsidP="00725415">
      <w:r>
        <w:lastRenderedPageBreak/>
        <w:t xml:space="preserve">Obsérvese que en el primer caso el denominador está constituido por el número </w:t>
      </w:r>
      <w:r w:rsidRPr="006D2D78">
        <w:t>de</w:t>
      </w:r>
      <w:r w:rsidRPr="006D2D78">
        <w:rPr>
          <w:i/>
        </w:rPr>
        <w:t xml:space="preserve"> tuits clasificados</w:t>
      </w:r>
      <w:r>
        <w:t xml:space="preserve"> en la clase + y en el segundo los </w:t>
      </w:r>
      <w:r w:rsidRPr="006D2D78">
        <w:rPr>
          <w:i/>
        </w:rPr>
        <w:t>realmente existentes</w:t>
      </w:r>
      <w:r>
        <w:t>.</w:t>
      </w:r>
    </w:p>
    <w:p w:rsidR="00725415" w:rsidRDefault="00725415" w:rsidP="00725415">
      <w:r w:rsidRPr="00FD1EA5">
        <w:t xml:space="preserve">Un valor p=1 nos dice que todos los elementos recuperados como relevantes, lo son, pero no nos dice nada acerca de si hemos recuperado todos los documentos relevantes (r). </w:t>
      </w:r>
    </w:p>
    <w:p w:rsidR="004A3527" w:rsidRDefault="004A3527" w:rsidP="00725415">
      <w:r>
        <w:t>En el ejemplo de los tuits, estos valores son nulos:</w:t>
      </w:r>
    </w:p>
    <w:p w:rsidR="004A3527" w:rsidRPr="00FD1EA5" w:rsidRDefault="00747838" w:rsidP="00725415">
      <w:r>
        <w:fldChar w:fldCharType="begin"/>
      </w:r>
      <w:r>
        <w:instrText xml:space="preserve"> LINK Excel.Sheet.12 "M:\\TFG\\confusion.xlsx!Hoja1!F17C4:F18C5" "" \a \p </w:instrText>
      </w:r>
      <w:r>
        <w:fldChar w:fldCharType="separate"/>
      </w:r>
      <w:r w:rsidR="002F4169">
        <w:object w:dxaOrig="2415" w:dyaOrig="555">
          <v:shape id="_x0000_i1028" type="#_x0000_t75" style="width:129.45pt;height:27pt">
            <v:imagedata r:id="rId12" o:title=""/>
          </v:shape>
        </w:object>
      </w:r>
      <w:r>
        <w:fldChar w:fldCharType="end"/>
      </w:r>
    </w:p>
    <w:p w:rsidR="00725415" w:rsidRPr="00FD1EA5" w:rsidRDefault="00725415" w:rsidP="00725415">
      <w:r w:rsidRPr="00FD1EA5">
        <w:t xml:space="preserve">Ambos indicadores se combinan equilibradamente mediante su </w:t>
      </w:r>
      <w:r w:rsidRPr="00FD1EA5">
        <w:rPr>
          <w:i/>
        </w:rPr>
        <w:t>media armónica</w:t>
      </w:r>
      <w:r w:rsidRPr="00FD1EA5">
        <w:t xml:space="preserve"> en F:</w:t>
      </w:r>
    </w:p>
    <w:p w:rsidR="00725415" w:rsidRPr="00FD1EA5" w:rsidRDefault="00725415" w:rsidP="0098217E">
      <w:pPr>
        <w:jc w:val="center"/>
      </w:pPr>
      <m:oMathPara>
        <m:oMath>
          <m:r>
            <w:rPr>
              <w:rFonts w:ascii="Cambria Math" w:hAnsi="Cambria Math"/>
            </w:rPr>
            <m:t>F(p,r)=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:rsidR="0098217E" w:rsidRDefault="0098217E" w:rsidP="0098217E">
      <w:pPr>
        <w:pStyle w:val="Ttulo2"/>
        <w:numPr>
          <w:ilvl w:val="1"/>
          <w:numId w:val="0"/>
        </w:numPr>
        <w:ind w:left="576" w:hanging="576"/>
      </w:pPr>
      <w:r>
        <w:t>Costes de mala clasificación. ROC y AUC.</w:t>
      </w:r>
    </w:p>
    <w:p w:rsidR="0098217E" w:rsidRDefault="0098217E" w:rsidP="0098217E">
      <w:r>
        <w:t xml:space="preserve">Una cuestión importante es cómo </w:t>
      </w:r>
      <w:r w:rsidRPr="001104EB">
        <w:rPr>
          <w:i/>
        </w:rPr>
        <w:t>equilibrar los falsos positivos y los falsos negativos</w:t>
      </w:r>
      <w:r>
        <w:t xml:space="preserve"> cuestión que, evidentemente, depende del </w:t>
      </w:r>
      <w:r w:rsidRPr="001104EB">
        <w:rPr>
          <w:i/>
        </w:rPr>
        <w:t>coste de las consecuencias de cada error</w:t>
      </w:r>
      <w:r>
        <w:t>.</w:t>
      </w:r>
    </w:p>
    <w:p w:rsidR="0098217E" w:rsidRPr="00FD1EA5" w:rsidRDefault="0098217E" w:rsidP="0098217E">
      <w:r>
        <w:t xml:space="preserve">Para esto </w:t>
      </w:r>
      <w:r>
        <w:t>puede utilizarse</w:t>
      </w:r>
      <w:r>
        <w:t xml:space="preserve"> un</w:t>
      </w:r>
      <w:r>
        <w:t>a</w:t>
      </w:r>
      <w:r>
        <w:t xml:space="preserve"> </w:t>
      </w:r>
      <w:r>
        <w:t>herramienta</w:t>
      </w:r>
      <w:r w:rsidRPr="00FD1EA5">
        <w:t xml:space="preserve"> que se está </w:t>
      </w:r>
      <w:r>
        <w:t>usan</w:t>
      </w:r>
      <w:r w:rsidRPr="00FD1EA5">
        <w:t>do cada vez más</w:t>
      </w:r>
      <w:r>
        <w:t>:</w:t>
      </w:r>
      <w:r w:rsidRPr="00FD1EA5">
        <w:t xml:space="preserve"> el </w:t>
      </w:r>
      <w:r w:rsidRPr="002F53A4">
        <w:rPr>
          <w:b/>
          <w:i/>
        </w:rPr>
        <w:t>ROC</w:t>
      </w:r>
      <w:r>
        <w:rPr>
          <w:rStyle w:val="Refdenotaalpie"/>
          <w:b/>
          <w:i/>
        </w:rPr>
        <w:footnoteReference w:id="1"/>
      </w:r>
      <w:r>
        <w:rPr>
          <w:b/>
          <w:i/>
        </w:rPr>
        <w:t xml:space="preserve"> </w:t>
      </w:r>
      <w:r w:rsidRPr="00FD1EA5">
        <w:t xml:space="preserve">habitual en Medicina y Biología </w:t>
      </w:r>
      <w:r>
        <w:t xml:space="preserve">donde las consecuencias </w:t>
      </w:r>
      <w:r w:rsidRPr="00FD1EA5">
        <w:t>de la detección de falsos positivos y negativos</w:t>
      </w:r>
      <w:r>
        <w:t xml:space="preserve"> puede tener costes muy diferentes</w:t>
      </w:r>
      <w:r w:rsidRPr="00FD1EA5">
        <w:t>.</w:t>
      </w:r>
    </w:p>
    <w:p w:rsidR="0098217E" w:rsidRPr="00FD1EA5" w:rsidRDefault="0098217E" w:rsidP="0098217E">
      <w:r w:rsidRPr="00FD1EA5">
        <w:t>Ahora a la exhaustividad -</w:t>
      </w:r>
      <w:r>
        <w:t xml:space="preserve"> </w:t>
      </w:r>
      <w:r w:rsidRPr="00FD1EA5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FD1EA5">
        <w:t xml:space="preserve">- se la denomina </w:t>
      </w:r>
      <w:r w:rsidRPr="004A3527">
        <w:rPr>
          <w:b/>
          <w:i/>
        </w:rPr>
        <w:t>sensibilidad</w:t>
      </w:r>
      <w:r w:rsidRPr="00FD1EA5">
        <w:rPr>
          <w:i/>
        </w:rPr>
        <w:t xml:space="preserve">. </w:t>
      </w:r>
      <w:r w:rsidRPr="00FD1EA5">
        <w:t>Como se ve</w:t>
      </w:r>
      <w:r w:rsidRPr="00FD1EA5">
        <w:rPr>
          <w:i/>
        </w:rPr>
        <w:t>,</w:t>
      </w:r>
      <w:r w:rsidRPr="00FD1EA5">
        <w:t xml:space="preserve"> es la </w:t>
      </w:r>
    </w:p>
    <w:p w:rsidR="0098217E" w:rsidRPr="00FD1EA5" w:rsidRDefault="0098217E" w:rsidP="0098217E">
      <m:oMathPara>
        <m:oMath>
          <m:r>
            <m:rPr>
              <m:sty m:val="p"/>
            </m:rPr>
            <w:rPr>
              <w:rFonts w:ascii="Cambria Math" w:hAnsi="Cambria Math"/>
            </w:rPr>
            <m:t>P⁡</m:t>
          </m:r>
          <m:r>
            <w:rPr>
              <w:rFonts w:ascii="Cambria Math" w:hAnsi="Cambria Math"/>
            </w:rPr>
            <m:t>(predicción_</m:t>
          </m:r>
          <m:r>
            <m:rPr>
              <m:sty m:val="bi"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)</m:t>
          </m:r>
        </m:oMath>
      </m:oMathPara>
    </w:p>
    <w:p w:rsidR="0098217E" w:rsidRPr="00FD1EA5" w:rsidRDefault="0098217E" w:rsidP="0098217E">
      <w:pPr>
        <w:rPr>
          <w:i/>
        </w:rPr>
      </w:pPr>
      <w:r w:rsidRPr="00FD1EA5">
        <w:t xml:space="preserve"> y se introduce la </w:t>
      </w:r>
      <w:r w:rsidRPr="004A3527">
        <w:rPr>
          <w:b/>
          <w:i/>
        </w:rPr>
        <w:t>especificidad</w:t>
      </w:r>
      <w:r w:rsidRPr="00FD1EA5">
        <w:rPr>
          <w:i/>
        </w:rPr>
        <w:t>:</w:t>
      </w:r>
    </w:p>
    <w:p w:rsidR="0098217E" w:rsidRPr="00FD1EA5" w:rsidRDefault="0098217E" w:rsidP="0098217E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</m:oMath>
      </m:oMathPara>
    </w:p>
    <w:p w:rsidR="0098217E" w:rsidRPr="00FD1EA5" w:rsidRDefault="0098217E" w:rsidP="0098217E">
      <w:r w:rsidRPr="00FD1EA5">
        <w:t>De manera que</w:t>
      </w:r>
    </w:p>
    <w:p w:rsidR="0098217E" w:rsidRPr="00FD1EA5" w:rsidRDefault="0098217E" w:rsidP="0098217E">
      <w:pPr>
        <w:jc w:val="center"/>
      </w:pPr>
      <m:oMathPara>
        <m:oMath>
          <m:r>
            <w:rPr>
              <w:rFonts w:ascii="Cambria Math" w:hAnsi="Cambria Math"/>
            </w:rPr>
            <m:t>1-especificidad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</m:oMath>
      </m:oMathPara>
    </w:p>
    <w:p w:rsidR="0098217E" w:rsidRDefault="0098217E" w:rsidP="0098217E">
      <w:pPr>
        <w:rPr>
          <w:i/>
        </w:rPr>
      </w:pPr>
      <w:r>
        <w:t>que</w:t>
      </w:r>
      <w:r>
        <w:t xml:space="preserve"> </w:t>
      </w:r>
      <w:r w:rsidRPr="00FD1EA5">
        <w:t>es</w:t>
      </w:r>
      <w:r>
        <w:t xml:space="preserve"> la </w:t>
      </w:r>
      <w:r>
        <w:rPr>
          <w:i/>
        </w:rPr>
        <w:t>proporción</w:t>
      </w:r>
      <w:r w:rsidRPr="005A3753">
        <w:rPr>
          <w:i/>
        </w:rPr>
        <w:t xml:space="preserve"> de falsos positivos</w:t>
      </w:r>
      <w:r w:rsidRPr="006707DE">
        <w:rPr>
          <w:b/>
          <w:i/>
        </w:rPr>
        <w:t xml:space="preserve"> fp</w:t>
      </w:r>
      <w:r>
        <w:rPr>
          <w:i/>
        </w:rPr>
        <w:t>:</w:t>
      </w:r>
    </w:p>
    <w:p w:rsidR="0098217E" w:rsidRPr="00FD1EA5" w:rsidRDefault="0098217E" w:rsidP="0098217E"/>
    <w:p w:rsidR="0098217E" w:rsidRPr="0098217E" w:rsidRDefault="0098217E" w:rsidP="0098217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P⁡</m:t>
          </m:r>
          <m:r>
            <w:rPr>
              <w:rFonts w:ascii="Cambria Math" w:hAnsi="Cambria Math"/>
            </w:rPr>
            <m:t>(predicción_</m:t>
          </m:r>
          <m:r>
            <m:rPr>
              <m:sty m:val="bi"/>
            </m:rPr>
            <w:rPr>
              <w:rFonts w:ascii="Cambria Math" w:hAnsi="Cambria Math"/>
            </w:rPr>
            <m:t>TRUE</m:t>
          </m:r>
          <m: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>)</m:t>
          </m:r>
        </m:oMath>
      </m:oMathPara>
    </w:p>
    <w:p w:rsidR="0098217E" w:rsidRPr="00FD1EA5" w:rsidRDefault="0098217E" w:rsidP="0098217E">
      <w:pPr>
        <w:jc w:val="center"/>
      </w:pPr>
    </w:p>
    <w:p w:rsidR="0098217E" w:rsidRDefault="0098217E" w:rsidP="0098217E">
      <w:r w:rsidRPr="00FD1EA5">
        <w:t>Por el teorema de la probabilidad total sabemos que:</w:t>
      </w:r>
    </w:p>
    <w:p w:rsidR="0098217E" w:rsidRPr="00FD1EA5" w:rsidRDefault="0098217E" w:rsidP="0098217E"/>
    <w:p w:rsidR="0098217E" w:rsidRPr="00FD1EA5" w:rsidRDefault="0098217E" w:rsidP="0098217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predicción_T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predicción_T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predicción_T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98217E" w:rsidRPr="00761852" w:rsidRDefault="0098217E" w:rsidP="0098217E">
      <m:oMathPara>
        <m:oMath>
          <m:r>
            <m:rPr>
              <m:sty m:val="bi"/>
            </m:rPr>
            <w:rPr>
              <w:rFonts w:ascii="Cambria Math" w:hAnsi="Cambria Math"/>
            </w:rPr>
            <m:t>=tp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>∙[1-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=</m:t>
          </m:r>
        </m:oMath>
      </m:oMathPara>
    </w:p>
    <w:tbl>
      <w:tblPr>
        <w:tblStyle w:val="Tablaconcuadrcula"/>
        <w:tblW w:w="0" w:type="auto"/>
        <w:tblInd w:w="2896" w:type="dxa"/>
        <w:tblLook w:val="04A0" w:firstRow="1" w:lastRow="0" w:firstColumn="1" w:lastColumn="0" w:noHBand="0" w:noVBand="1"/>
      </w:tblPr>
      <w:tblGrid>
        <w:gridCol w:w="2835"/>
        <w:gridCol w:w="992"/>
      </w:tblGrid>
      <w:tr w:rsidR="0098217E" w:rsidTr="0098217E">
        <w:trPr>
          <w:trHeight w:val="35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8217E" w:rsidRDefault="0098217E" w:rsidP="000D5AA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π+ν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π+ν</m:t>
                    </m:r>
                  </m:den>
                </m:f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98217E" w:rsidRPr="004A3527" w:rsidRDefault="0098217E" w:rsidP="000D5AA1">
            <w:pPr>
              <w:pStyle w:val="Descripcin"/>
              <w:spacing w:before="120"/>
            </w:pPr>
            <w:bookmarkStart w:id="1" w:name="_Ref482082381"/>
            <w:r>
              <w:t xml:space="preserve">Ec. ( </w:t>
            </w:r>
            <w:r>
              <w:fldChar w:fldCharType="begin"/>
            </w:r>
            <w:r>
              <w:instrText xml:space="preserve"> SEQ Ec._(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  <w:bookmarkEnd w:id="1"/>
          </w:p>
          <w:p w:rsidR="0098217E" w:rsidRDefault="0098217E" w:rsidP="000D5AA1">
            <w:pPr>
              <w:keepNext/>
            </w:pPr>
          </w:p>
        </w:tc>
      </w:tr>
    </w:tbl>
    <w:p w:rsidR="0098217E" w:rsidRDefault="0098217E" w:rsidP="0098217E">
      <w:r>
        <w:t>S</w:t>
      </w:r>
      <w:r w:rsidRPr="00FD1EA5">
        <w:t xml:space="preserve">i dibujamos el gráfico que relaciona ambas magnitudes, obtenemos la </w:t>
      </w:r>
      <w:r>
        <w:fldChar w:fldCharType="begin"/>
      </w:r>
      <w:r>
        <w:instrText xml:space="preserve"> REF _Ref481581546 \h </w:instrText>
      </w:r>
      <w:r>
        <w:fldChar w:fldCharType="separate"/>
      </w:r>
      <w:r>
        <w:t xml:space="preserve">Fig. </w:t>
      </w:r>
      <w:r>
        <w:rPr>
          <w:noProof/>
        </w:rPr>
        <w:t>3</w:t>
      </w:r>
      <w:r>
        <w:fldChar w:fldCharType="end"/>
      </w:r>
      <w:r>
        <w:t xml:space="preserve"> </w:t>
      </w:r>
      <w:bookmarkStart w:id="2" w:name="_GoBack"/>
      <w:bookmarkEnd w:id="2"/>
      <w:r w:rsidRPr="00FD1EA5">
        <w:t xml:space="preserve">en </w:t>
      </w:r>
      <w:r w:rsidR="002F4169" w:rsidRPr="00FD1EA5">
        <w:t>que AUC</w:t>
      </w:r>
      <w:r w:rsidRPr="007430C9">
        <w:rPr>
          <w:b/>
        </w:rPr>
        <w:t xml:space="preserve"> </w:t>
      </w:r>
      <w:r w:rsidRPr="00FD1EA5">
        <w:t xml:space="preserve">es el </w:t>
      </w:r>
      <w:r w:rsidRPr="00FD1EA5">
        <w:rPr>
          <w:i/>
        </w:rPr>
        <w:t>área bajo la curva</w:t>
      </w:r>
      <w:r w:rsidRPr="00FD1EA5">
        <w:t xml:space="preserve"> que puede tomar valores entre 0 (no acierta nunca) y 1 (la predicción acierta siempre).</w:t>
      </w:r>
    </w:p>
    <w:p w:rsidR="0098217E" w:rsidRDefault="0098217E" w:rsidP="0098217E">
      <w:pPr>
        <w:jc w:val="center"/>
      </w:pPr>
      <w:r>
        <w:rPr>
          <w:noProof/>
        </w:rPr>
        <w:drawing>
          <wp:inline distT="0" distB="0" distL="0" distR="0" wp14:anchorId="04DBD7DA" wp14:editId="00F4728F">
            <wp:extent cx="3613785" cy="3112770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7E" w:rsidRDefault="0098217E" w:rsidP="0098217E">
      <w:pPr>
        <w:pStyle w:val="Descripcin"/>
        <w:jc w:val="center"/>
      </w:pPr>
      <w:bookmarkStart w:id="3" w:name="_Ref481581546"/>
      <w:bookmarkStart w:id="4" w:name="_Toc482098071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: </w:t>
      </w:r>
      <w:r w:rsidRPr="004709C1">
        <w:t>ROC</w:t>
      </w:r>
      <w:bookmarkEnd w:id="4"/>
    </w:p>
    <w:p w:rsidR="0098217E" w:rsidRDefault="0098217E" w:rsidP="0098217E">
      <w:r>
        <w:t xml:space="preserve">La </w:t>
      </w:r>
      <w:r>
        <w:fldChar w:fldCharType="begin"/>
      </w:r>
      <w:r>
        <w:instrText xml:space="preserve"> REF _Ref482082980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REF _Ref482082984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fldChar w:fldCharType="end"/>
      </w:r>
      <w:r>
        <w:t xml:space="preserve"> pone de manifiesto que mientras que los indicadores usuales (</w:t>
      </w:r>
      <w:r w:rsidRPr="002E5D26">
        <w:rPr>
          <w:i/>
        </w:rPr>
        <w:t>p</w:t>
      </w:r>
      <w:r>
        <w:t xml:space="preserve">, </w:t>
      </w:r>
      <w:r w:rsidRPr="002E5D26">
        <w:rPr>
          <w:i/>
        </w:rPr>
        <w:t>r</w:t>
      </w:r>
      <w:r>
        <w:t>) usan valores de ambas filas de la matriz, los de ROC usan valores de la misma fila.</w:t>
      </w:r>
    </w:p>
    <w:p w:rsidR="0098217E" w:rsidRDefault="0098217E" w:rsidP="0098217E">
      <w:r>
        <w:t xml:space="preserve">Por tanto, en el primer caso cuando cambian las proporciones de </w:t>
      </w:r>
      <w:r w:rsidR="002F4169">
        <w:t>las clases</w:t>
      </w:r>
      <w:r>
        <w:t xml:space="preserve"> estas medidas cambian aunque no lo haga el rendimiento del clasificador, cosa que no sucede en ROC como se ve en la </w:t>
      </w:r>
      <w:r>
        <w:fldChar w:fldCharType="begin"/>
      </w:r>
      <w:r>
        <w:instrText xml:space="preserve"> REF _Ref482085220 \h </w:instrText>
      </w:r>
      <w:r>
        <w:fldChar w:fldCharType="separate"/>
      </w:r>
      <w:r>
        <w:t xml:space="preserve">Tabla </w:t>
      </w:r>
      <w:r>
        <w:rPr>
          <w:noProof/>
        </w:rPr>
        <w:t>3</w:t>
      </w:r>
      <w:r>
        <w:fldChar w:fldCharType="end"/>
      </w:r>
      <w:r>
        <w:t xml:space="preserve"> al cambiar la proporción de clases.</w:t>
      </w:r>
    </w:p>
    <w:p w:rsidR="0098217E" w:rsidRDefault="0098217E" w:rsidP="0098217E">
      <w:r>
        <w:object w:dxaOrig="15719" w:dyaOrig="3313">
          <v:shape id="_x0000_i1042" type="#_x0000_t75" style="width:441.7pt;height:92.75pt" o:ole="">
            <v:imagedata r:id="rId14" o:title=""/>
          </v:shape>
          <o:OLEObject Type="Link" ProgID="Excel.Sheet.12" ShapeID="_x0000_i1042" DrawAspect="Content" r:id="rId15" UpdateMode="Always">
            <o:LinkType>EnhancedMetaFile</o:LinkType>
            <o:LockedField>false</o:LockedField>
          </o:OLEObject>
        </w:object>
      </w:r>
    </w:p>
    <w:p w:rsidR="0098217E" w:rsidRDefault="0098217E" w:rsidP="0098217E">
      <w:pPr>
        <w:pStyle w:val="Descripcin"/>
        <w:jc w:val="center"/>
      </w:pPr>
      <w:bookmarkStart w:id="5" w:name="_Ref48208522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E7B8A">
        <w:rPr>
          <w:noProof/>
        </w:rPr>
        <w:t>3</w:t>
      </w:r>
      <w:r>
        <w:fldChar w:fldCharType="end"/>
      </w:r>
      <w:bookmarkEnd w:id="5"/>
      <w:r>
        <w:t>: Métrica ROC frente a Métrica Convencional</w:t>
      </w:r>
    </w:p>
    <w:p w:rsidR="0098217E" w:rsidRPr="0098217E" w:rsidRDefault="0098217E" w:rsidP="0098217E">
      <w:pPr>
        <w:pStyle w:val="Ttulo2"/>
      </w:pPr>
      <w:r w:rsidRPr="0098217E">
        <w:t>Clasificadores discretos y por puntuación (‘scoring’).</w:t>
      </w:r>
    </w:p>
    <w:p w:rsidR="0098217E" w:rsidRDefault="0098217E" w:rsidP="0098217E">
      <w:r>
        <w:t xml:space="preserve">Un clasificador mapea las </w:t>
      </w:r>
      <w:r w:rsidRPr="009705BC">
        <w:rPr>
          <w:i/>
        </w:rPr>
        <w:t>instancias</w:t>
      </w:r>
      <w:r>
        <w:t xml:space="preserve"> en </w:t>
      </w:r>
      <w:r>
        <w:rPr>
          <w:i/>
        </w:rPr>
        <w:t>clases.</w:t>
      </w:r>
      <w:r>
        <w:t xml:space="preserve"> </w:t>
      </w:r>
    </w:p>
    <w:p w:rsidR="0098217E" w:rsidRDefault="0098217E" w:rsidP="0098217E">
      <w:r>
        <w:t>Existen dos tipos de clasificadores según el tipo de salida que proporcionan:</w:t>
      </w:r>
    </w:p>
    <w:p w:rsidR="0098217E" w:rsidRDefault="0098217E" w:rsidP="0098217E">
      <w:pPr>
        <w:pStyle w:val="Prrafodelista"/>
        <w:numPr>
          <w:ilvl w:val="0"/>
          <w:numId w:val="6"/>
        </w:numPr>
        <w:ind w:left="720"/>
      </w:pPr>
      <w:r>
        <w:t>discreta: proporcionan solo una etiqueta que indica la clase predicha para la instancia (p.e. árboles de decisión) y</w:t>
      </w:r>
    </w:p>
    <w:p w:rsidR="0098217E" w:rsidRDefault="0098217E" w:rsidP="0098217E">
      <w:pPr>
        <w:pStyle w:val="Prrafodelista"/>
        <w:numPr>
          <w:ilvl w:val="0"/>
          <w:numId w:val="6"/>
        </w:numPr>
        <w:ind w:left="720"/>
      </w:pPr>
      <w:r>
        <w:t xml:space="preserve">continua: estimación de la </w:t>
      </w:r>
      <w:r w:rsidRPr="009705BC">
        <w:rPr>
          <w:i/>
        </w:rPr>
        <w:t xml:space="preserve">probabilidad </w:t>
      </w:r>
      <w:r>
        <w:t xml:space="preserve">(entre 0 y 1) de pertenecer a una clase o un </w:t>
      </w:r>
      <w:r w:rsidRPr="00DF5FE9">
        <w:rPr>
          <w:i/>
        </w:rPr>
        <w:t>puntaje</w:t>
      </w:r>
      <w:r>
        <w:t xml:space="preserve">. La asignación a una u otra clase se hace depender de un </w:t>
      </w:r>
      <w:r w:rsidRPr="007E0DA9">
        <w:rPr>
          <w:i/>
        </w:rPr>
        <w:t>umbral</w:t>
      </w:r>
      <w:r>
        <w:t xml:space="preserve"> de corte para dicho puntaje. Los métodos </w:t>
      </w:r>
      <w:r w:rsidRPr="007E0DA9">
        <w:rPr>
          <w:i/>
        </w:rPr>
        <w:t>bayesianos</w:t>
      </w:r>
      <w:r>
        <w:t xml:space="preserve"> y </w:t>
      </w:r>
      <w:r w:rsidRPr="007E0DA9">
        <w:rPr>
          <w:i/>
        </w:rPr>
        <w:t>redes neuronales</w:t>
      </w:r>
      <w:r>
        <w:t xml:space="preserve"> pertenecen a este segundo tipo.</w:t>
      </w:r>
    </w:p>
    <w:p w:rsidR="0098217E" w:rsidRDefault="0098217E" w:rsidP="0098217E">
      <w:r>
        <w:t xml:space="preserve">Un clasificador </w:t>
      </w:r>
      <w:r w:rsidRPr="00485468">
        <w:rPr>
          <w:i/>
        </w:rPr>
        <w:t>discreto</w:t>
      </w:r>
      <w:r>
        <w:t xml:space="preserve"> proporciona solo </w:t>
      </w:r>
      <w:r w:rsidRPr="00485468">
        <w:rPr>
          <w:i/>
        </w:rPr>
        <w:t>un punto</w:t>
      </w:r>
      <w:r>
        <w:t xml:space="preserve"> en el diagrama ROC y </w:t>
      </w:r>
      <w:r w:rsidRPr="00485468">
        <w:rPr>
          <w:i/>
        </w:rPr>
        <w:t>una sola matriz de confusión,</w:t>
      </w:r>
      <w:r>
        <w:t xml:space="preserve"> mientras que otro que funcione </w:t>
      </w:r>
      <w:r w:rsidRPr="00485468">
        <w:rPr>
          <w:i/>
        </w:rPr>
        <w:t>por puntuación</w:t>
      </w:r>
      <w:r>
        <w:t xml:space="preserve"> proporcionará un </w:t>
      </w:r>
      <w:r w:rsidRPr="00485468">
        <w:rPr>
          <w:i/>
        </w:rPr>
        <w:t>punto</w:t>
      </w:r>
      <w:r>
        <w:t xml:space="preserve"> y una </w:t>
      </w:r>
      <w:r w:rsidRPr="00485468">
        <w:rPr>
          <w:i/>
        </w:rPr>
        <w:t>matriz de confusión</w:t>
      </w:r>
      <w:r>
        <w:t xml:space="preserve"> diferente </w:t>
      </w:r>
      <w:r w:rsidRPr="00485468">
        <w:rPr>
          <w:i/>
        </w:rPr>
        <w:t>para cada umbral</w:t>
      </w:r>
      <w:r>
        <w:t>.</w:t>
      </w:r>
    </w:p>
    <w:p w:rsidR="0098217E" w:rsidRDefault="0098217E" w:rsidP="0098217E">
      <w:r>
        <w:rPr>
          <w:noProof/>
        </w:rPr>
        <w:drawing>
          <wp:inline distT="0" distB="0" distL="0" distR="0" wp14:anchorId="6205893B" wp14:editId="096E7E5E">
            <wp:extent cx="4607170" cy="1868445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79" cy="189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7E" w:rsidRDefault="0098217E" w:rsidP="0098217E">
      <w:pPr>
        <w:pStyle w:val="Descripcin"/>
        <w:jc w:val="center"/>
      </w:pPr>
      <w:bookmarkStart w:id="6" w:name="_Toc482098081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Matrices de Confusión para Umbrales Distintos</w:t>
      </w:r>
      <w:bookmarkEnd w:id="6"/>
    </w:p>
    <w:p w:rsidR="0098217E" w:rsidRDefault="0098217E" w:rsidP="0098217E">
      <w:r>
        <w:t xml:space="preserve">En efecto, si llamamos </w:t>
      </w:r>
      <m:oMath>
        <m:r>
          <w:rPr>
            <w:rFonts w:ascii="Cambria Math" w:hAnsi="Cambria Math"/>
          </w:rPr>
          <m:t>umbral=θ∈R</m:t>
        </m:r>
      </m:oMath>
      <w:r>
        <w:t xml:space="preserve"> tendremos que </w:t>
      </w:r>
    </w:p>
    <w:p w:rsidR="0098217E" w:rsidRPr="00B869D8" w:rsidRDefault="0098217E" w:rsidP="0098217E"/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5812"/>
        <w:gridCol w:w="1269"/>
      </w:tblGrid>
      <w:tr w:rsidR="0098217E" w:rsidTr="003E7B8A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217E" w:rsidRDefault="0098217E" w:rsidP="000D5AA1">
            <w:pPr>
              <w:ind w:left="57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=fp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FP(θ)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98217E" w:rsidRPr="00C17B2B" w:rsidRDefault="0098217E" w:rsidP="000D5AA1">
            <w:pPr>
              <w:pStyle w:val="Descripcin"/>
              <w:spacing w:before="240"/>
            </w:pPr>
            <w:bookmarkStart w:id="7" w:name="_Ref482099686"/>
            <w:r>
              <w:t>Ec. (</w:t>
            </w:r>
            <w:r>
              <w:fldChar w:fldCharType="begin"/>
            </w:r>
            <w:r>
              <w:instrText xml:space="preserve"> SEQ Ec._(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  <w:bookmarkEnd w:id="7"/>
          </w:p>
          <w:p w:rsidR="0098217E" w:rsidRDefault="0098217E" w:rsidP="000D5AA1">
            <w:pPr>
              <w:keepNext/>
            </w:pPr>
          </w:p>
        </w:tc>
      </w:tr>
    </w:tbl>
    <w:p w:rsidR="0098217E" w:rsidRDefault="0098217E" w:rsidP="0098217E"/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5812"/>
        <w:gridCol w:w="1269"/>
      </w:tblGrid>
      <w:tr w:rsidR="0098217E" w:rsidTr="003E7B8A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217E" w:rsidRDefault="0098217E" w:rsidP="000D5AA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=tp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TP(θ)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=1-fn(θ)</m:t>
                </m:r>
              </m:oMath>
            </m:oMathPara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</w:tcPr>
          <w:p w:rsidR="0098217E" w:rsidRDefault="0098217E" w:rsidP="000D5AA1">
            <w:pPr>
              <w:pStyle w:val="Descripcin"/>
              <w:spacing w:before="240"/>
            </w:pPr>
            <w:bookmarkStart w:id="8" w:name="_Ref482099693"/>
            <w:r>
              <w:t>Ec. (</w:t>
            </w:r>
            <w:r>
              <w:fldChar w:fldCharType="begin"/>
            </w:r>
            <w:r>
              <w:instrText xml:space="preserve"> SEQ Ec._(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  <w:bookmarkEnd w:id="8"/>
          </w:p>
        </w:tc>
      </w:tr>
    </w:tbl>
    <w:p w:rsidR="0098217E" w:rsidRPr="00091B1A" w:rsidRDefault="0098217E" w:rsidP="0098217E">
      <w:r>
        <w:t>Ecuaci</w:t>
      </w:r>
      <w:r w:rsidR="003E7B8A">
        <w:t>ones</w:t>
      </w:r>
      <w:r>
        <w:t xml:space="preserve"> paramétrica</w:t>
      </w:r>
      <w:r w:rsidR="003E7B8A">
        <w:t>s</w:t>
      </w:r>
      <w:r>
        <w:t xml:space="preserve"> </w:t>
      </w:r>
      <w:r w:rsidR="003E7B8A">
        <w:t>de l</w:t>
      </w:r>
      <w:r>
        <w:t>a curva ROC al variar los valores del umbral.</w:t>
      </w:r>
    </w:p>
    <w:p w:rsidR="0098217E" w:rsidRDefault="0098217E" w:rsidP="0098217E">
      <w:r>
        <w:t xml:space="preserve">Entre </w:t>
      </w:r>
      <w:r>
        <w:fldChar w:fldCharType="begin"/>
      </w:r>
      <w:r>
        <w:instrText xml:space="preserve"> REF _Ref482099686 \h </w:instrText>
      </w:r>
      <w:r>
        <w:fldChar w:fldCharType="separate"/>
      </w:r>
      <w:r>
        <w:t>Ec. 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_Ref482099693 \h </w:instrText>
      </w:r>
      <w:r>
        <w:fldChar w:fldCharType="separate"/>
      </w:r>
      <w:r>
        <w:t>Ec. 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 podemos eliminar </w:t>
      </w:r>
      <w:r w:rsidR="002F4169">
        <w:t>θ y</w:t>
      </w:r>
      <w:r>
        <w:t xml:space="preserve"> obtenemos la ecuación de la </w:t>
      </w:r>
      <w:r w:rsidRPr="00407702">
        <w:rPr>
          <w:i/>
        </w:rPr>
        <w:t>ROC</w:t>
      </w:r>
      <w:r>
        <w:t>:</w:t>
      </w:r>
    </w:p>
    <w:p w:rsidR="0098217E" w:rsidRDefault="0098217E" w:rsidP="009821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=F[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3E7B8A" w:rsidRDefault="0098217E" w:rsidP="0098217E">
      <w:r>
        <w:t xml:space="preserve">Si planteamos lo anterior en términos de </w:t>
      </w:r>
      <w:r w:rsidRPr="003E7B8A">
        <w:rPr>
          <w:i/>
        </w:rPr>
        <w:t>contraste de hipótesis</w:t>
      </w:r>
      <w:r>
        <w:t xml:space="preserve"> </w:t>
      </w:r>
      <w:r w:rsidR="003E7B8A">
        <w:t>para</w:t>
      </w:r>
      <w:r>
        <w:t xml:space="preserve"> contrasta</w:t>
      </w:r>
      <w:r w:rsidR="003E7B8A">
        <w:t>r</w:t>
      </w:r>
      <w:r>
        <w:t xml:space="preserve"> que una instancia pertenece a la clase +, </w:t>
      </w:r>
    </w:p>
    <w:p w:rsidR="003E7B8A" w:rsidRDefault="0098217E" w:rsidP="003E7B8A">
      <w:pPr>
        <w:pStyle w:val="Prrafodelista"/>
        <w:numPr>
          <w:ilvl w:val="0"/>
          <w:numId w:val="2"/>
        </w:numPr>
      </w:pPr>
      <w:r w:rsidRPr="003E7B8A">
        <w:rPr>
          <w:i/>
        </w:rPr>
        <w:t>fp</w:t>
      </w:r>
      <w:r>
        <w:t xml:space="preserve"> sería el error tipo I y </w:t>
      </w:r>
    </w:p>
    <w:p w:rsidR="0098217E" w:rsidRPr="00C17B2B" w:rsidRDefault="0098217E" w:rsidP="003E7B8A">
      <w:pPr>
        <w:pStyle w:val="Prrafodelista"/>
        <w:numPr>
          <w:ilvl w:val="0"/>
          <w:numId w:val="2"/>
        </w:numPr>
      </w:pPr>
      <w:r w:rsidRPr="003E7B8A">
        <w:rPr>
          <w:i/>
        </w:rPr>
        <w:t xml:space="preserve">tp </w:t>
      </w:r>
      <w:r>
        <w:t>el error tipo II.</w:t>
      </w:r>
    </w:p>
    <w:p w:rsidR="0098217E" w:rsidRDefault="003E7B8A" w:rsidP="0098217E">
      <w:r>
        <w:t xml:space="preserve">Un </w:t>
      </w:r>
      <w:r w:rsidR="0098217E">
        <w:t xml:space="preserve">problema </w:t>
      </w:r>
      <w:r>
        <w:t xml:space="preserve">frecuente es el </w:t>
      </w:r>
      <w:r w:rsidR="0098217E">
        <w:t xml:space="preserve">de </w:t>
      </w:r>
      <w:r w:rsidR="0098217E" w:rsidRPr="003E7B8A">
        <w:rPr>
          <w:i/>
        </w:rPr>
        <w:t>seleccionar el umbral de clasificación</w:t>
      </w:r>
      <w:r w:rsidR="0098217E">
        <w:t xml:space="preserve"> que, cuando no se toman en cuenta costes diferentes, puede enfocarse bien maximizando </w:t>
      </w:r>
      <w:r w:rsidR="0098217E" w:rsidRPr="00EC69E7">
        <w:rPr>
          <w:i/>
        </w:rPr>
        <w:t>F</w:t>
      </w:r>
      <w:r w:rsidR="0098217E">
        <w:t xml:space="preserve"> [</w:t>
      </w:r>
      <w:r w:rsidR="0098217E">
        <w:fldChar w:fldCharType="begin"/>
      </w:r>
      <w:r w:rsidR="0098217E">
        <w:instrText xml:space="preserve"> REF _Ref482024918 \h </w:instrText>
      </w:r>
      <w:r w:rsidR="0098217E">
        <w:fldChar w:fldCharType="separate"/>
      </w:r>
      <w:r w:rsidR="0098217E">
        <w:t>Ec. (</w:t>
      </w:r>
      <w:r w:rsidR="0098217E">
        <w:rPr>
          <w:noProof/>
        </w:rPr>
        <w:t>1</w:t>
      </w:r>
      <w:r w:rsidR="0098217E">
        <w:t>)</w:t>
      </w:r>
      <w:r w:rsidR="0098217E">
        <w:fldChar w:fldCharType="end"/>
      </w:r>
      <w:r w:rsidR="0098217E">
        <w:t xml:space="preserve">] o utilizando el ROC de manera que la </w:t>
      </w:r>
      <w:r w:rsidR="0098217E" w:rsidRPr="006C48EF">
        <w:rPr>
          <w:i/>
        </w:rPr>
        <w:t>AUC</w:t>
      </w:r>
      <w:r w:rsidR="0098217E">
        <w:t xml:space="preserve"> </w:t>
      </w:r>
      <w:r w:rsidR="0098217E" w:rsidRPr="006C48EF">
        <w:rPr>
          <w:i/>
        </w:rPr>
        <w:t>sea lo mayor posible</w:t>
      </w:r>
      <w:r w:rsidR="0098217E">
        <w:t>.</w:t>
      </w:r>
    </w:p>
    <w:p w:rsidR="0098217E" w:rsidRDefault="0098217E" w:rsidP="0098217E">
      <w:r w:rsidRPr="003E7B8A">
        <w:rPr>
          <w:i/>
        </w:rPr>
        <w:t xml:space="preserve">Si los costes son diferentes </w:t>
      </w:r>
      <w:r w:rsidR="003E7B8A">
        <w:rPr>
          <w:i/>
        </w:rPr>
        <w:t>e</w:t>
      </w:r>
      <w:r w:rsidRPr="003E7B8A">
        <w:rPr>
          <w:i/>
        </w:rPr>
        <w:t xml:space="preserve"> </w:t>
      </w:r>
      <w:r w:rsidR="003E7B8A">
        <w:rPr>
          <w:i/>
        </w:rPr>
        <w:t>identificables</w:t>
      </w:r>
      <w:r>
        <w:t>, cabe construir una curva de costes a partir de la ROC y seleccionar el umbral de coste mínimo (</w:t>
      </w:r>
      <w:r>
        <w:fldChar w:fldCharType="begin"/>
      </w:r>
      <w:r>
        <w:instrText xml:space="preserve"> REF _Ref482093687 \h </w:instrText>
      </w:r>
      <w:r>
        <w:fldChar w:fldCharType="separate"/>
      </w:r>
      <w:r>
        <w:t xml:space="preserve">Fig. </w:t>
      </w:r>
      <w:r>
        <w:rPr>
          <w:noProof/>
        </w:rPr>
        <w:t>14</w:t>
      </w:r>
      <w:r>
        <w:fldChar w:fldCharType="end"/>
      </w:r>
      <w:r>
        <w:fldChar w:fldCharType="begin"/>
      </w:r>
      <w:r>
        <w:instrText xml:space="preserve"> REF _Ref482093687 \h </w:instrText>
      </w:r>
      <w:r>
        <w:fldChar w:fldCharType="separate"/>
      </w:r>
      <w:r>
        <w:fldChar w:fldCharType="end"/>
      </w:r>
      <w:r>
        <w:t>).</w:t>
      </w:r>
    </w:p>
    <w:p w:rsidR="0098217E" w:rsidRDefault="0098217E" w:rsidP="0098217E">
      <w:r>
        <w:rPr>
          <w:noProof/>
        </w:rPr>
        <w:drawing>
          <wp:inline distT="0" distB="0" distL="0" distR="0" wp14:anchorId="6EF29F22" wp14:editId="6CCFC406">
            <wp:extent cx="4870939" cy="2570105"/>
            <wp:effectExtent l="0" t="0" r="635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81" cy="262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8A" w:rsidRDefault="003E7B8A" w:rsidP="003E7B8A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: </w:t>
      </w:r>
      <w:r w:rsidRPr="00304575">
        <w:t>ROC y Curva de Costo</w:t>
      </w:r>
    </w:p>
    <w:p w:rsidR="0098217E" w:rsidRDefault="0098217E" w:rsidP="0098217E">
      <w:r>
        <w:t>Para ello tendremos en cuenta que</w:t>
      </w:r>
      <w:r w:rsidR="003E7B8A">
        <w:t>:</w:t>
      </w:r>
    </w:p>
    <w:p w:rsidR="0098217E" w:rsidRPr="003E7B8A" w:rsidRDefault="0098217E" w:rsidP="0098217E">
      <w:pPr>
        <w:jc w:val="center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fp</m:t>
              </m:r>
            </m:sub>
          </m:sSub>
          <m:r>
            <w:rPr>
              <w:rFonts w:ascii="Cambria Math" w:hAnsi="Cambria Math"/>
            </w:rPr>
            <m:t>∙fp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∙[1-tp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3E7B8A" w:rsidRPr="008E50B7" w:rsidRDefault="003E7B8A" w:rsidP="0098217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ROC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fp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ROC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</w:rPr>
            <m:t>∙[1-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ROC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98217E" w:rsidRDefault="0098217E" w:rsidP="0098217E">
      <w:r>
        <w:t xml:space="preserve">No obstante, es difícil </w:t>
      </w:r>
      <w:r w:rsidR="00D13CA6">
        <w:t>definir</w:t>
      </w:r>
      <w:r>
        <w:t xml:space="preserve"> una relación de costes explícita y, por ello, una alternativa es examinar las matrices de confusión de umbrales diferentes y seleccionar entre ellos aquel que más nos interese.</w:t>
      </w:r>
    </w:p>
    <w:p w:rsidR="0098217E" w:rsidRDefault="0098217E" w:rsidP="0098217E">
      <w:r>
        <w:t xml:space="preserve">P.e. entre los resultados de un clasificador con dos umbrales distintos y </w:t>
      </w:r>
      <w:r w:rsidR="00D13CA6">
        <w:t xml:space="preserve">con las siguientes </w:t>
      </w:r>
      <w:r>
        <w:t>matrices de confusión:</w:t>
      </w:r>
    </w:p>
    <w:p w:rsidR="0098217E" w:rsidRDefault="0098217E" w:rsidP="0098217E">
      <w:pPr>
        <w:rPr>
          <w:noProof/>
        </w:rPr>
      </w:pPr>
      <w:r>
        <w:rPr>
          <w:noProof/>
        </w:rPr>
        <w:object w:dxaOrig="12555" w:dyaOrig="3660">
          <v:shape id="_x0000_i1039" type="#_x0000_t75" style="width:415.4pt;height:120.45pt" o:ole="">
            <v:imagedata r:id="rId18" o:title=""/>
          </v:shape>
          <o:OLEObject Type="Embed" ProgID="PBrush" ShapeID="_x0000_i1039" DrawAspect="Content" ObjectID="_1555844827" r:id="rId19"/>
        </w:object>
      </w:r>
    </w:p>
    <w:p w:rsidR="0098217E" w:rsidRDefault="0098217E" w:rsidP="0098217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E7B8A">
        <w:rPr>
          <w:noProof/>
        </w:rPr>
        <w:t>5</w:t>
      </w:r>
      <w:r>
        <w:fldChar w:fldCharType="end"/>
      </w:r>
      <w:r>
        <w:t xml:space="preserve">: </w:t>
      </w:r>
      <w:r w:rsidRPr="00E50F46">
        <w:t>Comparación de Umbrales</w:t>
      </w:r>
    </w:p>
    <w:p w:rsidR="0098217E" w:rsidRPr="00A347A2" w:rsidRDefault="0098217E" w:rsidP="0098217E">
      <w:r>
        <w:t xml:space="preserve">Es probable que </w:t>
      </w:r>
      <w:r w:rsidR="00D13CA6">
        <w:t>un</w:t>
      </w:r>
      <w:r>
        <w:t xml:space="preserve"> usuario </w:t>
      </w:r>
      <w:r w:rsidR="00D13CA6">
        <w:t xml:space="preserve">que dé </w:t>
      </w:r>
      <w:r>
        <w:t xml:space="preserve">más importancia a la exhaustividad </w:t>
      </w:r>
      <w:r w:rsidR="00D13CA6">
        <w:t>-</w:t>
      </w:r>
      <w:r>
        <w:t xml:space="preserve"> recuperar el máximo de elementos de la clase + - que a la precisión el</w:t>
      </w:r>
      <w:r w:rsidR="00D13CA6">
        <w:t>ija</w:t>
      </w:r>
      <w:r>
        <w:t xml:space="preserve"> el umbral </w:t>
      </w:r>
      <w:r w:rsidRPr="0084326B">
        <w:rPr>
          <w:i/>
        </w:rPr>
        <w:t>b</w:t>
      </w:r>
      <w:r>
        <w:t xml:space="preserve"> con mayor </w:t>
      </w:r>
      <w:r w:rsidR="00D13CA6">
        <w:rPr>
          <w:i/>
        </w:rPr>
        <w:t>exhaustividad</w:t>
      </w:r>
      <w:r>
        <w:t xml:space="preserve">. Como se ve esto </w:t>
      </w:r>
      <w:r w:rsidR="00D13CA6">
        <w:t xml:space="preserve">se hace a costa </w:t>
      </w:r>
      <w:r w:rsidR="002F4169">
        <w:t>de</w:t>
      </w:r>
      <w:r w:rsidR="00D13CA6">
        <w:t xml:space="preserve"> </w:t>
      </w:r>
      <w:r>
        <w:t xml:space="preserve">un aumento de falsos positivos que, por consiguiente, tienen </w:t>
      </w:r>
      <w:r w:rsidR="00D13CA6">
        <w:t xml:space="preserve">para el usuario </w:t>
      </w:r>
      <w:r>
        <w:t>un coste menor que los falsos negativos.</w:t>
      </w:r>
    </w:p>
    <w:p w:rsidR="00747838" w:rsidRDefault="00747838" w:rsidP="0098217E">
      <w:pPr>
        <w:jc w:val="left"/>
      </w:pPr>
    </w:p>
    <w:sectPr w:rsidR="00747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E7" w:rsidRDefault="002622E7" w:rsidP="00725415">
      <w:r>
        <w:separator/>
      </w:r>
    </w:p>
  </w:endnote>
  <w:endnote w:type="continuationSeparator" w:id="0">
    <w:p w:rsidR="002622E7" w:rsidRDefault="002622E7" w:rsidP="0072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E7" w:rsidRDefault="002622E7" w:rsidP="00725415">
      <w:r>
        <w:separator/>
      </w:r>
    </w:p>
  </w:footnote>
  <w:footnote w:type="continuationSeparator" w:id="0">
    <w:p w:rsidR="002622E7" w:rsidRDefault="002622E7" w:rsidP="00725415">
      <w:r>
        <w:continuationSeparator/>
      </w:r>
    </w:p>
  </w:footnote>
  <w:footnote w:id="1">
    <w:p w:rsidR="0098217E" w:rsidRPr="009F4201" w:rsidRDefault="0098217E" w:rsidP="0098217E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9F4201">
        <w:rPr>
          <w:lang w:val="en-US"/>
        </w:rPr>
        <w:t xml:space="preserve"> Receiver Operating Characteristics.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1557"/>
    <w:multiLevelType w:val="hybridMultilevel"/>
    <w:tmpl w:val="DC36B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3523"/>
    <w:multiLevelType w:val="hybridMultilevel"/>
    <w:tmpl w:val="62F0E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6DB8"/>
    <w:multiLevelType w:val="hybridMultilevel"/>
    <w:tmpl w:val="7C2E6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903CB"/>
    <w:multiLevelType w:val="hybridMultilevel"/>
    <w:tmpl w:val="890067C6"/>
    <w:lvl w:ilvl="0" w:tplc="0C0A000F">
      <w:start w:val="1"/>
      <w:numFmt w:val="decimal"/>
      <w:lvlText w:val="%1."/>
      <w:lvlJc w:val="left"/>
      <w:pPr>
        <w:ind w:left="1296" w:hanging="360"/>
      </w:p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73490571"/>
    <w:multiLevelType w:val="hybridMultilevel"/>
    <w:tmpl w:val="F8B262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067D"/>
    <w:multiLevelType w:val="hybridMultilevel"/>
    <w:tmpl w:val="7D18944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15"/>
    <w:rsid w:val="00063136"/>
    <w:rsid w:val="00194E6D"/>
    <w:rsid w:val="001B6BBE"/>
    <w:rsid w:val="002622E7"/>
    <w:rsid w:val="002770C6"/>
    <w:rsid w:val="002F4169"/>
    <w:rsid w:val="00372FCB"/>
    <w:rsid w:val="003E7B8A"/>
    <w:rsid w:val="004120E1"/>
    <w:rsid w:val="004A3527"/>
    <w:rsid w:val="005B34FF"/>
    <w:rsid w:val="006D2D78"/>
    <w:rsid w:val="00725415"/>
    <w:rsid w:val="00747838"/>
    <w:rsid w:val="00816AFB"/>
    <w:rsid w:val="008447B8"/>
    <w:rsid w:val="008769BD"/>
    <w:rsid w:val="00897CE4"/>
    <w:rsid w:val="0098217E"/>
    <w:rsid w:val="00A0161E"/>
    <w:rsid w:val="00A312B1"/>
    <w:rsid w:val="00AD278B"/>
    <w:rsid w:val="00AF4C22"/>
    <w:rsid w:val="00C37FB6"/>
    <w:rsid w:val="00D13CA6"/>
    <w:rsid w:val="00D70B51"/>
    <w:rsid w:val="00DC774E"/>
    <w:rsid w:val="00DD5349"/>
    <w:rsid w:val="00E078DE"/>
    <w:rsid w:val="00E538BE"/>
    <w:rsid w:val="00F50EBA"/>
    <w:rsid w:val="00FA4F53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F03DE91-F50F-4270-98DF-F1E78A6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1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2D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41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5415"/>
    <w:rPr>
      <w:rFonts w:asciiTheme="majorHAnsi" w:eastAsiaTheme="majorEastAsia" w:hAnsiTheme="majorHAnsi" w:cs="Times New Roman"/>
      <w:color w:val="1F4D78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54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25415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rsid w:val="0072541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2541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rsid w:val="00725415"/>
    <w:rPr>
      <w:rFonts w:cs="Times New Roman"/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897CE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D278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016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D2D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59"/>
    <w:rsid w:val="0098217E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file:///O:\TASS\Matriz_Confusa.xlsx!Hoja5!F10C2:F16C22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oleObject" Target="file:///O:\TASS\Matriz_Confusa.xlsx!Hoja5!F1C2:F6C9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Tom05</b:Tag>
    <b:SourceType>JournalArticle</b:SourceType>
    <b:Guid>{070E4E9E-604F-46AF-A660-54209CCFBB8F}</b:Guid>
    <b:Author>
      <b:Author>
        <b:NameList>
          <b:Person>
            <b:Last>Fawcett</b:Last>
            <b:First>Tom</b:First>
          </b:Person>
        </b:NameList>
      </b:Author>
    </b:Author>
    <b:Title>An introduction to ROC analysis</b:Title>
    <b:Year>2005</b:Year>
    <b:Publisher>Elsevier</b:Publisher>
    <b:RefOrder>5</b:RefOrder>
  </b:Source>
</b:Sources>
</file>

<file path=customXml/itemProps1.xml><?xml version="1.0" encoding="utf-8"?>
<ds:datastoreItem xmlns:ds="http://schemas.openxmlformats.org/officeDocument/2006/customXml" ds:itemID="{8EF37E20-0368-48D6-BD25-72CCE202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1075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Selección de clasificadores con costes de mala clasificación diferentes</vt:lpstr>
      <vt:lpstr>        </vt:lpstr>
      <vt:lpstr>        Medida del rendimiento de un clasificador.</vt:lpstr>
      <vt:lpstr>    Costes de mala clasificación. ROC y AUC.</vt:lpstr>
      <vt:lpstr>    Clasificadores discretos y por puntuación (‘scoring’).</vt:lpstr>
    </vt:vector>
  </TitlesOfParts>
  <Company>INSTITUTO NACIONAL DE ESTADISTICA</Company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4</cp:revision>
  <dcterms:created xsi:type="dcterms:W3CDTF">2017-05-09T11:41:00Z</dcterms:created>
  <dcterms:modified xsi:type="dcterms:W3CDTF">2017-05-09T12:17:00Z</dcterms:modified>
</cp:coreProperties>
</file>