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AD65C" w14:textId="77777777" w:rsidR="006F25E3" w:rsidRDefault="006F25E3" w:rsidP="00626540">
      <w:pPr>
        <w:spacing w:after="0"/>
      </w:pPr>
      <w:r>
        <w:t>Dear Editor,</w:t>
      </w:r>
    </w:p>
    <w:p w14:paraId="1D5A3269" w14:textId="77777777" w:rsidR="00626540" w:rsidRDefault="00626540" w:rsidP="00626540">
      <w:pPr>
        <w:spacing w:after="0"/>
      </w:pPr>
    </w:p>
    <w:p w14:paraId="624CABA0" w14:textId="296EDE7D" w:rsidR="00FF3704" w:rsidRDefault="006F25E3" w:rsidP="00626540">
      <w:pPr>
        <w:spacing w:after="0"/>
      </w:pPr>
      <w:r>
        <w:t xml:space="preserve">Please find our responses to the referees’ </w:t>
      </w:r>
      <w:r w:rsidR="003520E9">
        <w:t>comments</w:t>
      </w:r>
      <w:r>
        <w:t xml:space="preserve"> below.  The referees’ comments are written in bold. </w:t>
      </w:r>
      <w:r w:rsidR="00941BD5">
        <w:t xml:space="preserve">  Changes to the manuscript are colored blue.</w:t>
      </w:r>
    </w:p>
    <w:p w14:paraId="0D3E4878" w14:textId="77777777" w:rsidR="00626540" w:rsidRDefault="00626540" w:rsidP="00626540">
      <w:pPr>
        <w:spacing w:after="0"/>
      </w:pPr>
    </w:p>
    <w:p w14:paraId="58E607D3" w14:textId="284CA72F" w:rsidR="00BE3280" w:rsidRDefault="00BE3280" w:rsidP="00626540">
      <w:pPr>
        <w:spacing w:after="0"/>
      </w:pPr>
      <w:r>
        <w:t>On behalf of all the authors,</w:t>
      </w:r>
    </w:p>
    <w:p w14:paraId="66763F45" w14:textId="77777777" w:rsidR="00626540" w:rsidRDefault="00626540" w:rsidP="00626540">
      <w:pPr>
        <w:spacing w:after="0"/>
      </w:pPr>
    </w:p>
    <w:p w14:paraId="7A161D38" w14:textId="30257E8B" w:rsidR="00BE3280" w:rsidRDefault="00BE3280" w:rsidP="00626540">
      <w:pPr>
        <w:spacing w:after="0"/>
      </w:pPr>
      <w:r>
        <w:t>Anthony</w:t>
      </w:r>
      <w:r w:rsidR="0004252C">
        <w:t xml:space="preserve"> Yoshimura</w:t>
      </w:r>
    </w:p>
    <w:p w14:paraId="412E678F" w14:textId="3793CB1B" w:rsidR="0004252C" w:rsidRDefault="0004252C" w:rsidP="00626540">
      <w:pPr>
        <w:spacing w:after="0"/>
      </w:pPr>
      <w:r>
        <w:t>Lawrence Livermore National Laboratory</w:t>
      </w:r>
    </w:p>
    <w:p w14:paraId="3BE38C39" w14:textId="5B0C11AD" w:rsidR="00626540" w:rsidRDefault="00626540" w:rsidP="00626540">
      <w:pPr>
        <w:spacing w:after="0"/>
      </w:pPr>
      <w:r>
        <w:t>7000 East Ave</w:t>
      </w:r>
    </w:p>
    <w:p w14:paraId="2438FB67" w14:textId="54CC1803" w:rsidR="00626540" w:rsidRDefault="00626540" w:rsidP="00626540">
      <w:pPr>
        <w:pBdr>
          <w:bottom w:val="single" w:sz="6" w:space="1" w:color="auto"/>
        </w:pBdr>
        <w:spacing w:after="0"/>
      </w:pPr>
    </w:p>
    <w:p w14:paraId="24C0F7EE" w14:textId="616614CE" w:rsidR="006F25E3" w:rsidRDefault="006F25E3" w:rsidP="00626540">
      <w:pPr>
        <w:spacing w:after="0"/>
      </w:pPr>
      <w:r>
        <w:t>Referee 1</w:t>
      </w:r>
    </w:p>
    <w:p w14:paraId="53F5E5BD" w14:textId="77777777" w:rsidR="00626540" w:rsidRDefault="00626540" w:rsidP="00626540">
      <w:pPr>
        <w:spacing w:after="0"/>
        <w:rPr>
          <w:b/>
          <w:bCs/>
        </w:rPr>
      </w:pPr>
    </w:p>
    <w:p w14:paraId="21256923" w14:textId="5B2DC59F" w:rsidR="00CF672D" w:rsidRDefault="00FF3704" w:rsidP="00626540">
      <w:pPr>
        <w:spacing w:after="0"/>
        <w:rPr>
          <w:b/>
          <w:bCs/>
        </w:rPr>
      </w:pPr>
      <w:r w:rsidRPr="006F25E3">
        <w:rPr>
          <w:b/>
          <w:bCs/>
        </w:rPr>
        <w:t>The authors could enlarge the sampling and mention applicability to also other classes of 2D materials of relevance whereby their methodology may be very useful, not least some confined materials containing hexagonal group III nitrides (beyond h-BN) and oxides, namely, e.g., Nanoscale12 (2020) Pages 19470 - 19476; Applied Surface Science 548 (2021) Article number 149275. Such works are supportive to the transferability of the scheme reported in the present manuscript.</w:t>
      </w:r>
    </w:p>
    <w:p w14:paraId="06035190" w14:textId="485CAAE6" w:rsidR="00CF672D" w:rsidRDefault="00CF672D" w:rsidP="00626540">
      <w:pPr>
        <w:spacing w:after="0"/>
      </w:pPr>
    </w:p>
    <w:p w14:paraId="26150C21" w14:textId="1F4BA483" w:rsidR="00CF672D" w:rsidRDefault="00CF672D" w:rsidP="00626540">
      <w:pPr>
        <w:spacing w:after="0"/>
      </w:pPr>
      <w:r>
        <w:t>Thank you for this</w:t>
      </w:r>
      <w:r w:rsidR="00EE7511">
        <w:t xml:space="preserve"> suggestion.  We now mention the </w:t>
      </w:r>
      <w:r w:rsidR="005A436D">
        <w:t xml:space="preserve">prospective </w:t>
      </w:r>
      <w:r w:rsidR="00EE7511">
        <w:t>application to layered and confined 2D systems</w:t>
      </w:r>
      <w:r w:rsidR="005A436D">
        <w:t xml:space="preserve"> in the conclusion, citing the Applied Surface Science article.</w:t>
      </w:r>
      <w:r w:rsidR="00EE7511">
        <w:t xml:space="preserve"> </w:t>
      </w:r>
    </w:p>
    <w:p w14:paraId="3CF48AB8" w14:textId="77777777" w:rsidR="00EE7511" w:rsidRPr="00CF672D" w:rsidRDefault="00EE7511" w:rsidP="00626540">
      <w:pPr>
        <w:spacing w:after="0"/>
      </w:pPr>
    </w:p>
    <w:p w14:paraId="68CD718E" w14:textId="1B7B5BA1" w:rsidR="00FF3704" w:rsidRDefault="00FF3704" w:rsidP="00626540">
      <w:pPr>
        <w:spacing w:after="0"/>
        <w:rPr>
          <w:b/>
          <w:bCs/>
        </w:rPr>
      </w:pPr>
      <w:r w:rsidRPr="006F25E3">
        <w:rPr>
          <w:b/>
          <w:bCs/>
        </w:rPr>
        <w:t>The authors discuss thermal kinetic energy at room temperature which is part of the scheme assessment. However, isn’t that also important to explicitly compare these energies to the thermal stability of the studied 2D material(s)? Many materials would delaminate/disintegrate at similar energies…</w:t>
      </w:r>
    </w:p>
    <w:p w14:paraId="7EAE3A07" w14:textId="77777777" w:rsidR="00626540" w:rsidRDefault="00626540" w:rsidP="00626540">
      <w:pPr>
        <w:spacing w:after="0"/>
      </w:pPr>
    </w:p>
    <w:p w14:paraId="5F6F5B1E" w14:textId="7B581F1B" w:rsidR="003E41CB" w:rsidRPr="0014623A" w:rsidRDefault="002A57D3" w:rsidP="00626540">
      <w:pPr>
        <w:spacing w:after="0"/>
        <w:rPr>
          <w:sz w:val="20"/>
          <w:szCs w:val="20"/>
        </w:rPr>
      </w:pPr>
      <w:r>
        <w:t>This is a great point to keep in mind.  However, t</w:t>
      </w:r>
      <w:r w:rsidR="00DE1151">
        <w:t>o the best of our knowledge, t</w:t>
      </w:r>
      <w:r w:rsidR="00912239">
        <w:t xml:space="preserve">he temperatures considered in </w:t>
      </w:r>
      <w:r w:rsidR="001C4B4F">
        <w:t>our</w:t>
      </w:r>
      <w:r w:rsidR="00912239">
        <w:t xml:space="preserve"> manuscript are those </w:t>
      </w:r>
      <w:r w:rsidR="003C696A">
        <w:t>employed i</w:t>
      </w:r>
      <w:r w:rsidR="00912239">
        <w:t>n the experiments</w:t>
      </w:r>
      <w:r w:rsidR="001C4B4F">
        <w:t xml:space="preserve"> we reference</w:t>
      </w:r>
      <w:r w:rsidR="00912239">
        <w:t>.</w:t>
      </w:r>
      <w:r w:rsidR="003C696A">
        <w:t xml:space="preserve">  </w:t>
      </w:r>
      <w:r w:rsidR="001C4B4F">
        <w:t>Specifically</w:t>
      </w:r>
      <w:r w:rsidR="003C696A">
        <w:t>, Cretu et al</w:t>
      </w:r>
      <w:r w:rsidR="001C4B4F">
        <w:t>.</w:t>
      </w:r>
      <w:r w:rsidR="0010181C">
        <w:t xml:space="preserve"> </w:t>
      </w:r>
      <w:r w:rsidR="0044759B">
        <w:t>[</w:t>
      </w:r>
      <w:r w:rsidR="0044759B" w:rsidRPr="0044759B">
        <w:t>10.1016/j.micron.2015.02.002</w:t>
      </w:r>
      <w:r w:rsidR="0044759B">
        <w:t>]</w:t>
      </w:r>
      <w:r w:rsidR="003C696A">
        <w:t xml:space="preserve"> irradiated </w:t>
      </w:r>
      <w:r w:rsidR="001C4B4F">
        <w:t xml:space="preserve">their </w:t>
      </w:r>
      <w:r w:rsidR="006305A5">
        <w:t xml:space="preserve">hBN </w:t>
      </w:r>
      <w:r w:rsidR="00B172CF">
        <w:t>at</w:t>
      </w:r>
      <w:r w:rsidR="00DC6621">
        <w:t xml:space="preserve"> temperatures up to</w:t>
      </w:r>
      <w:r w:rsidR="006305A5">
        <w:t xml:space="preserve"> </w:t>
      </w:r>
      <w:r w:rsidR="00DC6621">
        <w:t>1473 K.</w:t>
      </w:r>
      <w:r w:rsidR="00912239">
        <w:t xml:space="preserve"> </w:t>
      </w:r>
      <w:r w:rsidR="001C4B4F">
        <w:t xml:space="preserve"> </w:t>
      </w:r>
      <w:r w:rsidR="00DC6621">
        <w:t>Kretchmer et al</w:t>
      </w:r>
      <w:r w:rsidR="002B04A6">
        <w:t>.</w:t>
      </w:r>
      <w:r w:rsidR="00DC6621">
        <w:t xml:space="preserve"> </w:t>
      </w:r>
      <w:r w:rsidR="00983280">
        <w:t>[</w:t>
      </w:r>
      <w:r w:rsidR="00983280" w:rsidRPr="00983280">
        <w:t>10.1021/acs.nanolett.0c00670</w:t>
      </w:r>
      <w:r w:rsidR="00983280">
        <w:t xml:space="preserve">] </w:t>
      </w:r>
      <w:r w:rsidR="00DC6621">
        <w:t>did not mention any specific temperature</w:t>
      </w:r>
      <w:r w:rsidR="001C4B4F">
        <w:t>s</w:t>
      </w:r>
      <w:r w:rsidR="00DC6621">
        <w:t xml:space="preserve"> in their study, so we assumed that</w:t>
      </w:r>
      <w:r w:rsidR="00C42C6E">
        <w:t xml:space="preserve"> their MoS2 was irradiated at 300 K. </w:t>
      </w:r>
      <w:r w:rsidR="00912239">
        <w:t xml:space="preserve"> </w:t>
      </w:r>
      <w:r w:rsidR="00C42C6E">
        <w:t>Neither articles mention</w:t>
      </w:r>
      <w:r w:rsidR="00EE32E7">
        <w:t xml:space="preserve"> any delamination nor disintegration</w:t>
      </w:r>
      <w:r w:rsidR="001C4B4F">
        <w:t xml:space="preserve">, so we do not believe </w:t>
      </w:r>
      <w:r w:rsidR="007D41E2">
        <w:t>such stabilit</w:t>
      </w:r>
      <w:r w:rsidR="00941BD5">
        <w:t>y</w:t>
      </w:r>
      <w:r w:rsidR="007D41E2">
        <w:t xml:space="preserve"> issues are a major concern in our study</w:t>
      </w:r>
      <w:r w:rsidR="001C4B4F">
        <w:t>.</w:t>
      </w:r>
    </w:p>
    <w:p w14:paraId="6241DBCA" w14:textId="77777777" w:rsidR="00626540" w:rsidRDefault="00626540" w:rsidP="00626540">
      <w:pPr>
        <w:spacing w:after="0"/>
        <w:rPr>
          <w:b/>
          <w:bCs/>
        </w:rPr>
      </w:pPr>
    </w:p>
    <w:p w14:paraId="0B2AAA68" w14:textId="7CF51C0B" w:rsidR="00085170" w:rsidRDefault="00FF3704" w:rsidP="00626540">
      <w:pPr>
        <w:spacing w:after="0"/>
        <w:rPr>
          <w:b/>
          <w:bCs/>
        </w:rPr>
      </w:pPr>
      <w:r w:rsidRPr="006F25E3">
        <w:rPr>
          <w:b/>
          <w:bCs/>
        </w:rPr>
        <w:t>Section S6: Fitting and converging S. How specific is the convergence routine considered each particular 2D material? The conclusion that Sec. S6 leaves the reader with is that it is very specific and needs lots of tests and simulations. Or am I missing something? In any case it would be worth to revised the final sentences of this section.</w:t>
      </w:r>
    </w:p>
    <w:p w14:paraId="09F70FCC" w14:textId="77777777" w:rsidR="00626540" w:rsidRDefault="00626540" w:rsidP="00626540">
      <w:pPr>
        <w:spacing w:after="0"/>
      </w:pPr>
    </w:p>
    <w:p w14:paraId="52FC5EF7" w14:textId="2B8F7783" w:rsidR="00D91B57" w:rsidRDefault="003D1C71" w:rsidP="00626540">
      <w:pPr>
        <w:spacing w:after="0"/>
      </w:pPr>
      <w:r>
        <w:t xml:space="preserve">Thank you for pointing this out.  While it may not </w:t>
      </w:r>
      <w:r w:rsidR="00E10721">
        <w:t>have been</w:t>
      </w:r>
      <w:r>
        <w:t xml:space="preserve"> clear in Section S6, t</w:t>
      </w:r>
      <w:r w:rsidR="00D91B57">
        <w:t>he</w:t>
      </w:r>
      <w:r w:rsidR="00B87786">
        <w:t xml:space="preserve"> method for converging S </w:t>
      </w:r>
      <w:r>
        <w:t>is</w:t>
      </w:r>
      <w:r w:rsidR="00641B6B">
        <w:t xml:space="preserve"> </w:t>
      </w:r>
      <w:r w:rsidR="008C4829">
        <w:t>material independent</w:t>
      </w:r>
      <w:r w:rsidR="00D91B57">
        <w:t xml:space="preserve">.  </w:t>
      </w:r>
      <w:r>
        <w:t xml:space="preserve">The goal of the </w:t>
      </w:r>
      <w:r w:rsidR="006261C7">
        <w:t xml:space="preserve">k-point </w:t>
      </w:r>
      <w:r w:rsidR="00976D3A">
        <w:t>fitting</w:t>
      </w:r>
      <w:r w:rsidR="00016C7F">
        <w:t xml:space="preserve"> method is to determine the limit of S for an infinitely dense k-point mesh.  This requires calculating S </w:t>
      </w:r>
      <w:r w:rsidR="00F04F70">
        <w:t xml:space="preserve">for </w:t>
      </w:r>
      <w:r w:rsidR="00085170">
        <w:t>sufficiently dense k-point meshes</w:t>
      </w:r>
      <w:r w:rsidR="000A6E90">
        <w:t>, i.e.</w:t>
      </w:r>
      <w:r w:rsidR="0066651E">
        <w:t xml:space="preserve">, S(Nk) </w:t>
      </w:r>
      <w:r w:rsidR="000A6E90">
        <w:t>plotted in</w:t>
      </w:r>
      <w:r w:rsidR="0066651E">
        <w:t xml:space="preserve"> figure S4</w:t>
      </w:r>
      <w:r w:rsidR="00941BD5">
        <w:t>a</w:t>
      </w:r>
      <w:r w:rsidR="0066651E">
        <w:t xml:space="preserve"> should appear to approach an asymptote</w:t>
      </w:r>
      <w:r w:rsidR="004B725B">
        <w:t xml:space="preserve"> for the </w:t>
      </w:r>
      <w:r w:rsidR="00881563">
        <w:t>densest</w:t>
      </w:r>
      <w:r w:rsidR="004B725B">
        <w:t xml:space="preserve"> k-point mesh considered</w:t>
      </w:r>
      <w:r w:rsidR="0066651E">
        <w:t xml:space="preserve">.  </w:t>
      </w:r>
      <w:r w:rsidR="00085170">
        <w:t xml:space="preserve">We found </w:t>
      </w:r>
      <w:r w:rsidR="004B725B">
        <w:t xml:space="preserve">that meshes of </w:t>
      </w:r>
      <w:r w:rsidR="00085170">
        <w:t xml:space="preserve">45x45x1 and 36x36x1 </w:t>
      </w:r>
      <w:r w:rsidR="004B725B">
        <w:t>were sufficiently</w:t>
      </w:r>
      <w:r w:rsidR="00085170">
        <w:t xml:space="preserve"> </w:t>
      </w:r>
      <w:r w:rsidR="00881563">
        <w:t xml:space="preserve">dense </w:t>
      </w:r>
      <w:r w:rsidR="00085170">
        <w:t>hBN and MoS</w:t>
      </w:r>
      <w:r w:rsidR="00085170" w:rsidRPr="00F04F70">
        <w:rPr>
          <w:vertAlign w:val="subscript"/>
        </w:rPr>
        <w:t>2</w:t>
      </w:r>
      <w:r w:rsidR="00085170">
        <w:t xml:space="preserve"> </w:t>
      </w:r>
      <w:r w:rsidR="00085170">
        <w:lastRenderedPageBreak/>
        <w:t xml:space="preserve">respectively.  </w:t>
      </w:r>
      <w:r w:rsidR="00EA2387">
        <w:t>T</w:t>
      </w:r>
      <w:r w:rsidR="005D779E">
        <w:t xml:space="preserve">hese dense k-point meshes </w:t>
      </w:r>
      <w:r w:rsidR="00AD3A29">
        <w:t>have</w:t>
      </w:r>
      <w:r w:rsidR="00EA2387">
        <w:t xml:space="preserve"> very similar</w:t>
      </w:r>
      <w:r w:rsidR="00960C41">
        <w:t xml:space="preserve"> linear</w:t>
      </w:r>
      <w:r w:rsidR="00EA2387">
        <w:t xml:space="preserve"> k-point densities: 0.056 and 0.055 per angstrom</w:t>
      </w:r>
      <w:r w:rsidR="00960C41">
        <w:t xml:space="preserve"> for hBN and MoS</w:t>
      </w:r>
      <w:r w:rsidR="00960C41" w:rsidRPr="00BF3E98">
        <w:rPr>
          <w:vertAlign w:val="subscript"/>
        </w:rPr>
        <w:t>2</w:t>
      </w:r>
      <w:r w:rsidR="00960C41">
        <w:t xml:space="preserve"> respectively</w:t>
      </w:r>
      <w:r w:rsidR="00EA2387">
        <w:t xml:space="preserve">. The hBN mesh contains more k-points because hBN has a larger Brillouin zone.  </w:t>
      </w:r>
    </w:p>
    <w:p w14:paraId="4F3B6EC5" w14:textId="77777777" w:rsidR="00626540" w:rsidRDefault="00626540" w:rsidP="00626540">
      <w:pPr>
        <w:spacing w:after="0"/>
      </w:pPr>
    </w:p>
    <w:p w14:paraId="35FCFB7F" w14:textId="5C34A50A" w:rsidR="00085170" w:rsidRDefault="00BB32BC" w:rsidP="00626540">
      <w:pPr>
        <w:spacing w:after="0"/>
      </w:pPr>
      <w:r>
        <w:t>Admittedly, this method relies on “eyeballing”</w:t>
      </w:r>
      <w:r w:rsidR="00F04F70">
        <w:t xml:space="preserve"> the S(N</w:t>
      </w:r>
      <w:r w:rsidR="00F04F70" w:rsidRPr="00BF3E98">
        <w:rPr>
          <w:vertAlign w:val="subscript"/>
        </w:rPr>
        <w:t>k</w:t>
      </w:r>
      <w:r w:rsidR="00F04F70">
        <w:t>) curve</w:t>
      </w:r>
      <w:r w:rsidR="00831A9F">
        <w:t xml:space="preserve">, </w:t>
      </w:r>
      <w:r w:rsidR="00BE43C6">
        <w:t>relying on</w:t>
      </w:r>
      <w:r w:rsidR="00831A9F">
        <w:t xml:space="preserve"> the user’s discretion </w:t>
      </w:r>
      <w:r w:rsidR="002D703A">
        <w:t xml:space="preserve">as to </w:t>
      </w:r>
      <w:r w:rsidR="00D753E3">
        <w:t>whether</w:t>
      </w:r>
      <w:r w:rsidR="002D703A">
        <w:t xml:space="preserve"> the curve is approaching an asymptote</w:t>
      </w:r>
      <w:r>
        <w:t xml:space="preserve">.  </w:t>
      </w:r>
      <w:r w:rsidR="00D91B57">
        <w:t xml:space="preserve">We are currently working to establishing a </w:t>
      </w:r>
      <w:r w:rsidR="002D703A">
        <w:t xml:space="preserve">more </w:t>
      </w:r>
      <w:r w:rsidR="00D91B57">
        <w:t>formal convergence criteria</w:t>
      </w:r>
      <w:r w:rsidR="002D703A">
        <w:t xml:space="preserve"> for future work</w:t>
      </w:r>
      <w:r w:rsidR="00D91B57">
        <w:t>.</w:t>
      </w:r>
    </w:p>
    <w:p w14:paraId="6A4F55E7" w14:textId="77777777" w:rsidR="00626540" w:rsidRDefault="00626540" w:rsidP="00626540">
      <w:pPr>
        <w:spacing w:after="0"/>
      </w:pPr>
    </w:p>
    <w:p w14:paraId="0D97550E" w14:textId="056C7AB7" w:rsidR="00E10721" w:rsidRDefault="006261C7" w:rsidP="00626540">
      <w:pPr>
        <w:spacing w:after="0"/>
      </w:pPr>
      <w:r>
        <w:t xml:space="preserve">Convergence of S with respect to other parameters is also material independent, and a bit more straightforward.  </w:t>
      </w:r>
      <w:r w:rsidR="00B4436B">
        <w:t xml:space="preserve">For a given parameter, we chose a value such that any increase in </w:t>
      </w:r>
      <w:r w:rsidR="00457D00">
        <w:t>the parameter’s precision changes S by less than 5%.</w:t>
      </w:r>
    </w:p>
    <w:p w14:paraId="2DAC6871" w14:textId="4A2F861A" w:rsidR="00E10721" w:rsidRDefault="00E10721" w:rsidP="00626540">
      <w:pPr>
        <w:spacing w:after="0"/>
      </w:pPr>
    </w:p>
    <w:p w14:paraId="1C385F20" w14:textId="5A9E0852" w:rsidR="00E10721" w:rsidRPr="00E10721" w:rsidRDefault="00E10721" w:rsidP="00626540">
      <w:pPr>
        <w:spacing w:after="0"/>
      </w:pPr>
      <w:r>
        <w:t xml:space="preserve">We have added a paragraph at the beginning of section </w:t>
      </w:r>
      <w:r w:rsidR="00826943">
        <w:t>S6 that</w:t>
      </w:r>
      <w:r w:rsidR="00EA2AB8">
        <w:t xml:space="preserve"> hopefully contextualizes the </w:t>
      </w:r>
      <w:r w:rsidR="00D7007A">
        <w:t>section to better orient the reader.  We have also added two sentences to the end of t</w:t>
      </w:r>
      <w:r w:rsidR="00CA095E">
        <w:t>he caption of figure S4 to clarify that the convergence methods for hBN and MoS</w:t>
      </w:r>
      <w:r w:rsidR="00CA095E" w:rsidRPr="00CA095E">
        <w:rPr>
          <w:vertAlign w:val="subscript"/>
        </w:rPr>
        <w:t>2</w:t>
      </w:r>
      <w:r w:rsidR="00CA095E">
        <w:t xml:space="preserve"> are identical.</w:t>
      </w:r>
    </w:p>
    <w:p w14:paraId="7D08918A" w14:textId="77777777" w:rsidR="00626540" w:rsidRDefault="00626540" w:rsidP="00626540">
      <w:pPr>
        <w:spacing w:after="0"/>
        <w:rPr>
          <w:b/>
          <w:bCs/>
        </w:rPr>
      </w:pPr>
    </w:p>
    <w:p w14:paraId="4DDBA97B" w14:textId="009F5EE8" w:rsidR="00FF3704" w:rsidRDefault="00FF3704" w:rsidP="00626540">
      <w:pPr>
        <w:spacing w:after="0"/>
        <w:rPr>
          <w:b/>
          <w:bCs/>
        </w:rPr>
      </w:pPr>
      <w:r w:rsidRPr="006F25E3">
        <w:rPr>
          <w:b/>
          <w:bCs/>
        </w:rPr>
        <w:t>Spell-check and stylistic revision of the paper are still necessary. Some long sentences, misspellings, etc., still are noticeable throughout the text.</w:t>
      </w:r>
    </w:p>
    <w:p w14:paraId="24F943A2" w14:textId="77777777" w:rsidR="00626540" w:rsidRDefault="00626540" w:rsidP="00626540">
      <w:pPr>
        <w:spacing w:after="0"/>
      </w:pPr>
    </w:p>
    <w:p w14:paraId="2308D2B5" w14:textId="4CC4623B" w:rsidR="00085170" w:rsidRPr="00085170" w:rsidRDefault="00085170" w:rsidP="00626540">
      <w:pPr>
        <w:spacing w:after="0"/>
      </w:pPr>
      <w:r w:rsidRPr="00085170">
        <w:t>We have proofread the manuscript</w:t>
      </w:r>
      <w:r w:rsidR="00224AA5">
        <w:t xml:space="preserve"> again</w:t>
      </w:r>
      <w:r w:rsidRPr="00085170">
        <w:t xml:space="preserve"> and have</w:t>
      </w:r>
      <w:r w:rsidR="00D011BC">
        <w:t xml:space="preserve"> done our best to</w:t>
      </w:r>
      <w:r w:rsidR="005F709E">
        <w:t xml:space="preserve"> fix any </w:t>
      </w:r>
      <w:r w:rsidR="00D011BC">
        <w:t xml:space="preserve">remaining </w:t>
      </w:r>
      <w:r w:rsidR="005F709E">
        <w:t xml:space="preserve">errors.  Please let us know if there are </w:t>
      </w:r>
      <w:r w:rsidR="00D011BC">
        <w:t xml:space="preserve">still </w:t>
      </w:r>
      <w:r w:rsidR="005F709E">
        <w:t xml:space="preserve">any specific </w:t>
      </w:r>
      <w:r w:rsidR="00A86FE1">
        <w:t>errors</w:t>
      </w:r>
      <w:r w:rsidR="003D5798">
        <w:t xml:space="preserve"> you’d</w:t>
      </w:r>
      <w:r w:rsidR="00A86FE1">
        <w:t xml:space="preserve"> like us to change</w:t>
      </w:r>
      <w:r w:rsidR="002C1299">
        <w:t>.</w:t>
      </w:r>
    </w:p>
    <w:p w14:paraId="01983AC2" w14:textId="17A178A6" w:rsidR="00FF3704" w:rsidRDefault="00FF3704" w:rsidP="00626540">
      <w:pPr>
        <w:pBdr>
          <w:bottom w:val="single" w:sz="6" w:space="1" w:color="auto"/>
        </w:pBdr>
        <w:spacing w:after="0"/>
      </w:pPr>
    </w:p>
    <w:p w14:paraId="4812C838" w14:textId="77777777" w:rsidR="00FF3704" w:rsidRDefault="00FF3704" w:rsidP="00626540">
      <w:pPr>
        <w:spacing w:after="0"/>
      </w:pPr>
      <w:r>
        <w:t>Referee: 2</w:t>
      </w:r>
    </w:p>
    <w:p w14:paraId="014F23FE" w14:textId="77777777" w:rsidR="00626540" w:rsidRDefault="00626540" w:rsidP="00626540">
      <w:pPr>
        <w:spacing w:after="0"/>
        <w:rPr>
          <w:b/>
          <w:bCs/>
        </w:rPr>
      </w:pPr>
    </w:p>
    <w:p w14:paraId="25FF7619" w14:textId="0D32579D" w:rsidR="00FF3704" w:rsidRDefault="00FF3704" w:rsidP="00626540">
      <w:pPr>
        <w:spacing w:after="0"/>
        <w:rPr>
          <w:b/>
          <w:bCs/>
        </w:rPr>
      </w:pPr>
      <w:r w:rsidRPr="003520E9">
        <w:rPr>
          <w:b/>
          <w:bCs/>
        </w:rPr>
        <w:t>Have you calculated the displacement thresholds of B and N in a pristine hBN, instead of on the edge of hBN? How does it compare to the experiment?</w:t>
      </w:r>
    </w:p>
    <w:p w14:paraId="5F57D2D0" w14:textId="77777777" w:rsidR="00980B8F" w:rsidRDefault="00980B8F" w:rsidP="00626540">
      <w:pPr>
        <w:spacing w:after="0"/>
        <w:rPr>
          <w:b/>
          <w:bCs/>
        </w:rPr>
      </w:pPr>
    </w:p>
    <w:p w14:paraId="0DFA58A4" w14:textId="5B20FD93" w:rsidR="00F55362" w:rsidRDefault="003520E9" w:rsidP="00626540">
      <w:pPr>
        <w:spacing w:after="0"/>
      </w:pPr>
      <w:r w:rsidRPr="003520E9">
        <w:t xml:space="preserve">We have </w:t>
      </w:r>
      <w:r w:rsidR="00224AA5">
        <w:t>not calculated</w:t>
      </w:r>
      <w:r>
        <w:t xml:space="preserve"> displacement thresholds for B and N sputtering from pristine hBN. </w:t>
      </w:r>
      <w:r w:rsidR="00156C25">
        <w:t xml:space="preserve"> </w:t>
      </w:r>
      <w:r w:rsidR="00387916">
        <w:t xml:space="preserve">However, </w:t>
      </w:r>
      <w:r w:rsidR="002F5092">
        <w:t xml:space="preserve">Kotakoski et al. calculate thresholds of 19.36 eV and 23.06 eV for B and N respectively. </w:t>
      </w:r>
      <w:r w:rsidR="00387916">
        <w:t xml:space="preserve"> </w:t>
      </w:r>
      <w:r w:rsidR="00156C25">
        <w:t>As expected, these thresholds are several eV larger than th</w:t>
      </w:r>
      <w:r w:rsidR="00245570">
        <w:t>ose</w:t>
      </w:r>
      <w:r w:rsidR="00156C25">
        <w:t xml:space="preserve"> from the hBN edge.  </w:t>
      </w:r>
      <w:r w:rsidR="003115AC">
        <w:t>Assuming the excitation lifetime of 240 fs that we used to plot figure 5, t</w:t>
      </w:r>
      <w:r w:rsidR="00156C25">
        <w:t>hese larger thresholds</w:t>
      </w:r>
      <w:r>
        <w:t xml:space="preserve"> reduce the sputtering cross sections considerably</w:t>
      </w:r>
      <w:r w:rsidR="003115AC">
        <w:t xml:space="preserve"> for all beam energies.</w:t>
      </w:r>
      <w:r w:rsidR="00992E35">
        <w:t xml:space="preserve">  This is shown in the plot below, where the dashed “pristine” </w:t>
      </w:r>
      <w:r w:rsidR="00C123C9">
        <w:t>curves sit</w:t>
      </w:r>
      <w:r w:rsidR="00992E35">
        <w:t xml:space="preserve"> well below the solid</w:t>
      </w:r>
      <w:r w:rsidR="00C123C9">
        <w:t xml:space="preserve"> “edge” curves.</w:t>
      </w:r>
    </w:p>
    <w:p w14:paraId="644303AA" w14:textId="77777777" w:rsidR="00980B8F" w:rsidRDefault="00980B8F" w:rsidP="00626540">
      <w:pPr>
        <w:spacing w:after="0"/>
      </w:pPr>
    </w:p>
    <w:p w14:paraId="65A876BE" w14:textId="79F077DB" w:rsidR="00E16964" w:rsidRDefault="00F55362" w:rsidP="00626540">
      <w:pPr>
        <w:spacing w:after="0"/>
        <w:jc w:val="center"/>
        <w:rPr>
          <w:b/>
          <w:bCs/>
          <w:noProof/>
        </w:rPr>
      </w:pPr>
      <w:r>
        <w:rPr>
          <w:b/>
          <w:bCs/>
          <w:noProof/>
        </w:rPr>
        <w:lastRenderedPageBreak/>
        <w:drawing>
          <wp:inline distT="0" distB="0" distL="0" distR="0" wp14:anchorId="3BF4FCB6" wp14:editId="66FFE39E">
            <wp:extent cx="2926080" cy="24384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26080" cy="2438400"/>
                    </a:xfrm>
                    <a:prstGeom prst="rect">
                      <a:avLst/>
                    </a:prstGeom>
                  </pic:spPr>
                </pic:pic>
              </a:graphicData>
            </a:graphic>
          </wp:inline>
        </w:drawing>
      </w:r>
    </w:p>
    <w:p w14:paraId="19330A5E" w14:textId="77777777" w:rsidR="00980B8F" w:rsidRDefault="00980B8F" w:rsidP="00626540">
      <w:pPr>
        <w:spacing w:after="0"/>
        <w:jc w:val="center"/>
        <w:rPr>
          <w:b/>
          <w:bCs/>
          <w:noProof/>
        </w:rPr>
      </w:pPr>
    </w:p>
    <w:p w14:paraId="2E7D6AB9" w14:textId="040FED83" w:rsidR="00E16964" w:rsidRPr="007453F0" w:rsidRDefault="005940EC" w:rsidP="00626540">
      <w:pPr>
        <w:spacing w:after="0"/>
        <w:rPr>
          <w:sz w:val="20"/>
          <w:szCs w:val="20"/>
        </w:rPr>
      </w:pPr>
      <w:r>
        <w:t xml:space="preserve">There also does not exist an excitation lifetime that aligns the simulated curve to the experimental </w:t>
      </w:r>
      <w:r w:rsidR="005B05E0">
        <w:t xml:space="preserve">edge sputtering </w:t>
      </w:r>
      <w:r>
        <w:t>data</w:t>
      </w:r>
      <w:r w:rsidR="007453F0">
        <w:t xml:space="preserve"> of Cretu et al.</w:t>
      </w:r>
      <w:r w:rsidR="006B2358">
        <w:t xml:space="preserve"> [</w:t>
      </w:r>
      <w:r w:rsidR="006B2358" w:rsidRPr="0044759B">
        <w:t>10.1016/j.micron.2015.02.002</w:t>
      </w:r>
      <w:r w:rsidR="006B2358">
        <w:t>].</w:t>
      </w:r>
      <w:r w:rsidR="00C123C9">
        <w:t xml:space="preserve">  Below</w:t>
      </w:r>
      <w:r w:rsidR="005402F0">
        <w:t xml:space="preserve"> is our best fit to the data with a lifetime of 20 ps.</w:t>
      </w:r>
    </w:p>
    <w:p w14:paraId="3CFF6E9B" w14:textId="72177542" w:rsidR="003520E9" w:rsidRDefault="00F55362" w:rsidP="00626540">
      <w:pPr>
        <w:spacing w:after="0"/>
        <w:jc w:val="center"/>
      </w:pPr>
      <w:r>
        <w:rPr>
          <w:b/>
          <w:bCs/>
          <w:noProof/>
        </w:rPr>
        <w:drawing>
          <wp:inline distT="0" distB="0" distL="0" distR="0" wp14:anchorId="3FBF2C39" wp14:editId="7B1D55A0">
            <wp:extent cx="2926080" cy="2438400"/>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6080" cy="2438400"/>
                    </a:xfrm>
                    <a:prstGeom prst="rect">
                      <a:avLst/>
                    </a:prstGeom>
                  </pic:spPr>
                </pic:pic>
              </a:graphicData>
            </a:graphic>
          </wp:inline>
        </w:drawing>
      </w:r>
    </w:p>
    <w:p w14:paraId="08FA4770" w14:textId="77777777" w:rsidR="005402F0" w:rsidRDefault="005402F0" w:rsidP="00626540">
      <w:pPr>
        <w:spacing w:after="0"/>
        <w:jc w:val="center"/>
      </w:pPr>
    </w:p>
    <w:p w14:paraId="5ED9893A" w14:textId="53AC2025" w:rsidR="00156C25" w:rsidRDefault="00156C25" w:rsidP="00626540">
      <w:pPr>
        <w:spacing w:after="0"/>
      </w:pPr>
      <w:r>
        <w:t xml:space="preserve">Experimental </w:t>
      </w:r>
      <w:r w:rsidR="005B05E0">
        <w:t>evaluation of the</w:t>
      </w:r>
      <w:r>
        <w:t xml:space="preserve"> pristine displacement thresholds</w:t>
      </w:r>
      <w:r w:rsidR="005B05E0">
        <w:t xml:space="preserve"> and corresponding cross sections</w:t>
      </w:r>
      <w:r>
        <w:t xml:space="preserve"> would require a careful TEM study in which only single B and N vacancies (not multiatom pores) are counted for various TEM doses.  To our knowledge, such a study does not exist.</w:t>
      </w:r>
    </w:p>
    <w:p w14:paraId="1F467D24" w14:textId="77777777" w:rsidR="005402F0" w:rsidRDefault="005402F0" w:rsidP="00626540">
      <w:pPr>
        <w:spacing w:after="0"/>
        <w:rPr>
          <w:b/>
          <w:bCs/>
        </w:rPr>
      </w:pPr>
    </w:p>
    <w:p w14:paraId="54625341" w14:textId="04933AE1" w:rsidR="00FF3704" w:rsidRPr="003520E9" w:rsidRDefault="00FF3704" w:rsidP="00626540">
      <w:pPr>
        <w:spacing w:after="0"/>
        <w:rPr>
          <w:b/>
          <w:bCs/>
        </w:rPr>
      </w:pPr>
      <w:r w:rsidRPr="003520E9">
        <w:rPr>
          <w:b/>
          <w:bCs/>
        </w:rPr>
        <w:t>Is your code open-source and accessible by the public?</w:t>
      </w:r>
    </w:p>
    <w:p w14:paraId="7F610E2A" w14:textId="77777777" w:rsidR="005402F0" w:rsidRDefault="005402F0" w:rsidP="00626540">
      <w:pPr>
        <w:spacing w:after="0"/>
      </w:pPr>
    </w:p>
    <w:p w14:paraId="36946648" w14:textId="6E3B98C7" w:rsidR="00450DCC" w:rsidRDefault="003520E9" w:rsidP="00626540">
      <w:pPr>
        <w:spacing w:after="0"/>
      </w:pPr>
      <w:r>
        <w:t xml:space="preserve">We intend to provide a public </w:t>
      </w:r>
      <w:r w:rsidR="00081A48">
        <w:t>GitHub</w:t>
      </w:r>
      <w:r>
        <w:t xml:space="preserve"> repository soon after publication.</w:t>
      </w:r>
    </w:p>
    <w:sectPr w:rsidR="00450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704"/>
    <w:rsid w:val="00016C7F"/>
    <w:rsid w:val="00024A79"/>
    <w:rsid w:val="00042373"/>
    <w:rsid w:val="0004252C"/>
    <w:rsid w:val="00077BE2"/>
    <w:rsid w:val="00081A48"/>
    <w:rsid w:val="00085170"/>
    <w:rsid w:val="000A6E90"/>
    <w:rsid w:val="0010181C"/>
    <w:rsid w:val="001318CA"/>
    <w:rsid w:val="0014623A"/>
    <w:rsid w:val="00156C25"/>
    <w:rsid w:val="001C4B4F"/>
    <w:rsid w:val="001D7F8A"/>
    <w:rsid w:val="00224AA5"/>
    <w:rsid w:val="0023335C"/>
    <w:rsid w:val="00245570"/>
    <w:rsid w:val="002A57D3"/>
    <w:rsid w:val="002B04A6"/>
    <w:rsid w:val="002C1299"/>
    <w:rsid w:val="002D703A"/>
    <w:rsid w:val="002F5092"/>
    <w:rsid w:val="003115AC"/>
    <w:rsid w:val="003143DF"/>
    <w:rsid w:val="003520E9"/>
    <w:rsid w:val="00354E18"/>
    <w:rsid w:val="00387916"/>
    <w:rsid w:val="003B3DA0"/>
    <w:rsid w:val="003C696A"/>
    <w:rsid w:val="003D1C71"/>
    <w:rsid w:val="003D5798"/>
    <w:rsid w:val="003E41CB"/>
    <w:rsid w:val="00406EE7"/>
    <w:rsid w:val="0044759B"/>
    <w:rsid w:val="00450DCC"/>
    <w:rsid w:val="00457D00"/>
    <w:rsid w:val="004B725B"/>
    <w:rsid w:val="00511307"/>
    <w:rsid w:val="005402F0"/>
    <w:rsid w:val="005940EC"/>
    <w:rsid w:val="005A436D"/>
    <w:rsid w:val="005B05E0"/>
    <w:rsid w:val="005D779E"/>
    <w:rsid w:val="005F709E"/>
    <w:rsid w:val="006261C7"/>
    <w:rsid w:val="00626540"/>
    <w:rsid w:val="006305A5"/>
    <w:rsid w:val="00641B6B"/>
    <w:rsid w:val="0066651E"/>
    <w:rsid w:val="006B2358"/>
    <w:rsid w:val="006F25E3"/>
    <w:rsid w:val="007123B9"/>
    <w:rsid w:val="007453F0"/>
    <w:rsid w:val="007D41E2"/>
    <w:rsid w:val="00826943"/>
    <w:rsid w:val="00831A9F"/>
    <w:rsid w:val="008415CC"/>
    <w:rsid w:val="00881563"/>
    <w:rsid w:val="008C4829"/>
    <w:rsid w:val="00910B9D"/>
    <w:rsid w:val="00912239"/>
    <w:rsid w:val="00941BD5"/>
    <w:rsid w:val="00960A81"/>
    <w:rsid w:val="00960C41"/>
    <w:rsid w:val="00976D3A"/>
    <w:rsid w:val="00980B8F"/>
    <w:rsid w:val="00983280"/>
    <w:rsid w:val="00992E35"/>
    <w:rsid w:val="00A124E1"/>
    <w:rsid w:val="00A86FE1"/>
    <w:rsid w:val="00AD3A29"/>
    <w:rsid w:val="00AD7A86"/>
    <w:rsid w:val="00B172CF"/>
    <w:rsid w:val="00B22787"/>
    <w:rsid w:val="00B22CBC"/>
    <w:rsid w:val="00B322C4"/>
    <w:rsid w:val="00B4436B"/>
    <w:rsid w:val="00B87786"/>
    <w:rsid w:val="00BB32BC"/>
    <w:rsid w:val="00BE3280"/>
    <w:rsid w:val="00BE43C6"/>
    <w:rsid w:val="00BF3E98"/>
    <w:rsid w:val="00C123C9"/>
    <w:rsid w:val="00C42C6E"/>
    <w:rsid w:val="00C96C7F"/>
    <w:rsid w:val="00CA095E"/>
    <w:rsid w:val="00CF672D"/>
    <w:rsid w:val="00D011BC"/>
    <w:rsid w:val="00D7007A"/>
    <w:rsid w:val="00D753E3"/>
    <w:rsid w:val="00D80F0F"/>
    <w:rsid w:val="00D91B57"/>
    <w:rsid w:val="00DC6621"/>
    <w:rsid w:val="00DE1151"/>
    <w:rsid w:val="00E10721"/>
    <w:rsid w:val="00E16964"/>
    <w:rsid w:val="00E87E5D"/>
    <w:rsid w:val="00EA2387"/>
    <w:rsid w:val="00EA2AB8"/>
    <w:rsid w:val="00EE32E7"/>
    <w:rsid w:val="00EE4A9C"/>
    <w:rsid w:val="00EE7511"/>
    <w:rsid w:val="00F04F70"/>
    <w:rsid w:val="00F55362"/>
    <w:rsid w:val="00F73E6F"/>
    <w:rsid w:val="00FF3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7EB1"/>
  <w15:chartTrackingRefBased/>
  <w15:docId w15:val="{C0EE46A8-3F91-4D8F-82A5-E2DC8493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46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1005</TotalTime>
  <Pages>3</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Yoshimura, Anthony Chan</dc:creator>
  <cp:keywords/>
  <dc:description/>
  <cp:lastModifiedBy>Yoshimura, Anthony Chan</cp:lastModifiedBy>
  <cp:revision>91</cp:revision>
  <dcterms:created xsi:type="dcterms:W3CDTF">2022-05-11T16:31:00Z</dcterms:created>
  <dcterms:modified xsi:type="dcterms:W3CDTF">2022-05-12T22:16:00Z</dcterms:modified>
</cp:coreProperties>
</file>