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Dados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UFCD 10811 Projeto Final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Formador António Francisco da Costa Machado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Projeto Final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 Fernandes 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Anaiis Gilbert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Berlinda Caiongo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Faro, 8 de fevereiro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Análise de dados cinematográficos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Objectivo: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Explorar o conjunto de dados cinematográficos e efetuar análise exploratória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Não existe resultado correto.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Pretende-se que sejam criativos e analíticos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Entrega de um relatório simples que demonstre algum trabalho e capacidade de análise.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Poderá ser feito em grupo de dois no máximo.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As Tarefas podem ser possíveis ou não. Se não for possível, diga porquê.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Uso do jupiter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Tempo integral durante as aulas e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Dados: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https://www.kaggle.com/datasets/rounakbanik/the-movies-dataset</w:t>
        </w:r>
      </w:hyperlink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Tarefas: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Limpeza de dados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Tratar valores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Limpar duplicados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Certifique-se de que os tipos de dados sejam apropriados para cada coluna.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Estatística Descritiva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Calcular média, mediana, desvio padrão por tipo de filme por exemplo.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Explore a distribuição de variáveis, especialmente as numéricas, como receita de bilheteria e avaliações.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Visualização de dados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424"/>
          <w:sz w:val="24"/>
          <w:szCs w:val="24"/>
          <w:rtl w:val="0"/>
        </w:rPr>
        <w:t xml:space="preserve">Crie visualizações para representar a distribuição de variáveis chave recorrendo a histogramas, gráficos de caixa ou outros gráficos relevantes.</w:t>
      </w:r>
      <w:r w:rsidDel="00000000" w:rsidR="00000000" w:rsidRPr="00000000">
        <w:rPr>
          <w:rFonts w:ascii="Quattrocento Sans" w:cs="Quattrocento Sans" w:eastAsia="Quattrocento Sans" w:hAnsi="Quattrocento Sans"/>
          <w:color w:val="24242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Visualize a distribuição dos gêneros cinematográficos.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Análise temporal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Evolução do mercado cinematográfico ao longo do tempo.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Análise de receitas vs orçamento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Analise a relação entre orçamento e receita.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hd w:fill="ffffff" w:val="clear"/>
        <w:spacing w:after="0" w:line="240" w:lineRule="auto"/>
        <w:ind w:left="216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Quais os filmes mais rentáveis.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b w:val="1"/>
          <w:color w:val="374151"/>
          <w:sz w:val="24"/>
          <w:szCs w:val="24"/>
          <w:rtl w:val="0"/>
        </w:rPr>
        <w:t xml:space="preserve">Conclusões e previsões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Tente encontrar um modelo de ML que possa efetuar previsões.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hd w:fill="ffffff" w:val="clear"/>
        <w:spacing w:after="280" w:before="0" w:line="240" w:lineRule="auto"/>
        <w:ind w:left="2160" w:hanging="360"/>
        <w:rPr>
          <w:rFonts w:ascii="Quattrocento Sans" w:cs="Quattrocento Sans" w:eastAsia="Quattrocento Sans" w:hAnsi="Quattrocento Sans"/>
          <w:color w:val="2424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Previsão de receitas de um filme Drama, Thriller....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Webgrafia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4457708</wp:posOffset>
          </wp:positionH>
          <wp:positionV relativeFrom="paragraph">
            <wp:posOffset>0</wp:posOffset>
          </wp:positionV>
          <wp:extent cx="1056323" cy="596207"/>
          <wp:effectExtent b="0" l="0" r="0" t="0"/>
          <wp:wrapSquare wrapText="bothSides" distB="0" distT="0" distL="114300" distR="114300"/>
          <wp:docPr descr="CM de Coimbra estabelece protocolo com o IEFP para promover ..." id="1" name="image1.png"/>
          <a:graphic>
            <a:graphicData uri="http://schemas.openxmlformats.org/drawingml/2006/picture">
              <pic:pic>
                <pic:nvPicPr>
                  <pic:cNvPr descr="CM de Coimbra estabelece protocolo com o IEFP para promover ..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6323" cy="5962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rounakbanik/the-movies-datas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7y1gJLjNR9+9SeSp+Jg65Oaig==">CgMxLjA4AHIhMS1CREFHWXdwMGNjeW9oeTVEVGVmRkJVNVQ4SFRpT0hs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