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Cases</w:t>
      </w:r>
      <w:r w:rsidDel="00000000" w:rsidR="00000000" w:rsidRPr="00000000">
        <w:rPr>
          <w:sz w:val="26"/>
          <w:szCs w:val="26"/>
          <w:rtl w:val="0"/>
        </w:rPr>
        <w:t xml:space="preserve"> -</w:t>
        <w:br w:type="textWrapping"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Keywords Loaded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(Case UID)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Options - yes/no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Defaults to no.</w:t>
              <w:br w:type="textWrapping"/>
              <w:t xml:space="preserve">Can be ‘no’ even if ‘keywords’ column has values as there can be a new upload / recording for a case, and hence we’d recalculate the keywords. Can be ‘yes’ for an empty keywords column if there are no commonalities across witness interviews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all keywords obtained for the case.</w:t>
              <w:br w:type="textWrapping"/>
              <w:t xml:space="preserve">Eg - [‘green shirt’, ‘yellow car’]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Recordings -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RecordingId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RecordingName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RecordingLink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Transcript 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(Recording UID)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to Cases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Perhaps a Google drive link to the recording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Perhaps a Google drive link to the transcription</w:t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y0WVf+oL+r3auvqTUpzsP4pfrw==">AMUW2mUymSWMvRmLozmPMSjZ0wsZc1TqvpT6t7EjAbT2Q3s1BbRXbyUS55AW3eq4B3j5XoZf0GxIbgzFIf5/I4zzMcgm5TQEIkBfOrC0aonToCrx7ndNCa4=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