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FE73" w14:textId="3C1C08F1" w:rsidR="00B72E7A" w:rsidRDefault="00000000">
      <w:pPr>
        <w:pStyle w:val="1"/>
        <w:bidi/>
        <w:spacing w:after="240"/>
        <w:jc w:val="right"/>
        <w:rPr>
          <w:rtl/>
        </w:rPr>
      </w:pPr>
      <w:proofErr w:type="spellStart"/>
      <w:r>
        <w:t>הקמת</w:t>
      </w:r>
      <w:proofErr w:type="spellEnd"/>
      <w:r>
        <w:t xml:space="preserve"> </w:t>
      </w:r>
      <w:proofErr w:type="spellStart"/>
      <w:r>
        <w:t>טבלת</w:t>
      </w:r>
      <w:proofErr w:type="spellEnd"/>
      <w:r w:rsidR="000E2CA9">
        <w:rPr>
          <w:rFonts w:hint="cs"/>
          <w:rtl/>
        </w:rPr>
        <w:t xml:space="preserve"> קריטריונים להבטחת הכנסה</w:t>
      </w:r>
    </w:p>
    <w:p w14:paraId="5E095B24" w14:textId="344846E0" w:rsidR="000E2CA9" w:rsidRPr="000E2CA9" w:rsidRDefault="000E2CA9" w:rsidP="000E2CA9">
      <w:pPr>
        <w:pStyle w:val="1"/>
        <w:bidi/>
        <w:spacing w:after="240"/>
        <w:rPr>
          <w:rFonts w:hint="cs"/>
          <w:b/>
          <w:bCs/>
          <w:color w:val="auto"/>
          <w:rtl/>
        </w:rPr>
      </w:pPr>
      <w:r w:rsidRPr="000E2CA9">
        <w:rPr>
          <w:rFonts w:hint="cs"/>
          <w:b/>
          <w:bCs/>
          <w:color w:val="auto"/>
          <w:rtl/>
        </w:rPr>
        <w:t>קליטת שנה חדשה: ייצא טבלה קיימת במסך. הוסף לאקסל שנו</w:t>
      </w:r>
      <w:r>
        <w:rPr>
          <w:rFonts w:hint="cs"/>
          <w:b/>
          <w:bCs/>
          <w:color w:val="auto"/>
          <w:rtl/>
        </w:rPr>
        <w:t>צ</w:t>
      </w:r>
      <w:r w:rsidRPr="000E2CA9">
        <w:rPr>
          <w:rFonts w:hint="cs"/>
          <w:b/>
          <w:bCs/>
          <w:color w:val="auto"/>
          <w:rtl/>
        </w:rPr>
        <w:t xml:space="preserve">ר </w:t>
      </w:r>
      <w:r>
        <w:rPr>
          <w:rFonts w:hint="cs"/>
          <w:b/>
          <w:bCs/>
          <w:color w:val="auto"/>
          <w:rtl/>
        </w:rPr>
        <w:t>את ה</w:t>
      </w:r>
      <w:r w:rsidRPr="000E2CA9">
        <w:rPr>
          <w:rFonts w:hint="cs"/>
          <w:b/>
          <w:bCs/>
          <w:color w:val="auto"/>
          <w:rtl/>
        </w:rPr>
        <w:t xml:space="preserve">שורות של הטבלה החדשה של משרד הפנים. טען </w:t>
      </w:r>
      <w:proofErr w:type="spellStart"/>
      <w:r w:rsidRPr="000E2CA9">
        <w:rPr>
          <w:rFonts w:hint="cs"/>
          <w:b/>
          <w:bCs/>
          <w:color w:val="auto"/>
          <w:rtl/>
        </w:rPr>
        <w:t>הכל</w:t>
      </w:r>
      <w:proofErr w:type="spellEnd"/>
      <w:r w:rsidRPr="000E2CA9">
        <w:rPr>
          <w:rFonts w:hint="cs"/>
          <w:b/>
          <w:bCs/>
          <w:color w:val="auto"/>
          <w:rtl/>
        </w:rPr>
        <w:t xml:space="preserve"> בכפתור קליטה מאקסל</w:t>
      </w:r>
    </w:p>
    <w:p w14:paraId="45E6DBFA" w14:textId="77777777" w:rsidR="000E2CA9" w:rsidRDefault="000E2CA9" w:rsidP="000E2CA9">
      <w:pPr>
        <w:pStyle w:val="1"/>
        <w:spacing w:after="240"/>
      </w:pPr>
      <w:r>
        <w:t>The safe answer</w:t>
      </w:r>
    </w:p>
    <w:p w14:paraId="4491ED39" w14:textId="77777777" w:rsidR="000E2CA9" w:rsidRDefault="000E2CA9" w:rsidP="000E2CA9">
      <w:pPr>
        <w:pStyle w:val="1"/>
        <w:spacing w:after="240"/>
        <w:rPr>
          <w:rtl/>
        </w:rPr>
      </w:pPr>
    </w:p>
    <w:p w14:paraId="2D4670A9" w14:textId="77777777" w:rsidR="000E2CA9" w:rsidRDefault="000E2CA9" w:rsidP="000E2CA9">
      <w:pPr>
        <w:pStyle w:val="1"/>
        <w:spacing w:after="240"/>
      </w:pPr>
      <w:r>
        <w:t xml:space="preserve">Always start from the export button. </w:t>
      </w:r>
      <w:proofErr w:type="spellStart"/>
      <w:r>
        <w:t>btnExportExcel</w:t>
      </w:r>
      <w:proofErr w:type="spellEnd"/>
      <w:r>
        <w:t xml:space="preserve"> writes exactly the five columns the import expects, in exactly the right order. Edit that file and import it back.</w:t>
      </w:r>
    </w:p>
    <w:p w14:paraId="025CCBC8" w14:textId="77777777" w:rsidR="000E2CA9" w:rsidRDefault="000E2CA9" w:rsidP="000E2CA9">
      <w:pPr>
        <w:pStyle w:val="1"/>
        <w:spacing w:after="240"/>
        <w:rPr>
          <w:rtl/>
        </w:rPr>
      </w:pPr>
    </w:p>
    <w:p w14:paraId="3D02569A" w14:textId="77777777" w:rsidR="000E2CA9" w:rsidRDefault="000E2CA9" w:rsidP="000E2CA9">
      <w:pPr>
        <w:pStyle w:val="1"/>
        <w:spacing w:after="240"/>
      </w:pPr>
      <w:r>
        <w:t>This matters more here than in the codes workbook, because this import reads by column position, not by header text:</w:t>
      </w:r>
    </w:p>
    <w:p w14:paraId="1DC12C77" w14:textId="77777777" w:rsidR="000E2CA9" w:rsidRDefault="000E2CA9" w:rsidP="000E2CA9">
      <w:pPr>
        <w:pStyle w:val="1"/>
        <w:spacing w:after="240"/>
        <w:rPr>
          <w:rtl/>
        </w:rPr>
      </w:pPr>
    </w:p>
    <w:p w14:paraId="16D38589" w14:textId="77777777" w:rsidR="000E2CA9" w:rsidRDefault="000E2CA9" w:rsidP="000E2CA9">
      <w:pPr>
        <w:pStyle w:val="1"/>
        <w:spacing w:after="240"/>
      </w:pPr>
      <w:r>
        <w:t xml:space="preserve">int people   = </w:t>
      </w:r>
      <w:proofErr w:type="spellStart"/>
      <w:r>
        <w:t>line.Cell</w:t>
      </w:r>
      <w:proofErr w:type="spellEnd"/>
      <w:r>
        <w:t>(1).</w:t>
      </w:r>
      <w:proofErr w:type="spellStart"/>
      <w:r>
        <w:t>GetValue</w:t>
      </w:r>
      <w:proofErr w:type="spellEnd"/>
      <w:r>
        <w:t>&lt;int&gt;();</w:t>
      </w:r>
    </w:p>
    <w:p w14:paraId="4BB68401" w14:textId="77777777" w:rsidR="000E2CA9" w:rsidRDefault="000E2CA9" w:rsidP="000E2CA9">
      <w:pPr>
        <w:pStyle w:val="1"/>
        <w:spacing w:after="240"/>
      </w:pPr>
      <w:r>
        <w:t xml:space="preserve">decimal from = </w:t>
      </w:r>
      <w:proofErr w:type="spellStart"/>
      <w:r>
        <w:t>line.Cell</w:t>
      </w:r>
      <w:proofErr w:type="spellEnd"/>
      <w:r>
        <w:t>(2).</w:t>
      </w:r>
      <w:proofErr w:type="spellStart"/>
      <w:r>
        <w:t>GetValue</w:t>
      </w:r>
      <w:proofErr w:type="spellEnd"/>
      <w:r>
        <w:t>&lt;decimal&gt;();</w:t>
      </w:r>
    </w:p>
    <w:p w14:paraId="33F2ECC9" w14:textId="77777777" w:rsidR="000E2CA9" w:rsidRDefault="000E2CA9" w:rsidP="000E2CA9">
      <w:pPr>
        <w:pStyle w:val="1"/>
        <w:spacing w:after="240"/>
      </w:pPr>
      <w:r>
        <w:t xml:space="preserve">decimal to   = </w:t>
      </w:r>
      <w:proofErr w:type="spellStart"/>
      <w:r>
        <w:t>line.Cell</w:t>
      </w:r>
      <w:proofErr w:type="spellEnd"/>
      <w:r>
        <w:t>(3).</w:t>
      </w:r>
      <w:proofErr w:type="spellStart"/>
      <w:r>
        <w:t>GetValue</w:t>
      </w:r>
      <w:proofErr w:type="spellEnd"/>
      <w:r>
        <w:t>&lt;decimal&gt;();</w:t>
      </w:r>
    </w:p>
    <w:p w14:paraId="0972AD5F" w14:textId="77777777" w:rsidR="000E2CA9" w:rsidRDefault="000E2CA9" w:rsidP="000E2CA9">
      <w:pPr>
        <w:pStyle w:val="1"/>
        <w:spacing w:after="240"/>
      </w:pPr>
      <w:r>
        <w:t xml:space="preserve">decimal rate = </w:t>
      </w:r>
      <w:proofErr w:type="spellStart"/>
      <w:r>
        <w:t>line.Cell</w:t>
      </w:r>
      <w:proofErr w:type="spellEnd"/>
      <w:r>
        <w:t>(4).</w:t>
      </w:r>
      <w:proofErr w:type="spellStart"/>
      <w:r>
        <w:t>GetValue</w:t>
      </w:r>
      <w:proofErr w:type="spellEnd"/>
      <w:r>
        <w:t>&lt;decimal&gt;();</w:t>
      </w:r>
    </w:p>
    <w:p w14:paraId="0F71BA88" w14:textId="77777777" w:rsidR="000E2CA9" w:rsidRDefault="000E2CA9" w:rsidP="000E2CA9">
      <w:pPr>
        <w:pStyle w:val="1"/>
        <w:spacing w:after="240"/>
      </w:pPr>
      <w:proofErr w:type="spellStart"/>
      <w:r>
        <w:t>DateTime</w:t>
      </w:r>
      <w:proofErr w:type="spellEnd"/>
      <w:r>
        <w:t xml:space="preserve"> validity = </w:t>
      </w:r>
      <w:proofErr w:type="spellStart"/>
      <w:r>
        <w:t>line.Cell</w:t>
      </w:r>
      <w:proofErr w:type="spellEnd"/>
      <w:r>
        <w:t>(5).</w:t>
      </w:r>
      <w:proofErr w:type="spellStart"/>
      <w:r>
        <w:t>GetValue</w:t>
      </w:r>
      <w:proofErr w:type="spellEnd"/>
      <w:r>
        <w:t>&lt;</w:t>
      </w:r>
      <w:proofErr w:type="spellStart"/>
      <w:r>
        <w:t>DateTime</w:t>
      </w:r>
      <w:proofErr w:type="spellEnd"/>
      <w:r>
        <w:t>&gt;();</w:t>
      </w:r>
    </w:p>
    <w:p w14:paraId="190D9C8B" w14:textId="77777777" w:rsidR="000E2CA9" w:rsidRDefault="000E2CA9" w:rsidP="000E2CA9">
      <w:pPr>
        <w:pStyle w:val="1"/>
        <w:spacing w:after="240"/>
        <w:rPr>
          <w:rtl/>
        </w:rPr>
      </w:pPr>
    </w:p>
    <w:p w14:paraId="3A3B4F9F" w14:textId="77777777" w:rsidR="000E2CA9" w:rsidRDefault="000E2CA9" w:rsidP="000E2CA9">
      <w:pPr>
        <w:pStyle w:val="1"/>
        <w:spacing w:after="240"/>
      </w:pPr>
      <w:r>
        <w:t xml:space="preserve">So the header text is ignored entirely. If you build a file by hand and put the columns in the grid's order — with </w:t>
      </w:r>
      <w:proofErr w:type="spellStart"/>
      <w:r>
        <w:rPr>
          <w:rtl/>
        </w:rPr>
        <w:t>הנש</w:t>
      </w:r>
      <w:proofErr w:type="spellEnd"/>
      <w:r>
        <w:t xml:space="preserve"> before the date — column 5 holds a year, </w:t>
      </w:r>
      <w:proofErr w:type="spellStart"/>
      <w:r>
        <w:t>GetValue</w:t>
      </w:r>
      <w:proofErr w:type="spellEnd"/>
      <w:r>
        <w:t>&lt;</w:t>
      </w:r>
      <w:proofErr w:type="spellStart"/>
      <w:r>
        <w:t>DateTime</w:t>
      </w:r>
      <w:proofErr w:type="spellEnd"/>
      <w:r>
        <w:t>&gt;() fails, and every row is rejected as "</w:t>
      </w:r>
      <w:proofErr w:type="spellStart"/>
      <w:r>
        <w:rPr>
          <w:rtl/>
        </w:rPr>
        <w:t>םיכרעה</w:t>
      </w:r>
      <w:proofErr w:type="spellEnd"/>
      <w:r>
        <w:rPr>
          <w:rtl/>
        </w:rPr>
        <w:t xml:space="preserve"> תא אורקל </w:t>
      </w:r>
      <w:proofErr w:type="spellStart"/>
      <w:r>
        <w:rPr>
          <w:rtl/>
        </w:rPr>
        <w:t>ןתינ</w:t>
      </w:r>
      <w:proofErr w:type="spellEnd"/>
      <w:r>
        <w:rPr>
          <w:rtl/>
        </w:rPr>
        <w:t xml:space="preserve"> אל</w:t>
      </w:r>
      <w:r>
        <w:t>". If you inserted an ID column at the front, column 1 would be an ID and column 5 a year, and it would fail the same way.</w:t>
      </w:r>
    </w:p>
    <w:p w14:paraId="106A5969" w14:textId="77777777" w:rsidR="000E2CA9" w:rsidRDefault="000E2CA9" w:rsidP="000E2CA9">
      <w:pPr>
        <w:pStyle w:val="1"/>
        <w:spacing w:after="240"/>
        <w:rPr>
          <w:rtl/>
        </w:rPr>
      </w:pPr>
    </w:p>
    <w:p w14:paraId="1ACD8446" w14:textId="5AF4D208" w:rsidR="000E2CA9" w:rsidRDefault="000E2CA9" w:rsidP="000E2CA9">
      <w:pPr>
        <w:pStyle w:val="1"/>
        <w:spacing w:after="240"/>
        <w:rPr>
          <w:rFonts w:hint="cs"/>
          <w:rtl/>
        </w:rPr>
      </w:pPr>
      <w:r>
        <w:t>Only the first worksheet is read, and the header row is skipped by position (.Skip(1)), so row 1 must be a header — not data</w:t>
      </w:r>
      <w:r>
        <w:rPr>
          <w:rtl/>
        </w:rPr>
        <w:t>.</w:t>
      </w:r>
    </w:p>
    <w:sectPr w:rsidR="000E2C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7946"/>
    <w:multiLevelType w:val="hybridMultilevel"/>
    <w:tmpl w:val="8D241A54"/>
    <w:lvl w:ilvl="0" w:tplc="4942E500">
      <w:start w:val="1"/>
      <w:numFmt w:val="bullet"/>
      <w:lvlText w:val="●"/>
      <w:lvlJc w:val="left"/>
      <w:pPr>
        <w:ind w:left="720" w:hanging="360"/>
      </w:pPr>
    </w:lvl>
    <w:lvl w:ilvl="1" w:tplc="BC325016">
      <w:start w:val="1"/>
      <w:numFmt w:val="bullet"/>
      <w:lvlText w:val="○"/>
      <w:lvlJc w:val="left"/>
      <w:pPr>
        <w:ind w:left="1440" w:hanging="360"/>
      </w:pPr>
    </w:lvl>
    <w:lvl w:ilvl="2" w:tplc="D746200A">
      <w:start w:val="1"/>
      <w:numFmt w:val="bullet"/>
      <w:lvlText w:val="■"/>
      <w:lvlJc w:val="left"/>
      <w:pPr>
        <w:ind w:left="2160" w:hanging="360"/>
      </w:pPr>
    </w:lvl>
    <w:lvl w:ilvl="3" w:tplc="664868EA">
      <w:start w:val="1"/>
      <w:numFmt w:val="bullet"/>
      <w:lvlText w:val="●"/>
      <w:lvlJc w:val="left"/>
      <w:pPr>
        <w:ind w:left="2880" w:hanging="360"/>
      </w:pPr>
    </w:lvl>
    <w:lvl w:ilvl="4" w:tplc="42284C8A">
      <w:start w:val="1"/>
      <w:numFmt w:val="bullet"/>
      <w:lvlText w:val="○"/>
      <w:lvlJc w:val="left"/>
      <w:pPr>
        <w:ind w:left="3600" w:hanging="360"/>
      </w:pPr>
    </w:lvl>
    <w:lvl w:ilvl="5" w:tplc="BC941152">
      <w:start w:val="1"/>
      <w:numFmt w:val="bullet"/>
      <w:lvlText w:val="■"/>
      <w:lvlJc w:val="left"/>
      <w:pPr>
        <w:ind w:left="4320" w:hanging="360"/>
      </w:pPr>
    </w:lvl>
    <w:lvl w:ilvl="6" w:tplc="B33C9D0E">
      <w:start w:val="1"/>
      <w:numFmt w:val="bullet"/>
      <w:lvlText w:val="●"/>
      <w:lvlJc w:val="left"/>
      <w:pPr>
        <w:ind w:left="5040" w:hanging="360"/>
      </w:pPr>
    </w:lvl>
    <w:lvl w:ilvl="7" w:tplc="9CF62218">
      <w:start w:val="1"/>
      <w:numFmt w:val="bullet"/>
      <w:lvlText w:val="●"/>
      <w:lvlJc w:val="left"/>
      <w:pPr>
        <w:ind w:left="5760" w:hanging="360"/>
      </w:pPr>
    </w:lvl>
    <w:lvl w:ilvl="8" w:tplc="38BCED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C63B74"/>
    <w:multiLevelType w:val="hybridMultilevel"/>
    <w:tmpl w:val="2496157A"/>
    <w:lvl w:ilvl="0" w:tplc="4A62FADC">
      <w:start w:val="1"/>
      <w:numFmt w:val="decimal"/>
      <w:lvlText w:val="%1."/>
      <w:lvlJc w:val="left"/>
    </w:lvl>
    <w:lvl w:ilvl="1" w:tplc="538C9E46">
      <w:numFmt w:val="decimal"/>
      <w:lvlText w:val=""/>
      <w:lvlJc w:val="left"/>
    </w:lvl>
    <w:lvl w:ilvl="2" w:tplc="695ED980">
      <w:numFmt w:val="decimal"/>
      <w:lvlText w:val=""/>
      <w:lvlJc w:val="left"/>
    </w:lvl>
    <w:lvl w:ilvl="3" w:tplc="A89253B0">
      <w:numFmt w:val="decimal"/>
      <w:lvlText w:val=""/>
      <w:lvlJc w:val="left"/>
    </w:lvl>
    <w:lvl w:ilvl="4" w:tplc="1E561C76">
      <w:numFmt w:val="decimal"/>
      <w:lvlText w:val=""/>
      <w:lvlJc w:val="left"/>
    </w:lvl>
    <w:lvl w:ilvl="5" w:tplc="6088B3FE">
      <w:numFmt w:val="decimal"/>
      <w:lvlText w:val=""/>
      <w:lvlJc w:val="left"/>
    </w:lvl>
    <w:lvl w:ilvl="6" w:tplc="A10E44FC">
      <w:numFmt w:val="decimal"/>
      <w:lvlText w:val=""/>
      <w:lvlJc w:val="left"/>
    </w:lvl>
    <w:lvl w:ilvl="7" w:tplc="F1828ACA">
      <w:numFmt w:val="decimal"/>
      <w:lvlText w:val=""/>
      <w:lvlJc w:val="left"/>
    </w:lvl>
    <w:lvl w:ilvl="8" w:tplc="D8BE7112">
      <w:numFmt w:val="decimal"/>
      <w:lvlText w:val=""/>
      <w:lvlJc w:val="left"/>
    </w:lvl>
  </w:abstractNum>
  <w:num w:numId="1" w16cid:durableId="877356527">
    <w:abstractNumId w:val="0"/>
    <w:lvlOverride w:ilvl="0">
      <w:startOverride w:val="1"/>
    </w:lvlOverride>
  </w:num>
  <w:num w:numId="2" w16cid:durableId="17959034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E7A"/>
    <w:rsid w:val="000E2CA9"/>
    <w:rsid w:val="004913BC"/>
    <w:rsid w:val="004F1E51"/>
    <w:rsid w:val="006A4B0D"/>
    <w:rsid w:val="0093027D"/>
    <w:rsid w:val="00934B0B"/>
    <w:rsid w:val="00B72E7A"/>
    <w:rsid w:val="00C25995"/>
    <w:rsid w:val="00CE584E"/>
    <w:rsid w:val="00D5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307E"/>
  <w15:docId w15:val="{432ED51C-7881-4DC5-A2F0-3D73ADEF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199</Words>
  <Characters>999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יוסי בן דוד</cp:lastModifiedBy>
  <cp:revision>3</cp:revision>
  <dcterms:created xsi:type="dcterms:W3CDTF">2026-09-05T07:50:00Z</dcterms:created>
  <dcterms:modified xsi:type="dcterms:W3CDTF">2026-09-05T07:54:00Z</dcterms:modified>
</cp:coreProperties>
</file>