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游ゴシック" w:cs="游ゴシック" w:eastAsia="游ゴシック" w:hAnsi="游ゴシック"/>
          <w:b/>
          <w:bCs/>
          <w:sz w:val="32"/>
          <w:szCs w:val="32"/>
        </w:rPr>
        <w:t xml:space="preserve">メール送信セキュリティ強化に向けた</w:t>
      </w:r>
    </w:p>
    <w:p>
      <w:pPr>
        <w:spacing w:after="300"/>
        <w:jc w:val="center"/>
      </w:pPr>
      <w:r>
        <w:rPr>
          <w:rFonts w:ascii="游ゴシック" w:cs="游ゴシック" w:eastAsia="游ゴシック" w:hAnsi="游ゴシック"/>
          <w:b/>
          <w:bCs/>
          <w:sz w:val="32"/>
          <w:szCs w:val="32"/>
        </w:rPr>
        <w:t xml:space="preserve">誤送信防止・添付ファイル送信対策ツール導入企画書（骨子）</w:t>
      </w:r>
    </w:p>
    <w:p>
      <w:pPr>
        <w:spacing w:after="300"/>
        <w:jc w:val="right"/>
      </w:pPr>
      <w:r>
        <w:rPr>
          <w:rFonts w:ascii="游ゴシック" w:cs="游ゴシック" w:eastAsia="游ゴシック" w:hAnsi="游ゴシック"/>
          <w:sz w:val="20"/>
          <w:szCs w:val="20"/>
        </w:rPr>
        <w:t xml:space="preserve">2026年7月24日　情報システム部</w:t>
      </w:r>
    </w:p>
    <w:p>
      <w:pPr>
        <w:pStyle w:val="Heading1"/>
        <w:spacing w:after="160" w:before="320"/>
      </w:pPr>
      <w:r>
        <w:rPr>
          <w:rFonts w:ascii="游ゴシック" w:cs="游ゴシック" w:eastAsia="游ゴシック" w:hAnsi="游ゴシック"/>
          <w:b/>
          <w:bCs/>
          <w:color w:val="1F4E79"/>
          <w:sz w:val="28"/>
          <w:szCs w:val="28"/>
        </w:rPr>
        <w:t xml:space="preserve">1. 背景</w:t>
      </w:r>
    </w:p>
    <w:p>
      <w:pPr>
        <w:spacing w:after="120" w:line="300"/>
      </w:pPr>
      <w:r>
        <w:rPr>
          <w:rFonts w:ascii="游ゴシック" w:cs="游ゴシック" w:eastAsia="游ゴシック" w:hAnsi="游ゴシック"/>
          <w:sz w:val="21"/>
          <w:szCs w:val="21"/>
        </w:rPr>
        <w:t xml:space="preserve">脱PPAP（パスワード付きZIPファイルのメール送付慣行の廃止）は、金融庁・デジタル庁をはじめ官公庁・大手企業でも推奨・実施が進んでおり、取引先からの対応要請も増加している。あわせて、メールの誤送信は依然として情報漏えい事故の主要因の一つであり、宛先間違いや添付ファイル間違いによる事故は業種を問わず発生し続けている。</w:t>
      </w:r>
    </w:p>
    <w:p>
      <w:pPr>
        <w:spacing w:after="120" w:line="300"/>
      </w:pPr>
      <w:r>
        <w:rPr>
          <w:rFonts w:ascii="游ゴシック" w:cs="游ゴシック" w:eastAsia="游ゴシック" w:hAnsi="游ゴシック"/>
          <w:sz w:val="21"/>
          <w:szCs w:val="21"/>
        </w:rPr>
        <w:t xml:space="preserve">当社では現在、「誤送信防止」と「外部とのファイル共有」を別々の手段で運用しているが、いずれも継続利用に課題を抱えている。</w:t>
      </w:r>
    </w:p>
    <w:p>
      <w:pPr>
        <w:pStyle w:val="Heading2"/>
        <w:spacing w:after="120" w:before="240"/>
      </w:pPr>
      <w:r>
        <w:rPr>
          <w:rFonts w:ascii="游ゴシック" w:cs="游ゴシック" w:eastAsia="游ゴシック" w:hAnsi="游ゴシック"/>
          <w:b/>
          <w:bCs/>
          <w:color w:val="2E5F8A"/>
          <w:sz w:val="24"/>
          <w:szCs w:val="24"/>
        </w:rPr>
        <w:t xml:space="preserve">(1) 誤送信防止：無償ツール「おかん（OutlookOkan）」</w:t>
      </w:r>
    </w:p>
    <w:p>
      <w:pPr>
        <w:pStyle w:val="ListParagraph"/>
        <w:numPr>
          <w:ilvl w:val="0"/>
          <w:numId w:val="2"/>
        </w:numPr>
        <w:spacing w:after="60" w:line="280"/>
      </w:pPr>
      <w:r>
        <w:rPr>
          <w:rFonts w:ascii="游ゴシック" w:cs="游ゴシック" w:eastAsia="游ゴシック" w:hAnsi="游ゴシック"/>
          <w:sz w:val="21"/>
          <w:szCs w:val="21"/>
        </w:rPr>
        <w:t xml:space="preserve">送信ボタン押下後の確認ポップアップによる「気づき」の促進が中心であり、宛先を誤った場合の情報漏えいそのものを防ぐ仕組みではない</w:t>
      </w:r>
    </w:p>
    <w:p>
      <w:pPr>
        <w:pStyle w:val="ListParagraph"/>
        <w:numPr>
          <w:ilvl w:val="0"/>
          <w:numId w:val="2"/>
        </w:numPr>
        <w:spacing w:after="60" w:line="280"/>
      </w:pPr>
      <w:r>
        <w:rPr>
          <w:rFonts w:ascii="游ゴシック" w:cs="游ゴシック" w:eastAsia="游ゴシック" w:hAnsi="游ゴシック"/>
          <w:sz w:val="21"/>
          <w:szCs w:val="21"/>
        </w:rPr>
        <w:t xml:space="preserve">添付ファイルを自動でダウンロードリンクに置き換える機能（脱PPAP対応）を備えておらず、パスワード付きZIP送付の運用が残存している</w:t>
      </w:r>
    </w:p>
    <w:p>
      <w:pPr>
        <w:pStyle w:val="ListParagraph"/>
        <w:numPr>
          <w:ilvl w:val="0"/>
          <w:numId w:val="2"/>
        </w:numPr>
        <w:spacing w:after="60" w:line="280"/>
      </w:pPr>
      <w:r>
        <w:rPr>
          <w:rFonts w:ascii="游ゴシック" w:cs="游ゴシック" w:eastAsia="游ゴシック" w:hAnsi="游ゴシック"/>
          <w:sz w:val="21"/>
          <w:szCs w:val="21"/>
        </w:rPr>
        <w:t xml:space="preserve">無償ツールであるため公式サポートが限定的で、障害対応や機能拡張を自社運用に依存せざるを得ない</w:t>
      </w:r>
    </w:p>
    <w:p>
      <w:pPr>
        <w:pStyle w:val="ListParagraph"/>
        <w:numPr>
          <w:ilvl w:val="0"/>
          <w:numId w:val="2"/>
        </w:numPr>
        <w:spacing w:after="60" w:line="280"/>
      </w:pPr>
      <w:r>
        <w:rPr>
          <w:rFonts w:ascii="游ゴシック" w:cs="游ゴシック" w:eastAsia="游ゴシック" w:hAnsi="游ゴシック"/>
          <w:sz w:val="21"/>
          <w:szCs w:val="21"/>
        </w:rPr>
        <w:t xml:space="preserve">無料版はクラシック版Outlookにしか対応しておらず、新Outlookへの移行や他のメール環境の採用がしにくいという制約が生じている</w:t>
      </w:r>
    </w:p>
    <w:p>
      <w:pPr>
        <w:pStyle w:val="Heading2"/>
        <w:spacing w:after="120" w:before="240"/>
      </w:pPr>
      <w:r>
        <w:rPr>
          <w:rFonts w:ascii="游ゴシック" w:cs="游ゴシック" w:eastAsia="游ゴシック" w:hAnsi="游ゴシック"/>
          <w:b/>
          <w:bCs/>
          <w:color w:val="2E5F8A"/>
          <w:sz w:val="24"/>
          <w:szCs w:val="24"/>
        </w:rPr>
        <w:t xml:space="preserve">(2) 外部とのファイル共有：SharePoint</w:t>
      </w:r>
    </w:p>
    <w:p>
      <w:pPr>
        <w:spacing w:after="120" w:line="300"/>
      </w:pPr>
      <w:r>
        <w:rPr>
          <w:rFonts w:ascii="游ゴシック" w:cs="游ゴシック" w:eastAsia="游ゴシック" w:hAnsi="游ゴシック"/>
          <w:sz w:val="21"/>
          <w:szCs w:val="21"/>
        </w:rPr>
        <w:t xml:space="preserve">外部への大容量ファイル送付やPPAP代替の手段として、SharePointを用いた外部共有も併用してきた。Microsoft 365のライセンスがあれば追加費用なしで利用でき、クラウドストレージへの保管とアクセス時の認証プロセスにより、メール添付に比べて安全性が高いというメリットがあった。</w:t>
      </w:r>
    </w:p>
    <w:p>
      <w:pPr>
        <w:pStyle w:val="ListParagraph"/>
        <w:numPr>
          <w:ilvl w:val="0"/>
          <w:numId w:val="2"/>
        </w:numPr>
        <w:spacing w:after="60" w:line="280"/>
      </w:pPr>
      <w:r>
        <w:rPr>
          <w:rFonts w:ascii="游ゴシック" w:cs="游ゴシック" w:eastAsia="游ゴシック" w:hAnsi="游ゴシック"/>
          <w:sz w:val="21"/>
          <w:szCs w:val="21"/>
        </w:rPr>
        <w:t xml:space="preserve">しかし、近年のMicrosoftの仕様変更により外部共有機能の継続利用が困難になりつつあり、今後の運用に見通しが立たない</w:t>
      </w:r>
    </w:p>
    <w:p>
      <w:pPr>
        <w:pStyle w:val="ListParagraph"/>
        <w:numPr>
          <w:ilvl w:val="0"/>
          <w:numId w:val="2"/>
        </w:numPr>
        <w:spacing w:after="60" w:line="280"/>
      </w:pPr>
      <w:r>
        <w:rPr>
          <w:rFonts w:ascii="游ゴシック" w:cs="游ゴシック" w:eastAsia="游ゴシック" w:hAnsi="游ゴシック"/>
          <w:sz w:val="21"/>
          <w:szCs w:val="21"/>
        </w:rPr>
        <w:t xml:space="preserve">共有リンクの作成・本文への貼り付けといった手順がメール添付より多く、利用者にとっての使いやすさに課題がある</w:t>
      </w:r>
    </w:p>
    <w:p>
      <w:pPr>
        <w:spacing w:after="120" w:line="300"/>
      </w:pPr>
      <w:r>
        <w:rPr>
          <w:rFonts w:ascii="游ゴシック" w:cs="游ゴシック" w:eastAsia="游ゴシック" w:hAnsi="游ゴシック"/>
          <w:sz w:val="21"/>
          <w:szCs w:val="21"/>
        </w:rPr>
        <w:t xml:space="preserve">以上のとおり、現行の「おかん」と「SharePoint」はいずれも単独では今後の運用継続が難しく、利用環境の制約や使いやすさの面でも限界がある。これらを一体的に解消するため、「誤送信防止」と「添付ファイルの安全な受け渡し（脱PPAP）」を1つのサービスで実現し、かつメール添付と同等の手軽さで利用できる有償の統合メールセキュリティサービスへの切り替えを提案する。</w:t>
      </w:r>
    </w:p>
    <w:p>
      <w:pPr>
        <w:pStyle w:val="Heading1"/>
        <w:spacing w:after="160" w:before="320"/>
      </w:pPr>
      <w:r>
        <w:rPr>
          <w:rFonts w:ascii="游ゴシック" w:cs="游ゴシック" w:eastAsia="游ゴシック" w:hAnsi="游ゴシック"/>
          <w:b/>
          <w:bCs/>
          <w:color w:val="1F4E79"/>
          <w:sz w:val="28"/>
          <w:szCs w:val="28"/>
        </w:rPr>
        <w:t xml:space="preserve">2. サービス比較表</w:t>
      </w:r>
    </w:p>
    <w:p>
      <w:pPr>
        <w:spacing w:after="120" w:line="300"/>
      </w:pPr>
      <w:r>
        <w:rPr>
          <w:rFonts w:ascii="游ゴシック" w:cs="游ゴシック" w:eastAsia="游ゴシック" w:hAnsi="游ゴシック"/>
          <w:sz w:val="21"/>
          <w:szCs w:val="21"/>
        </w:rPr>
        <w:t xml:space="preserve">誤送信防止機能・添付ファイルの脱PPAP対応・料金体系・サポート体制の観点で、代表的な有償サービス3社（ヘンゲ、デジタルアーツ、Canon）と現行の無償ツール（おかん）を比較した。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1900"/>
        <w:gridCol w:w="1826"/>
      </w:tblGrid>
      <w:tr>
        <w:trPr>
          <w:tblHeader/>
        </w:trPr>
        <w:tc>
          <w:tcPr>
            <w:tcW w:type="dxa" w:w="1500"/>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比較項目</w:t>
            </w:r>
          </w:p>
        </w:tc>
        <w:tc>
          <w:tcPr>
            <w:tcW w:type="dxa" w:w="19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ヘンゲ
(HENNGE Email DLP)</w:t>
            </w:r>
          </w:p>
        </w:tc>
        <w:tc>
          <w:tcPr>
            <w:tcW w:type="dxa" w:w="19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デジタルアーツ
(m-FILTER＠Cloud)</w:t>
            </w:r>
          </w:p>
        </w:tc>
        <w:tc>
          <w:tcPr>
            <w:tcW w:type="dxa" w:w="1900"/>
            <w:shd w:fill="FCE9D5"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Canon
(Outbound Security for Microsoft 365)</w:t>
            </w:r>
          </w:p>
        </w:tc>
        <w:tc>
          <w:tcPr>
            <w:tcW w:type="dxa" w:w="1826"/>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おかん
(OutlookOkan)【現行】</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提供会社</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HENNGE株式会社</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デジタルアーツ株式会社</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キヤノンITソリューションズ株式会社</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株式会社のらねこ</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提供形態</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SaaS（Microsoft 365 / Google Workspace 連携）</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クラウド（メールフィルタリング＋オプション連携、メール環境を問わず利用可）</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SaaS（Microsoft 365専用のOutlookアドイン型。管理者がM365管理センターで登録するだけで全ユーザーに適用、利用者側の設定不要）</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Outlookアドイン（無償OSS、クラシック版Outlookのみ対応）</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誤送信防止機能</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送信一時保留、宛先・添付内容チェック、ポリシー違反送信のブロック等</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送信一時保留、上長承認、宛先チェック等の柔軟なルール設定</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送信前確認ポップアップ（宛先・本文・添付ファイルの確認）、宛先の自動BCC変換</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送信ボタン押下後に確認ポップアップを表示（気づきを促す）</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添付ファイル脱PPAP対応
（自動ダウンロードリンク置換）</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添付ファイルをクラウドに自動退避し本文にDLリンクを挿入</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「f-FILTER」連携でオンラインストレージ化・DLリンク化</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
添付ファイルを自動でダウンロードリンク化。誤送信時はダウンロードサイト側でファイルを非公開化でき漏えいを防止、ダウンロード履歴も確認可能</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本機能なし（添付ファイル自体は平文のまま送信される）</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ダウンロードリンク化できる
ファイル容量</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1ファイル 15MBまで
（超える場合は別サービス「HENNGE Secure Transfer」の追加契約が必要）</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標準100MBまで
（大容量オプション適用で最大20GBまで拡張可、オプション費用別途）</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1メール（添付合計）150MBまで
添付10ファイルまで</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（機能自体がないため対象外）</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料金体系（参考・税別）</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月額 350円／ユーザー
（誤送信対策・脱PPAP・大容量転送等が1プランに統合）</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月額 200円～／ユーザー
（メールフィルタ本体＋f-FILTERオプションの組合せ、初期費用別途）</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月額 100円～／ユーザー
（誤送信防止＋脱PPAPが1アドインに統合、初期費用0円、10ユーザー以上・年間契約）</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無償（サポート・導入支援等が必要な場合のみ有償プランあり）</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導入実績・サポート体制</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国内シェア上位、導入実績3,200社以上</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老舗メールフィルタリングベンダー、大企業への導入実績が豊富</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複合機・事務機販売網を持つキヤノングループの全国的な導入・保守サポート体制</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無償ツールのため公式サポートは限定的（有償プランで補完）</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総評</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機能は充実するが月額単価はやや高め</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ルール設定は柔軟だが本体＋オプションの契約構成がやや複雑</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誤送信防止・脱PPAPを1つのアドインで完結しつつ、月額単価は3社中最も低い。価格と機能のバランスが良い</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コストはゼロだが脱PPAP機能を欠き、現状の課題を解決できない</w:t>
            </w:r>
          </w:p>
        </w:tc>
      </w:tr>
    </w:tbl>
    <w:p>
      <w:pPr>
        <w:spacing w:before="120"/>
      </w:pPr>
      <w:r>
        <w:rPr>
          <w:rFonts w:ascii="游ゴシック" w:cs="游ゴシック" w:eastAsia="游ゴシック" w:hAnsi="游ゴシック"/>
          <w:i/>
          <w:iCs/>
          <w:sz w:val="18"/>
          <w:szCs w:val="18"/>
        </w:rPr>
        <w:t xml:space="preserve">※ 料金・ファイル容量は各社公開情報に基づく参考値であり、実際の契約金額・仕様は個別見積り・最新の公開情報により変動する。</w:t>
      </w:r>
    </w:p>
    <w:p>
      <w:pPr>
        <w:pStyle w:val="Heading1"/>
        <w:spacing w:after="160" w:before="320"/>
      </w:pPr>
      <w:r>
        <w:rPr>
          <w:rFonts w:ascii="游ゴシック" w:cs="游ゴシック" w:eastAsia="游ゴシック" w:hAnsi="游ゴシック"/>
          <w:b/>
          <w:bCs/>
          <w:color w:val="1F4E79"/>
          <w:sz w:val="28"/>
          <w:szCs w:val="28"/>
        </w:rPr>
        <w:t xml:space="preserve">3. 比較検討結果</w:t>
      </w:r>
    </w:p>
    <w:p>
      <w:pPr>
        <w:spacing w:after="120" w:line="300"/>
      </w:pPr>
      <w:r>
        <w:rPr>
          <w:rFonts w:ascii="游ゴシック" w:cs="游ゴシック" w:eastAsia="游ゴシック" w:hAnsi="游ゴシック"/>
          <w:b/>
          <w:bCs/>
          <w:sz w:val="21"/>
          <w:szCs w:val="21"/>
        </w:rPr>
        <w:t xml:space="preserve">上記比較の結果、導入サービスとしてCanon（Outbound Security for Microsoft 365）を推奨する。理由は以下のとおりである。</w:t>
      </w:r>
    </w:p>
    <w:p>
      <w:pPr>
        <w:pStyle w:val="Heading2"/>
        <w:spacing w:after="120" w:before="240"/>
      </w:pPr>
      <w:r>
        <w:rPr>
          <w:rFonts w:ascii="游ゴシック" w:cs="游ゴシック" w:eastAsia="游ゴシック" w:hAnsi="游ゴシック"/>
          <w:b/>
          <w:bCs/>
          <w:color w:val="2E5F8A"/>
          <w:sz w:val="24"/>
          <w:szCs w:val="24"/>
        </w:rPr>
        <w:t xml:space="preserve">(1) 誤送信防止と脱PPAPを1つのアドインで過不足なくカバー</w:t>
      </w:r>
    </w:p>
    <w:p>
      <w:pPr>
        <w:spacing w:after="120" w:line="300"/>
      </w:pPr>
      <w:r>
        <w:rPr>
          <w:rFonts w:ascii="游ゴシック" w:cs="游ゴシック" w:eastAsia="游ゴシック" w:hAnsi="游ゴシック"/>
          <w:sz w:val="21"/>
          <w:szCs w:val="21"/>
        </w:rPr>
        <w:t xml:space="preserve">Canonの「Outbound Security for Microsoft 365」は、送信前確認ポップアップ・宛先自動BCC変換による誤送信防止機能と、添付ファイルの自動ダウンロードリンク化（脱PPAP）を、Microsoft 365専用の単一のOutlookアドインとして提供する。ヘンゲと同様に機能不足なく現状の課題（誤送信・PPAP運用）を解消でき、現行の「おかん」で欠けている脱PPAP機能についても、誤送信時のダウンロードサイト側でのファイル非公開化により漏えいを遮断できる点で確実にカバーできる。</w:t>
      </w:r>
    </w:p>
    <w:p>
      <w:pPr>
        <w:pStyle w:val="Heading2"/>
        <w:spacing w:after="120" w:before="240"/>
      </w:pPr>
      <w:r>
        <w:rPr>
          <w:rFonts w:ascii="游ゴシック" w:cs="游ゴシック" w:eastAsia="游ゴシック" w:hAnsi="游ゴシック"/>
          <w:b/>
          <w:bCs/>
          <w:color w:val="2E5F8A"/>
          <w:sz w:val="24"/>
          <w:szCs w:val="24"/>
        </w:rPr>
        <w:t xml:space="preserve">(2) 価格の優位性</w:t>
      </w:r>
    </w:p>
    <w:p>
      <w:pPr>
        <w:spacing w:after="120" w:line="300"/>
      </w:pPr>
      <w:r>
        <w:rPr>
          <w:rFonts w:ascii="游ゴシック" w:cs="游ゴシック" w:eastAsia="游ゴシック" w:hAnsi="游ゴシック"/>
          <w:sz w:val="21"/>
          <w:szCs w:val="21"/>
        </w:rPr>
        <w:t xml:space="preserve">月額100円／ユーザー～という価格は、同様に誤送信防止と脱PPAPを1プランで提供するヘンゲ（月額350円／ユーザー）の3分の1以下であり、本体＋オプションの組み合わせが必要なデジタルアーツ（月額200円～／ユーザー）と比べても最も低コストである。初期費用も0円のため、稟議上の投資規模を小さく抑えられる。</w:t>
      </w:r>
    </w:p>
    <w:p>
      <w:pPr>
        <w:pStyle w:val="Heading2"/>
        <w:spacing w:after="120" w:before="240"/>
      </w:pPr>
      <w:r>
        <w:rPr>
          <w:rFonts w:ascii="游ゴシック" w:cs="游ゴシック" w:eastAsia="游ゴシック" w:hAnsi="游ゴシック"/>
          <w:b/>
          <w:bCs/>
          <w:color w:val="2E5F8A"/>
          <w:sz w:val="24"/>
          <w:szCs w:val="24"/>
        </w:rPr>
        <w:t xml:space="preserve">(3) ダウンロードリンク化できるファイル容量は追加コストなしで実用十分</w:t>
      </w:r>
    </w:p>
    <w:p>
      <w:pPr>
        <w:spacing w:after="120" w:line="300"/>
      </w:pPr>
      <w:r>
        <w:rPr>
          <w:rFonts w:ascii="游ゴシック" w:cs="游ゴシック" w:eastAsia="游ゴシック" w:hAnsi="游ゴシック"/>
          <w:sz w:val="21"/>
          <w:szCs w:val="21"/>
        </w:rPr>
        <w:t xml:space="preserve">脱PPAP対応において扱えるファイル容量を各社の標準仕様で比較すると、ヘンゲは1ファイル15MBまでで、これを超える場合は「HENNGE Secure Transfer」という別サービスの追加契約が必要になる。デジタルアーツは標準100MBまでで、20GBまでの拡張には別途「大容量オプション」の追加費用がかかる。Canonは追加費用なしの標準仕様で1メールあたり添付合計150MBまで（最大10ファイル）を扱えるため、契約書・提案書・画像を含むプレゼン資料など通常業務で発生する添付ファイルの大半を追加コストなくカバーできる。標準仕様の容量だけで比較すると3社中もっとも大きく、価格の安さと容量の実用性を両立している。数百MBを超える大容量ファイルなど例外的なケースは、必要な部署・場面に限定して別途対応を検討すれば十分であり、全社導入の判断を妨げるものではない。</w:t>
      </w:r>
    </w:p>
    <w:p>
      <w:pPr>
        <w:pStyle w:val="Heading2"/>
        <w:spacing w:after="120" w:before="240"/>
      </w:pPr>
      <w:r>
        <w:rPr>
          <w:rFonts w:ascii="游ゴシック" w:cs="游ゴシック" w:eastAsia="游ゴシック" w:hAnsi="游ゴシック"/>
          <w:b/>
          <w:bCs/>
          <w:color w:val="2E5F8A"/>
          <w:sz w:val="24"/>
          <w:szCs w:val="24"/>
        </w:rPr>
        <w:t xml:space="preserve">(4) 導入・運用の手軽さ</w:t>
      </w:r>
    </w:p>
    <w:p>
      <w:pPr>
        <w:spacing w:after="120" w:line="300"/>
      </w:pPr>
      <w:r>
        <w:rPr>
          <w:rFonts w:ascii="游ゴシック" w:cs="游ゴシック" w:eastAsia="游ゴシック" w:hAnsi="游ゴシック"/>
          <w:sz w:val="21"/>
          <w:szCs w:val="21"/>
        </w:rPr>
        <w:t xml:space="preserve">管理者がMicrosoft 365管理センター上で登録するだけで全ユーザーに適用され、利用者側での個別設定が不要なため、展開までのリードタイムが短く運用負荷も小さい。当社は既にMicrosoft 365ライセンスを保有し、メール運用もMicrosoft 365上で行っているため、本サービスがMicrosoft 365専用であることは実質的な制約にならない。</w:t>
      </w:r>
    </w:p>
    <w:p>
      <w:pPr>
        <w:pStyle w:val="Heading2"/>
        <w:spacing w:after="120" w:before="240"/>
      </w:pPr>
      <w:r>
        <w:rPr>
          <w:rFonts w:ascii="游ゴシック" w:cs="游ゴシック" w:eastAsia="游ゴシック" w:hAnsi="游ゴシック"/>
          <w:b/>
          <w:bCs/>
          <w:color w:val="2E5F8A"/>
          <w:sz w:val="24"/>
          <w:szCs w:val="24"/>
        </w:rPr>
        <w:t xml:space="preserve">(5) 導入・サポート体制</w:t>
      </w:r>
    </w:p>
    <w:p>
      <w:pPr>
        <w:spacing w:after="120" w:line="300"/>
      </w:pPr>
      <w:r>
        <w:rPr>
          <w:rFonts w:ascii="游ゴシック" w:cs="游ゴシック" w:eastAsia="游ゴシック" w:hAnsi="游ゴシック"/>
          <w:sz w:val="21"/>
          <w:szCs w:val="21"/>
        </w:rPr>
        <w:t xml:space="preserve">複合機・事務機分野で培った全国的な販売・保守網を持ち、導入後の問い合わせ対応や運用サポートを受けやすい。</w:t>
      </w:r>
    </w:p>
    <w:p>
      <w:pPr>
        <w:spacing w:after="120" w:line="300"/>
      </w:pPr>
      <w:r>
        <w:rPr>
          <w:rFonts w:ascii="游ゴシック" w:cs="游ゴシック" w:eastAsia="游ゴシック" w:hAnsi="游ゴシック"/>
          <w:b/>
          <w:bCs/>
          <w:sz w:val="21"/>
          <w:szCs w:val="21"/>
        </w:rPr>
        <w:t xml:space="preserve">以上より、Canonは「価格と機能のバランスが良い」サービスであり、誤送信防止・脱PPAPという2つの課題を、実用十分な容量を確保しながら最も低いコストで確実に解決できる選択肢と考える。</w:t>
      </w:r>
    </w:p>
    <w:p>
      <w:pPr>
        <w:pStyle w:val="Heading1"/>
        <w:spacing w:after="160" w:before="320"/>
      </w:pPr>
      <w:r>
        <w:rPr>
          <w:rFonts w:ascii="游ゴシック" w:cs="游ゴシック" w:eastAsia="游ゴシック" w:hAnsi="游ゴシック"/>
          <w:b/>
          <w:bCs/>
          <w:color w:val="1F4E79"/>
          <w:sz w:val="28"/>
          <w:szCs w:val="28"/>
        </w:rPr>
        <w:t xml:space="preserve">4. 早期承認に向けた訴求ポイント</w:t>
      </w:r>
    </w:p>
    <w:p>
      <w:pPr>
        <w:spacing w:after="120" w:line="300"/>
      </w:pPr>
      <w:r>
        <w:rPr>
          <w:rFonts w:ascii="游ゴシック" w:cs="游ゴシック" w:eastAsia="游ゴシック" w:hAnsi="游ゴシック"/>
          <w:sz w:val="21"/>
          <w:szCs w:val="21"/>
        </w:rPr>
        <w:t xml:space="preserve">本件は投資規模が小さく、対応が早いほどリスク低減効果が大きいテーマである。上層部への説明にあたっては、以下の点を強調したい。</w:t>
      </w:r>
    </w:p>
    <w:p>
      <w:pPr>
        <w:pStyle w:val="Heading2"/>
        <w:spacing w:after="120" w:before="240"/>
      </w:pPr>
      <w:r>
        <w:rPr>
          <w:rFonts w:ascii="游ゴシック" w:cs="游ゴシック" w:eastAsia="游ゴシック" w:hAnsi="游ゴシック"/>
          <w:b/>
          <w:bCs/>
          <w:color w:val="2E5F8A"/>
          <w:sz w:val="24"/>
          <w:szCs w:val="24"/>
        </w:rPr>
        <w:t xml:space="preserve">(1) 対応の遅れそのものがリスクである</w:t>
      </w:r>
    </w:p>
    <w:p>
      <w:pPr>
        <w:spacing w:after="120" w:line="300"/>
      </w:pPr>
      <w:r>
        <w:rPr>
          <w:rFonts w:ascii="游ゴシック" w:cs="游ゴシック" w:eastAsia="游ゴシック" w:hAnsi="游ゴシック"/>
          <w:sz w:val="21"/>
          <w:szCs w:val="21"/>
        </w:rPr>
        <w:t xml:space="preserve">JIPDECの調査によれば、個人情報漏えい事故の報告のうち「誤送信」を原因とするものは近年増加傾向にあり、2023年度は2,138件と3年前（764件）の約3倍に達している。誤送信・誤送付は個人情報漏えい事故全体の中でも主要因の一つであり、当社でいつ発生してもおかしくない。JNSAのインシデント被害調査でも、情報セキュリティ事故1件あたりの対応コスト（原因調査・謝罪対応・監督官庁への報告・信用回復対応等）は本サービスの年間利用料を大きく上回るとされており、導入判断を先延ばしにする期間そのものがリスクの露出期間となる。</w:t>
      </w:r>
    </w:p>
    <w:p>
      <w:pPr>
        <w:pStyle w:val="Heading2"/>
        <w:spacing w:after="120" w:before="240"/>
      </w:pPr>
      <w:r>
        <w:rPr>
          <w:rFonts w:ascii="游ゴシック" w:cs="游ゴシック" w:eastAsia="游ゴシック" w:hAnsi="游ゴシック"/>
          <w:b/>
          <w:bCs/>
          <w:color w:val="2E5F8A"/>
          <w:sz w:val="24"/>
          <w:szCs w:val="24"/>
        </w:rPr>
        <w:t xml:space="preserve">(2) 投資規模が小さく、承認のハードルが低い</w:t>
      </w:r>
    </w:p>
    <w:p>
      <w:pPr>
        <w:spacing w:after="120" w:line="300"/>
      </w:pPr>
      <w:r>
        <w:rPr>
          <w:rFonts w:ascii="游ゴシック" w:cs="游ゴシック" w:eastAsia="游ゴシック" w:hAnsi="游ゴシック"/>
          <w:sz w:val="21"/>
          <w:szCs w:val="21"/>
        </w:rPr>
        <w:t xml:space="preserve">想定利用者数130名で月額13,000円程度、年額でも15万円台であり、初期費用も0円である。大規模なシステム投資ではなく、既存のMicrosoft 365ライセンスの範囲内で追加できる低リスクな投資判断として位置づけられる。</w:t>
      </w:r>
    </w:p>
    <w:p>
      <w:pPr>
        <w:pStyle w:val="Heading2"/>
        <w:spacing w:after="120" w:before="240"/>
      </w:pPr>
      <w:r>
        <w:rPr>
          <w:rFonts w:ascii="游ゴシック" w:cs="游ゴシック" w:eastAsia="游ゴシック" w:hAnsi="游ゴシック"/>
          <w:b/>
          <w:bCs/>
          <w:color w:val="2E5F8A"/>
          <w:sz w:val="24"/>
          <w:szCs w:val="24"/>
        </w:rPr>
        <w:t xml:space="preserve">(3) 導入までのリードタイムが短い</w:t>
      </w:r>
    </w:p>
    <w:p>
      <w:pPr>
        <w:spacing w:after="120" w:line="300"/>
      </w:pPr>
      <w:r>
        <w:rPr>
          <w:rFonts w:ascii="游ゴシック" w:cs="游ゴシック" w:eastAsia="游ゴシック" w:hAnsi="游ゴシック"/>
          <w:sz w:val="21"/>
          <w:szCs w:val="21"/>
        </w:rPr>
        <w:t xml:space="preserve">サーバー構築やクライアント側の個別設定が不要で、管理者がMicrosoft 365管理センター上で登録するだけで全社に即時反映できる。決裁から展開まで最短で数週間というスピード感で、脱PPAP・誤送信対策の「待ったなし」の要請に迅速に応えられる。</w:t>
      </w:r>
    </w:p>
    <w:p>
      <w:pPr>
        <w:pStyle w:val="Heading2"/>
        <w:spacing w:after="120" w:before="240"/>
      </w:pPr>
      <w:r>
        <w:rPr>
          <w:rFonts w:ascii="游ゴシック" w:cs="游ゴシック" w:eastAsia="游ゴシック" w:hAnsi="游ゴシック"/>
          <w:b/>
          <w:bCs/>
          <w:color w:val="2E5F8A"/>
          <w:sz w:val="24"/>
          <w:szCs w:val="24"/>
        </w:rPr>
        <w:t xml:space="preserve">(4) 柔軟な見直しが可能</w:t>
      </w:r>
    </w:p>
    <w:p>
      <w:pPr>
        <w:spacing w:after="120" w:line="300"/>
      </w:pPr>
      <w:r>
        <w:rPr>
          <w:rFonts w:ascii="游ゴシック" w:cs="游ゴシック" w:eastAsia="游ゴシック" w:hAnsi="游ゴシック"/>
          <w:sz w:val="21"/>
          <w:szCs w:val="21"/>
        </w:rPr>
        <w:t xml:space="preserve">大規模なシステム改修や長期の契約ロックインを伴わないため、年間契約単位で利用状況を確認しながら、必要に応じて上位プランや他社サービスへの見直しも行いやすい。</w:t>
      </w:r>
    </w:p>
    <w:p>
      <w:pPr>
        <w:pStyle w:val="Heading2"/>
        <w:spacing w:after="120" w:before="240"/>
      </w:pPr>
      <w:r>
        <w:rPr>
          <w:rFonts w:ascii="游ゴシック" w:cs="游ゴシック" w:eastAsia="游ゴシック" w:hAnsi="游ゴシック"/>
          <w:b/>
          <w:bCs/>
          <w:color w:val="2E5F8A"/>
          <w:sz w:val="24"/>
          <w:szCs w:val="24"/>
        </w:rPr>
        <w:t xml:space="preserve">(5) 副次効果：クラシックOutlookからの脱却も可能になる</w:t>
      </w:r>
    </w:p>
    <w:p>
      <w:pPr>
        <w:spacing w:after="120" w:line="300"/>
      </w:pPr>
      <w:r>
        <w:rPr>
          <w:rFonts w:ascii="游ゴシック" w:cs="游ゴシック" w:eastAsia="游ゴシック" w:hAnsi="游ゴシック"/>
          <w:sz w:val="21"/>
          <w:szCs w:val="21"/>
        </w:rPr>
        <w:t xml:space="preserve">現行の「おかん」無料版はクラシック版Outlook専用のアドインであり、これが当社でクラシックOutlookを使い続ける一因になっていた。Canon「Outbound Security for Microsoft 365」は新しいOutlookにも対応するWebアドイン方式のため、この制約が解消される。Microsoftはクラシック版のサポートを2029年末まで延長する一方、2025～2026年にかけて法人向けにも新しいOutlookを既定化する運用を段階的に進めており、当社としてもいずれ対応が必要になる。今回のツール切替を機に新しいOutlookへの移行を計画的に進めれば、ヘルプデスク負荷の軽減やCopilot等のAI機能活用といった副次的な業務効率化効果も見込め、将来の受け身での一斉移行という混乱を避けられる（詳細は別紙「新しいOutlookへの移行検討」を参照）。</w:t>
      </w:r>
    </w:p>
    <w:p>
      <w:pPr>
        <w:pStyle w:val="Heading1"/>
        <w:spacing w:after="160" w:before="320"/>
      </w:pPr>
      <w:r>
        <w:rPr>
          <w:rFonts w:ascii="游ゴシック" w:cs="游ゴシック" w:eastAsia="游ゴシック" w:hAnsi="游ゴシック"/>
          <w:b/>
          <w:bCs/>
          <w:color w:val="1F4E79"/>
          <w:sz w:val="28"/>
          <w:szCs w:val="28"/>
        </w:rPr>
        <w:t xml:space="preserve">5. 概算費用</w:t>
      </w:r>
    </w:p>
    <w:p>
      <w:pPr>
        <w:spacing w:after="120" w:line="300"/>
      </w:pPr>
      <w:r>
        <w:rPr>
          <w:rFonts w:ascii="游ゴシック" w:cs="游ゴシック" w:eastAsia="游ゴシック" w:hAnsi="游ゴシック"/>
          <w:sz w:val="21"/>
          <w:szCs w:val="21"/>
        </w:rPr>
        <w:t xml:space="preserve">想定利用者数を130名とした場合の概算費用は以下のとおり（本稟議では方向性確認を目的とし、正式な費用は見積り取得後に別途報告する）。</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26"/>
      </w:tblGrid>
      <w:tr>
        <w:trPr>
          <w:tblHeader/>
        </w:trPr>
        <w:tc>
          <w:tcPr>
            <w:tcW w:type="dxa" w:w="2400"/>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項目</w:t>
            </w:r>
          </w:p>
        </w:tc>
        <w:tc>
          <w:tcPr>
            <w:tcW w:type="dxa" w:w="24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単価（税別・参考値）</w:t>
            </w:r>
          </w:p>
        </w:tc>
        <w:tc>
          <w:tcPr>
            <w:tcW w:type="dxa" w:w="24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対象ユーザー数</w:t>
            </w:r>
          </w:p>
        </w:tc>
        <w:tc>
          <w:tcPr>
            <w:tcW w:type="dxa" w:w="2126"/>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概算月額</w:t>
            </w:r>
          </w:p>
        </w:tc>
      </w:tr>
      <w:tr>
        <w:tc>
          <w:tcPr>
            <w:tcW w:type="dxa" w:w="24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Canon
Outbound Security for Microsoft 365</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100円～／ユーザー・月</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130名</w:t>
            </w:r>
          </w:p>
        </w:tc>
        <w:tc>
          <w:tcPr>
            <w:tcW w:type="dxa" w:w="2126"/>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13,000円～／月
（年額 156,000円～）</w:t>
            </w:r>
          </w:p>
        </w:tc>
      </w:tr>
      <w:tr>
        <w:tc>
          <w:tcPr>
            <w:tcW w:type="dxa" w:w="24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初期費用・導入設定費</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0円
（オプション追加時は別途見積り）</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w:t>
            </w:r>
          </w:p>
        </w:tc>
        <w:tc>
          <w:tcPr>
            <w:tcW w:type="dxa" w:w="2126"/>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w:t>
            </w:r>
          </w:p>
        </w:tc>
      </w:tr>
    </w:tbl>
    <w:p>
      <w:pPr>
        <w:pStyle w:val="Heading1"/>
        <w:spacing w:after="160" w:before="320"/>
      </w:pPr>
      <w:r>
        <w:rPr>
          <w:rFonts w:ascii="游ゴシック" w:cs="游ゴシック" w:eastAsia="游ゴシック" w:hAnsi="游ゴシック"/>
          <w:b/>
          <w:bCs/>
          <w:color w:val="1F4E79"/>
          <w:sz w:val="28"/>
          <w:szCs w:val="28"/>
        </w:rPr>
        <w:t xml:space="preserve">6. スケジュール</w:t>
      </w:r>
    </w:p>
    <w:p>
      <w:pPr>
        <w:spacing w:after="120" w:line="300"/>
      </w:pPr>
      <w:r>
        <w:rPr>
          <w:rFonts w:ascii="游ゴシック" w:cs="游ゴシック" w:eastAsia="游ゴシック" w:hAnsi="游ゴシック"/>
          <w:sz w:val="21"/>
          <w:szCs w:val="21"/>
        </w:rPr>
        <w:t xml:space="preserve">大規模な構築作業を伴わないサービス特性を踏まえ、決裁後は最短スケジュールでの展開を想定する。</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000"/>
        <w:gridCol w:w="7326"/>
      </w:tblGrid>
      <w:tr>
        <w:trPr>
          <w:tblHeader/>
        </w:trPr>
        <w:tc>
          <w:tcPr>
            <w:tcW w:type="dxa" w:w="20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時期</w:t>
            </w:r>
          </w:p>
        </w:tc>
        <w:tc>
          <w:tcPr>
            <w:tcW w:type="dxa" w:w="7326"/>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実施事項</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2026年8月上旬</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本企画書による稟議決裁、正式見積り取得・契約条件確定</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2026年8月中旬</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契約締結、Microsoft 365管理センターでの初期設定（管理者作業のみで完了、サーバー構築や個別端末設定は不要）</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2026年8月下旬</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全社への利用開始案内、OutlookOkan（おかん）からの切替、問い合わせ対応窓口の整備</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2026年9月～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運用状況のモニタリング、必要に応じた設定調整・利用状況の稟議報告</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2026-07-26T17:11:42.509Z</dcterms:created>
  <dcterms:modified xsi:type="dcterms:W3CDTF">2026-07-26T17:11:42.510Z</dcterms:modified>
</cp:coreProperties>
</file>

<file path=docProps/custom.xml><?xml version="1.0" encoding="utf-8"?>
<Properties xmlns="http://schemas.openxmlformats.org/officeDocument/2006/custom-properties" xmlns:vt="http://schemas.openxmlformats.org/officeDocument/2006/docPropsVTypes"/>
</file>