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游ゴシック" w:cs="游ゴシック" w:eastAsia="游ゴシック" w:hAnsi="游ゴシック"/>
          <w:b/>
          <w:bCs/>
          <w:sz w:val="32"/>
          <w:szCs w:val="32"/>
        </w:rPr>
        <w:t xml:space="preserve">メール送信セキュリティ強化に向けた</w:t>
      </w:r>
    </w:p>
    <w:p>
      <w:pPr>
        <w:spacing w:after="300"/>
        <w:jc w:val="center"/>
      </w:pPr>
      <w:r>
        <w:rPr>
          <w:rFonts w:ascii="游ゴシック" w:cs="游ゴシック" w:eastAsia="游ゴシック" w:hAnsi="游ゴシック"/>
          <w:b/>
          <w:bCs/>
          <w:sz w:val="32"/>
          <w:szCs w:val="32"/>
        </w:rPr>
        <w:t xml:space="preserve">誤送信防止・添付ファイル送信対策ツール導入企画書（骨子）</w:t>
      </w:r>
    </w:p>
    <w:p>
      <w:pPr>
        <w:spacing w:after="300"/>
        <w:jc w:val="right"/>
      </w:pPr>
      <w:r>
        <w:rPr>
          <w:rFonts w:ascii="游ゴシック" w:cs="游ゴシック" w:eastAsia="游ゴシック" w:hAnsi="游ゴシック"/>
          <w:sz w:val="20"/>
          <w:szCs w:val="20"/>
        </w:rPr>
        <w:t xml:space="preserve">2026年7月24日　情報システム部</w:t>
      </w:r>
    </w:p>
    <w:p>
      <w:pPr>
        <w:pStyle w:val="Heading1"/>
        <w:spacing w:after="160" w:before="320"/>
      </w:pPr>
      <w:r>
        <w:rPr>
          <w:rFonts w:ascii="游ゴシック" w:cs="游ゴシック" w:eastAsia="游ゴシック" w:hAnsi="游ゴシック"/>
          <w:b/>
          <w:bCs/>
          <w:color w:val="1F4E79"/>
          <w:sz w:val="28"/>
          <w:szCs w:val="28"/>
        </w:rPr>
        <w:t xml:space="preserve">1. 背景</w:t>
      </w:r>
    </w:p>
    <w:p>
      <w:pPr>
        <w:spacing w:after="120" w:line="300"/>
      </w:pPr>
      <w:r>
        <w:rPr>
          <w:rFonts w:ascii="游ゴシック" w:cs="游ゴシック" w:eastAsia="游ゴシック" w:hAnsi="游ゴシック"/>
          <w:sz w:val="21"/>
          <w:szCs w:val="21"/>
        </w:rPr>
        <w:t xml:space="preserve">脱PPAP（パスワード付きZIPファイルのメール送付慣行の廃止）は、金融庁・デジタル庁をはじめ官公庁・大手企業でも推奨・実施が進んでおり、取引先からの対応要請も増加している。あわせて、メールの誤送信は依然として情報漏えい事故の主要因の一つであり、宛先間違いや添付ファイル間違いによる事故は業種を問わず発生し続けている。</w:t>
      </w:r>
    </w:p>
    <w:p>
      <w:pPr>
        <w:spacing w:after="120" w:line="300"/>
      </w:pPr>
      <w:r>
        <w:rPr>
          <w:rFonts w:ascii="游ゴシック" w:cs="游ゴシック" w:eastAsia="游ゴシック" w:hAnsi="游ゴシック"/>
          <w:sz w:val="21"/>
          <w:szCs w:val="21"/>
        </w:rPr>
        <w:t xml:space="preserve">当社では現在、「誤送信防止」と「外部とのファイル共有」を別々の手段で運用しているが、いずれも継続利用に課題を抱えている。</w:t>
      </w:r>
    </w:p>
    <w:p>
      <w:pPr>
        <w:pStyle w:val="Heading2"/>
        <w:spacing w:after="120" w:before="240"/>
      </w:pPr>
      <w:r>
        <w:rPr>
          <w:rFonts w:ascii="游ゴシック" w:cs="游ゴシック" w:eastAsia="游ゴシック" w:hAnsi="游ゴシック"/>
          <w:b/>
          <w:bCs/>
          <w:color w:val="2E5F8A"/>
          <w:sz w:val="24"/>
          <w:szCs w:val="24"/>
        </w:rPr>
        <w:t xml:space="preserve">(1) 誤送信防止：無償ツール「おかん（OutlookOkan）」</w:t>
      </w:r>
    </w:p>
    <w:p>
      <w:pPr>
        <w:pStyle w:val="ListParagraph"/>
        <w:numPr>
          <w:ilvl w:val="0"/>
          <w:numId w:val="2"/>
        </w:numPr>
        <w:spacing w:after="60" w:line="280"/>
      </w:pPr>
      <w:r>
        <w:rPr>
          <w:rFonts w:ascii="游ゴシック" w:cs="游ゴシック" w:eastAsia="游ゴシック" w:hAnsi="游ゴシック"/>
          <w:sz w:val="21"/>
          <w:szCs w:val="21"/>
        </w:rPr>
        <w:t xml:space="preserve">送信ボタン押下後の確認ポップアップによる「気づき」の促進が中心であり、宛先を誤った場合の情報漏えいそのものを防ぐ仕組みではない</w:t>
      </w:r>
    </w:p>
    <w:p>
      <w:pPr>
        <w:pStyle w:val="ListParagraph"/>
        <w:numPr>
          <w:ilvl w:val="0"/>
          <w:numId w:val="2"/>
        </w:numPr>
        <w:spacing w:after="60" w:line="280"/>
      </w:pPr>
      <w:r>
        <w:rPr>
          <w:rFonts w:ascii="游ゴシック" w:cs="游ゴシック" w:eastAsia="游ゴシック" w:hAnsi="游ゴシック"/>
          <w:sz w:val="21"/>
          <w:szCs w:val="21"/>
        </w:rPr>
        <w:t xml:space="preserve">添付ファイルを自動でダウンロードリンクに置き換える機能（脱PPAP対応）を備えておらず、パスワード付きZIP送付の運用が残存している</w:t>
      </w:r>
    </w:p>
    <w:p>
      <w:pPr>
        <w:pStyle w:val="ListParagraph"/>
        <w:numPr>
          <w:ilvl w:val="0"/>
          <w:numId w:val="2"/>
        </w:numPr>
        <w:spacing w:after="60" w:line="280"/>
      </w:pPr>
      <w:r>
        <w:rPr>
          <w:rFonts w:ascii="游ゴシック" w:cs="游ゴシック" w:eastAsia="游ゴシック" w:hAnsi="游ゴシック"/>
          <w:sz w:val="21"/>
          <w:szCs w:val="21"/>
        </w:rPr>
        <w:t xml:space="preserve">無償ツールであるため公式サポートが限定的で、障害対応や機能拡張を自社運用に依存せざるを得ない</w:t>
      </w:r>
    </w:p>
    <w:p>
      <w:pPr>
        <w:pStyle w:val="ListParagraph"/>
        <w:numPr>
          <w:ilvl w:val="0"/>
          <w:numId w:val="2"/>
        </w:numPr>
        <w:spacing w:after="60" w:line="280"/>
      </w:pPr>
      <w:r>
        <w:rPr>
          <w:rFonts w:ascii="游ゴシック" w:cs="游ゴシック" w:eastAsia="游ゴシック" w:hAnsi="游ゴシック"/>
          <w:sz w:val="21"/>
          <w:szCs w:val="21"/>
        </w:rPr>
        <w:t xml:space="preserve">無料版はクラシック版Outlookにしか対応しておらず、新Outlookへの移行や他のメール環境の採用がしにくいという制約が生じている</w:t>
      </w:r>
    </w:p>
    <w:p>
      <w:pPr>
        <w:pStyle w:val="Heading2"/>
        <w:spacing w:after="120" w:before="240"/>
      </w:pPr>
      <w:r>
        <w:rPr>
          <w:rFonts w:ascii="游ゴシック" w:cs="游ゴシック" w:eastAsia="游ゴシック" w:hAnsi="游ゴシック"/>
          <w:b/>
          <w:bCs/>
          <w:color w:val="2E5F8A"/>
          <w:sz w:val="24"/>
          <w:szCs w:val="24"/>
        </w:rPr>
        <w:t xml:space="preserve">(2) 外部とのファイル共有：SharePoint</w:t>
      </w:r>
    </w:p>
    <w:p>
      <w:pPr>
        <w:spacing w:after="120" w:line="300"/>
      </w:pPr>
      <w:r>
        <w:rPr>
          <w:rFonts w:ascii="游ゴシック" w:cs="游ゴシック" w:eastAsia="游ゴシック" w:hAnsi="游ゴシック"/>
          <w:sz w:val="21"/>
          <w:szCs w:val="21"/>
        </w:rPr>
        <w:t xml:space="preserve">外部への大容量ファイル送付やPPAP代替の手段として、SharePointを用いた外部共有も併用してきた。Microsoft 365のライセンスがあれば追加費用なしで利用でき、クラウドストレージへの保管とアクセス時の認証プロセスにより、メール添付に比べて安全性が高いというメリットがあった。</w:t>
      </w:r>
    </w:p>
    <w:p>
      <w:pPr>
        <w:pStyle w:val="ListParagraph"/>
        <w:numPr>
          <w:ilvl w:val="0"/>
          <w:numId w:val="2"/>
        </w:numPr>
        <w:spacing w:after="60" w:line="280"/>
      </w:pPr>
      <w:r>
        <w:rPr>
          <w:rFonts w:ascii="游ゴシック" w:cs="游ゴシック" w:eastAsia="游ゴシック" w:hAnsi="游ゴシック"/>
          <w:sz w:val="21"/>
          <w:szCs w:val="21"/>
        </w:rPr>
        <w:t xml:space="preserve">しかし、近年のMicrosoftの仕様変更により外部共有機能の継続利用が困難になりつつあり、今後の運用に見通しが立たない</w:t>
      </w:r>
    </w:p>
    <w:p>
      <w:pPr>
        <w:pStyle w:val="ListParagraph"/>
        <w:numPr>
          <w:ilvl w:val="0"/>
          <w:numId w:val="2"/>
        </w:numPr>
        <w:spacing w:after="60" w:line="280"/>
      </w:pPr>
      <w:r>
        <w:rPr>
          <w:rFonts w:ascii="游ゴシック" w:cs="游ゴシック" w:eastAsia="游ゴシック" w:hAnsi="游ゴシック"/>
          <w:sz w:val="21"/>
          <w:szCs w:val="21"/>
        </w:rPr>
        <w:t xml:space="preserve">共有リンクの作成・本文への貼り付けといった手順がメール添付より多く、利用者にとっての使いやすさに課題がある</w:t>
      </w:r>
    </w:p>
    <w:p>
      <w:pPr>
        <w:spacing w:after="120" w:line="300"/>
      </w:pPr>
      <w:r>
        <w:rPr>
          <w:rFonts w:ascii="游ゴシック" w:cs="游ゴシック" w:eastAsia="游ゴシック" w:hAnsi="游ゴシック"/>
          <w:sz w:val="21"/>
          <w:szCs w:val="21"/>
        </w:rPr>
        <w:t xml:space="preserve">以上のとおり、現行の「おかん」と「SharePoint」はいずれも単独では今後の運用継続が難しく、利用環境の制約や使いやすさの面でも限界がある。これらを一体的に解消するため、「誤送信防止」と「添付ファイルの安全な受け渡し（脱PPAP）」を1つのサービスで実現し、かつメール添付と同等の手軽さで利用できる有償の統合メールセキュリティサービスへの切り替えを提案する。</w:t>
      </w:r>
    </w:p>
    <w:p>
      <w:pPr>
        <w:pStyle w:val="Heading1"/>
        <w:spacing w:after="160" w:before="320"/>
      </w:pPr>
      <w:r>
        <w:rPr>
          <w:rFonts w:ascii="游ゴシック" w:cs="游ゴシック" w:eastAsia="游ゴシック" w:hAnsi="游ゴシック"/>
          <w:b/>
          <w:bCs/>
          <w:color w:val="1F4E79"/>
          <w:sz w:val="28"/>
          <w:szCs w:val="28"/>
        </w:rPr>
        <w:t xml:space="preserve">2. サービス比較表</w:t>
      </w:r>
    </w:p>
    <w:p>
      <w:pPr>
        <w:spacing w:after="120" w:line="300"/>
      </w:pPr>
      <w:r>
        <w:rPr>
          <w:rFonts w:ascii="游ゴシック" w:cs="游ゴシック" w:eastAsia="游ゴシック" w:hAnsi="游ゴシック"/>
          <w:sz w:val="21"/>
          <w:szCs w:val="21"/>
        </w:rPr>
        <w:t xml:space="preserve">誤送信防止機能・添付ファイルの脱PPAP対応・料金体系・サポート体制の観点で、代表的な有償サービス3社（ヘンゲ、デジタルアーツ、Canon）と現行の無償ツール（おかん）を比較した。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826"/>
      </w:tblGrid>
      <w:tr>
        <w:trPr>
          <w:tblHeader/>
        </w:trPr>
        <w:tc>
          <w:tcPr>
            <w:tcW w:type="dxa" w:w="1500"/>
            <w:shd w:fill="1F4E79" w:val="clear"/>
            <w:tcMar>
              <w:top w:type="dxa" w:w="80"/>
              <w:left w:type="dxa" w:w="100"/>
              <w:bottom w:type="dxa" w:w="80"/>
              <w:right w:type="dxa" w:w="100"/>
            </w:tcMar>
            <w:vAlign w:val="center"/>
          </w:tcPr>
          <w:p>
            <w:pPr>
              <w:jc w:val="left"/>
            </w:pPr>
            <w:r>
              <w:rPr>
                <w:rFonts w:ascii="游ゴシック" w:cs="游ゴシック" w:eastAsia="游ゴシック" w:hAnsi="游ゴシック"/>
                <w:b/>
                <w:bCs/>
                <w:color w:val="FFFFFF"/>
                <w:sz w:val="19"/>
                <w:szCs w:val="19"/>
              </w:rPr>
              <w:t xml:space="preserve">比較項目</w:t>
            </w:r>
          </w:p>
        </w:tc>
        <w:tc>
          <w:tcPr>
            <w:tcW w:type="dxa" w:w="1900"/>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ヘンゲ
(HENNGE Email DLP)</w:t>
            </w:r>
          </w:p>
        </w:tc>
        <w:tc>
          <w:tcPr>
            <w:tcW w:type="dxa" w:w="1900"/>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デジタルアーツ
(m-FILTER＠Cloud)</w:t>
            </w:r>
          </w:p>
        </w:tc>
        <w:tc>
          <w:tcPr>
            <w:tcW w:type="dxa" w:w="1900"/>
            <w:shd w:fill="FCE9D5" w:val="clear"/>
            <w:tcMar>
              <w:top w:type="dxa" w:w="80"/>
              <w:left w:type="dxa" w:w="100"/>
              <w:bottom w:type="dxa" w:w="80"/>
              <w:right w:type="dxa" w:w="100"/>
            </w:tcMar>
            <w:vAlign w:val="center"/>
          </w:tcPr>
          <w:p>
            <w:pPr>
              <w:jc w:val="center"/>
            </w:pPr>
            <w:r>
              <w:rPr>
                <w:rFonts w:ascii="游ゴシック" w:cs="游ゴシック" w:eastAsia="游ゴシック" w:hAnsi="游ゴシック"/>
                <w:b/>
                <w:bCs/>
                <w:sz w:val="19"/>
                <w:szCs w:val="19"/>
              </w:rPr>
              <w:t xml:space="preserve">Canon
(Outbound Security for Microsoft 365)</w:t>
            </w:r>
          </w:p>
        </w:tc>
        <w:tc>
          <w:tcPr>
            <w:tcW w:type="dxa" w:w="1826"/>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おかん
(OutlookOkan)【現行】</w:t>
            </w:r>
          </w:p>
        </w:tc>
      </w:tr>
      <w:tr>
        <w:tc>
          <w:tcPr>
            <w:tcW w:type="dxa" w:w="15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提供会社</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HENNGE株式会社</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デジタルアーツ株式会社</w:t>
            </w:r>
          </w:p>
        </w:tc>
        <w:tc>
          <w:tcPr>
            <w:tcW w:type="dxa" w:w="1900"/>
            <w:shd w:fill="FCE9D5"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キヤノンITソリューションズ株式会社</w:t>
            </w:r>
          </w:p>
        </w:tc>
        <w:tc>
          <w:tcPr>
            <w:tcW w:type="dxa" w:w="18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株式会社のらねこ</w:t>
            </w:r>
          </w:p>
        </w:tc>
      </w:tr>
      <w:tr>
        <w:tc>
          <w:tcPr>
            <w:tcW w:type="dxa" w:w="15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提供形態</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SaaS（Microsoft 365 / Google Workspace 連携）</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クラウド（メールフィルタリング＋オプション連携、メール環境を問わず利用可）</w:t>
            </w:r>
          </w:p>
        </w:tc>
        <w:tc>
          <w:tcPr>
            <w:tcW w:type="dxa" w:w="1900"/>
            <w:shd w:fill="FCE9D5"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SaaS（Microsoft 365専用のOutlookアドイン型。管理者がM365管理センターで登録するだけで全ユーザーに適用、利用者側の設定不要）</w:t>
            </w:r>
          </w:p>
        </w:tc>
        <w:tc>
          <w:tcPr>
            <w:tcW w:type="dxa" w:w="18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Outlookアドイン（無償OSS、クラシック版Outlookのみ対応）</w:t>
            </w:r>
          </w:p>
        </w:tc>
      </w:tr>
      <w:tr>
        <w:tc>
          <w:tcPr>
            <w:tcW w:type="dxa" w:w="15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誤送信防止機能</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送信一時保留、宛先・添付内容チェック、ポリシー違反送信のブロック等</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送信一時保留、上長承認、宛先チェック等の柔軟なルール設定</w:t>
            </w:r>
          </w:p>
        </w:tc>
        <w:tc>
          <w:tcPr>
            <w:tcW w:type="dxa" w:w="1900"/>
            <w:shd w:fill="FCE9D5"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送信前確認ポップアップ（宛先・本文・添付ファイルの確認）、宛先の自動BCC変換</w:t>
            </w:r>
          </w:p>
        </w:tc>
        <w:tc>
          <w:tcPr>
            <w:tcW w:type="dxa" w:w="18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送信ボタン押下後に確認ポップアップを表示（気づきを促す）</w:t>
            </w:r>
          </w:p>
        </w:tc>
      </w:tr>
      <w:tr>
        <w:tc>
          <w:tcPr>
            <w:tcW w:type="dxa" w:w="15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添付ファイル脱PPAP対応
（自動ダウンロードリンク置換）</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
添付ファイルをクラウドに自動退避し本文にDLリンクを挿入</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
「f-FILTER」連携でオンラインストレージ化・DLリンク化</w:t>
            </w:r>
          </w:p>
        </w:tc>
        <w:tc>
          <w:tcPr>
            <w:tcW w:type="dxa" w:w="1900"/>
            <w:shd w:fill="FCE9D5"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
添付ファイルを自動でダウンロードリンク化。誤送信時はダウンロードサイト側でファイルを非公開化でき漏えいを防止、ダウンロード履歴も確認可能</w:t>
            </w:r>
          </w:p>
        </w:tc>
        <w:tc>
          <w:tcPr>
            <w:tcW w:type="dxa" w:w="18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
本機能なし（添付ファイル自体は平文のまま送信される）</w:t>
            </w:r>
          </w:p>
        </w:tc>
      </w:tr>
      <w:tr>
        <w:tc>
          <w:tcPr>
            <w:tcW w:type="dxa" w:w="15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料金体系（参考・税別）</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月額 350円／ユーザー
（誤送信対策・脱PPAP・大容量転送等が1プランに統合）</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月額 200円～／ユーザー
（メールフィルタ本体＋f-FILTERオプションの組合せ、初期費用別途）</w:t>
            </w:r>
          </w:p>
        </w:tc>
        <w:tc>
          <w:tcPr>
            <w:tcW w:type="dxa" w:w="1900"/>
            <w:shd w:fill="FCE9D5"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月額 100円～／ユーザー
（誤送信防止＋脱PPAPが1アドインに統合、初期費用0円、10ユーザー以上・年間契約）</w:t>
            </w:r>
          </w:p>
        </w:tc>
        <w:tc>
          <w:tcPr>
            <w:tcW w:type="dxa" w:w="18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無償（サポート・導入支援等が必要な場合のみ有償プランあり）</w:t>
            </w:r>
          </w:p>
        </w:tc>
      </w:tr>
      <w:tr>
        <w:tc>
          <w:tcPr>
            <w:tcW w:type="dxa" w:w="15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導入実績・サポート体制</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国内シェア上位、導入実績3,200社以上</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老舗メールフィルタリングベンダー、大企業への導入実績が豊富</w:t>
            </w:r>
          </w:p>
        </w:tc>
        <w:tc>
          <w:tcPr>
            <w:tcW w:type="dxa" w:w="1900"/>
            <w:shd w:fill="FCE9D5"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複合機・事務機販売網を持つキヤノングループの全国的な導入・保守サポート体制</w:t>
            </w:r>
          </w:p>
        </w:tc>
        <w:tc>
          <w:tcPr>
            <w:tcW w:type="dxa" w:w="18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無償ツールのため公式サポートは限定的（有償プランで補完）</w:t>
            </w:r>
          </w:p>
        </w:tc>
      </w:tr>
      <w:tr>
        <w:tc>
          <w:tcPr>
            <w:tcW w:type="dxa" w:w="1500"/>
            <w:shd w:fill="F2F2F2"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総評</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機能は充実するが月額単価はやや高め</w:t>
            </w:r>
          </w:p>
        </w:tc>
        <w:tc>
          <w:tcPr>
            <w:tcW w:type="dxa" w:w="1900"/>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ルール設定は柔軟だが本体＋オプションの契約構成がやや複雑</w:t>
            </w:r>
          </w:p>
        </w:tc>
        <w:tc>
          <w:tcPr>
            <w:tcW w:type="dxa" w:w="1900"/>
            <w:shd w:fill="FCE9D5"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誤送信防止・脱PPAPを1つのアドインで完結しつつ、月額単価は3社中最も低い。価格と機能のバランスが良い</w:t>
            </w:r>
          </w:p>
        </w:tc>
        <w:tc>
          <w:tcPr>
            <w:tcW w:type="dxa" w:w="18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コストはゼロだが脱PPAP機能を欠き、現状の課題を解決できない</w:t>
            </w:r>
          </w:p>
        </w:tc>
      </w:tr>
    </w:tbl>
    <w:p>
      <w:pPr>
        <w:spacing w:before="120"/>
      </w:pPr>
      <w:r>
        <w:rPr>
          <w:rFonts w:ascii="游ゴシック" w:cs="游ゴシック" w:eastAsia="游ゴシック" w:hAnsi="游ゴシック"/>
          <w:i/>
          <w:iCs/>
          <w:sz w:val="18"/>
          <w:szCs w:val="18"/>
        </w:rPr>
        <w:t xml:space="preserve">※ 料金は各社公開情報に基づく参考値であり、実際の契約金額は個別見積りにより変動する。</w:t>
      </w:r>
    </w:p>
    <w:p>
      <w:pPr>
        <w:pStyle w:val="Heading1"/>
        <w:spacing w:after="160" w:before="320"/>
      </w:pPr>
      <w:r>
        <w:rPr>
          <w:rFonts w:ascii="游ゴシック" w:cs="游ゴシック" w:eastAsia="游ゴシック" w:hAnsi="游ゴシック"/>
          <w:b/>
          <w:bCs/>
          <w:color w:val="1F4E79"/>
          <w:sz w:val="28"/>
          <w:szCs w:val="28"/>
        </w:rPr>
        <w:t xml:space="preserve">3. 比較検討結果</w:t>
      </w:r>
    </w:p>
    <w:p>
      <w:pPr>
        <w:spacing w:after="120" w:line="300"/>
      </w:pPr>
      <w:r>
        <w:rPr>
          <w:rFonts w:ascii="游ゴシック" w:cs="游ゴシック" w:eastAsia="游ゴシック" w:hAnsi="游ゴシック"/>
          <w:b/>
          <w:bCs/>
          <w:sz w:val="21"/>
          <w:szCs w:val="21"/>
        </w:rPr>
        <w:t xml:space="preserve">上記比較の結果、導入サービスとしてCanon（Outbound Security for Microsoft 365）を推奨する。理由は以下のとおりである。</w:t>
      </w:r>
    </w:p>
    <w:p>
      <w:pPr>
        <w:pStyle w:val="Heading2"/>
        <w:spacing w:after="120" w:before="240"/>
      </w:pPr>
      <w:r>
        <w:rPr>
          <w:rFonts w:ascii="游ゴシック" w:cs="游ゴシック" w:eastAsia="游ゴシック" w:hAnsi="游ゴシック"/>
          <w:b/>
          <w:bCs/>
          <w:color w:val="2E5F8A"/>
          <w:sz w:val="24"/>
          <w:szCs w:val="24"/>
        </w:rPr>
        <w:t xml:space="preserve">(1) 誤送信防止と脱PPAPを1つのアドインで過不足なくカバー</w:t>
      </w:r>
    </w:p>
    <w:p>
      <w:pPr>
        <w:spacing w:after="120" w:line="300"/>
      </w:pPr>
      <w:r>
        <w:rPr>
          <w:rFonts w:ascii="游ゴシック" w:cs="游ゴシック" w:eastAsia="游ゴシック" w:hAnsi="游ゴシック"/>
          <w:sz w:val="21"/>
          <w:szCs w:val="21"/>
        </w:rPr>
        <w:t xml:space="preserve">Canonの「Outbound Security for Microsoft 365」は、送信前確認ポップアップ・宛先自動BCC変換による誤送信防止機能と、添付ファイルの自動ダウンロードリンク化（脱PPAP）を、Microsoft 365専用の単一のOutlookアドインとして提供する。ヘンゲと同様に機能不足なく現状の課題（誤送信・PPAP運用）を解消でき、現行の「おかん」で欠けている脱PPAP機能についても、誤送信時のダウンロードサイト側でのファイル非公開化により漏えいを遮断できる点で確実にカバーできる。</w:t>
      </w:r>
    </w:p>
    <w:p>
      <w:pPr>
        <w:pStyle w:val="Heading2"/>
        <w:spacing w:after="120" w:before="240"/>
      </w:pPr>
      <w:r>
        <w:rPr>
          <w:rFonts w:ascii="游ゴシック" w:cs="游ゴシック" w:eastAsia="游ゴシック" w:hAnsi="游ゴシック"/>
          <w:b/>
          <w:bCs/>
          <w:color w:val="2E5F8A"/>
          <w:sz w:val="24"/>
          <w:szCs w:val="24"/>
        </w:rPr>
        <w:t xml:space="preserve">(2) 価格の優位性</w:t>
      </w:r>
    </w:p>
    <w:p>
      <w:pPr>
        <w:spacing w:after="120" w:line="300"/>
      </w:pPr>
      <w:r>
        <w:rPr>
          <w:rFonts w:ascii="游ゴシック" w:cs="游ゴシック" w:eastAsia="游ゴシック" w:hAnsi="游ゴシック"/>
          <w:sz w:val="21"/>
          <w:szCs w:val="21"/>
        </w:rPr>
        <w:t xml:space="preserve">月額100円／ユーザー～という価格は、同様に誤送信防止と脱PPAPを1プランで提供するヘンゲ（月額350円／ユーザー）の3分の1以下であり、本体＋オプションの組み合わせが必要なデジタルアーツ（月額200円～／ユーザー）と比べても最も低コストである。初期費用も0円のため、稟議上の投資規模を小さく抑えられる。</w:t>
      </w:r>
    </w:p>
    <w:p>
      <w:pPr>
        <w:pStyle w:val="Heading2"/>
        <w:spacing w:after="120" w:before="240"/>
      </w:pPr>
      <w:r>
        <w:rPr>
          <w:rFonts w:ascii="游ゴシック" w:cs="游ゴシック" w:eastAsia="游ゴシック" w:hAnsi="游ゴシック"/>
          <w:b/>
          <w:bCs/>
          <w:color w:val="2E5F8A"/>
          <w:sz w:val="24"/>
          <w:szCs w:val="24"/>
        </w:rPr>
        <w:t xml:space="preserve">(3) 導入・運用の手軽さ</w:t>
      </w:r>
    </w:p>
    <w:p>
      <w:pPr>
        <w:spacing w:after="120" w:line="300"/>
      </w:pPr>
      <w:r>
        <w:rPr>
          <w:rFonts w:ascii="游ゴシック" w:cs="游ゴシック" w:eastAsia="游ゴシック" w:hAnsi="游ゴシック"/>
          <w:sz w:val="21"/>
          <w:szCs w:val="21"/>
        </w:rPr>
        <w:t xml:space="preserve">管理者がMicrosoft 365管理センター上で登録するだけで全ユーザーに適用され、利用者側での個別設定が不要なため、展開までのリードタイムが短く運用負荷も小さい。当社は既にMicrosoft 365ライセンスを保有し、メール運用もMicrosoft 365上で行っているため、本サービスがMicrosoft 365専用であることは実質的な制約にならない。</w:t>
      </w:r>
    </w:p>
    <w:p>
      <w:pPr>
        <w:pStyle w:val="Heading2"/>
        <w:spacing w:after="120" w:before="240"/>
      </w:pPr>
      <w:r>
        <w:rPr>
          <w:rFonts w:ascii="游ゴシック" w:cs="游ゴシック" w:eastAsia="游ゴシック" w:hAnsi="游ゴシック"/>
          <w:b/>
          <w:bCs/>
          <w:color w:val="2E5F8A"/>
          <w:sz w:val="24"/>
          <w:szCs w:val="24"/>
        </w:rPr>
        <w:t xml:space="preserve">(4) 導入・サポート体制</w:t>
      </w:r>
    </w:p>
    <w:p>
      <w:pPr>
        <w:spacing w:after="120" w:line="300"/>
      </w:pPr>
      <w:r>
        <w:rPr>
          <w:rFonts w:ascii="游ゴシック" w:cs="游ゴシック" w:eastAsia="游ゴシック" w:hAnsi="游ゴシック"/>
          <w:sz w:val="21"/>
          <w:szCs w:val="21"/>
        </w:rPr>
        <w:t xml:space="preserve">複合機・事務機分野で培った全国的な販売・保守網を持ち、導入後の問い合わせ対応や運用サポートを受けやすい。</w:t>
      </w:r>
    </w:p>
    <w:p>
      <w:pPr>
        <w:spacing w:after="120" w:line="300"/>
      </w:pPr>
      <w:r>
        <w:rPr>
          <w:rFonts w:ascii="游ゴシック" w:cs="游ゴシック" w:eastAsia="游ゴシック" w:hAnsi="游ゴシック"/>
          <w:b/>
          <w:bCs/>
          <w:sz w:val="21"/>
          <w:szCs w:val="21"/>
        </w:rPr>
        <w:t xml:space="preserve">以上より、Canonは「価格と機能のバランスが良い」サービスであり、誤送信防止・脱PPAPという2つの課題を、最も低いコストで確実に解決できる選択肢と考える。</w:t>
      </w:r>
    </w:p>
    <w:p>
      <w:pPr>
        <w:pStyle w:val="Heading1"/>
        <w:spacing w:after="160" w:before="320"/>
      </w:pPr>
      <w:r>
        <w:rPr>
          <w:rFonts w:ascii="游ゴシック" w:cs="游ゴシック" w:eastAsia="游ゴシック" w:hAnsi="游ゴシック"/>
          <w:b/>
          <w:bCs/>
          <w:color w:val="1F4E79"/>
          <w:sz w:val="28"/>
          <w:szCs w:val="28"/>
        </w:rPr>
        <w:t xml:space="preserve">4. 概算費用</w:t>
      </w:r>
    </w:p>
    <w:p>
      <w:pPr>
        <w:spacing w:after="120" w:line="300"/>
      </w:pPr>
      <w:r>
        <w:rPr>
          <w:rFonts w:ascii="游ゴシック" w:cs="游ゴシック" w:eastAsia="游ゴシック" w:hAnsi="游ゴシック"/>
          <w:sz w:val="21"/>
          <w:szCs w:val="21"/>
        </w:rPr>
        <w:t xml:space="preserve">想定利用者数を300名とした場合の概算費用は以下のとおり（本稟議では方向性確認を目的とし、正式な費用は見積り取得後に別途報告する）。</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26"/>
      </w:tblGrid>
      <w:tr>
        <w:trPr>
          <w:tblHeader/>
        </w:trPr>
        <w:tc>
          <w:tcPr>
            <w:tcW w:type="dxa" w:w="2400"/>
            <w:shd w:fill="1F4E79" w:val="clear"/>
            <w:tcMar>
              <w:top w:type="dxa" w:w="80"/>
              <w:left w:type="dxa" w:w="100"/>
              <w:bottom w:type="dxa" w:w="80"/>
              <w:right w:type="dxa" w:w="100"/>
            </w:tcMar>
            <w:vAlign w:val="center"/>
          </w:tcPr>
          <w:p>
            <w:pPr>
              <w:jc w:val="left"/>
            </w:pPr>
            <w:r>
              <w:rPr>
                <w:rFonts w:ascii="游ゴシック" w:cs="游ゴシック" w:eastAsia="游ゴシック" w:hAnsi="游ゴシック"/>
                <w:b/>
                <w:bCs/>
                <w:color w:val="FFFFFF"/>
                <w:sz w:val="19"/>
                <w:szCs w:val="19"/>
              </w:rPr>
              <w:t xml:space="preserve">項目</w:t>
            </w:r>
          </w:p>
        </w:tc>
        <w:tc>
          <w:tcPr>
            <w:tcW w:type="dxa" w:w="2400"/>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単価（税別・参考値）</w:t>
            </w:r>
          </w:p>
        </w:tc>
        <w:tc>
          <w:tcPr>
            <w:tcW w:type="dxa" w:w="2400"/>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対象ユーザー数</w:t>
            </w:r>
          </w:p>
        </w:tc>
        <w:tc>
          <w:tcPr>
            <w:tcW w:type="dxa" w:w="2126"/>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概算月額</w:t>
            </w:r>
          </w:p>
        </w:tc>
      </w:tr>
      <w:tr>
        <w:tc>
          <w:tcPr>
            <w:tcW w:type="dxa" w:w="2400"/>
            <w:shd w:fill="FCE9D5"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Canon
Outbound Security for Microsoft 365</w:t>
            </w:r>
          </w:p>
        </w:tc>
        <w:tc>
          <w:tcPr>
            <w:tcW w:type="dxa" w:w="24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sz w:val="19"/>
                <w:szCs w:val="19"/>
              </w:rPr>
              <w:t xml:space="preserve">100円～／ユーザー・月</w:t>
            </w:r>
          </w:p>
        </w:tc>
        <w:tc>
          <w:tcPr>
            <w:tcW w:type="dxa" w:w="24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sz w:val="19"/>
                <w:szCs w:val="19"/>
              </w:rPr>
              <w:t xml:space="preserve">300名</w:t>
            </w:r>
          </w:p>
        </w:tc>
        <w:tc>
          <w:tcPr>
            <w:tcW w:type="dxa" w:w="2126"/>
            <w:tcMar>
              <w:top w:type="dxa" w:w="80"/>
              <w:left w:type="dxa" w:w="100"/>
              <w:bottom w:type="dxa" w:w="80"/>
              <w:right w:type="dxa" w:w="100"/>
            </w:tcMar>
            <w:vAlign w:val="center"/>
          </w:tcPr>
          <w:p>
            <w:pPr>
              <w:jc w:val="center"/>
            </w:pPr>
            <w:r>
              <w:rPr>
                <w:rFonts w:ascii="游ゴシック" w:cs="游ゴシック" w:eastAsia="游ゴシック" w:hAnsi="游ゴシック"/>
                <w:b/>
                <w:bCs/>
                <w:sz w:val="19"/>
                <w:szCs w:val="19"/>
              </w:rPr>
              <w:t xml:space="preserve">30,000円～／月
（年額 360,000円～）</w:t>
            </w:r>
          </w:p>
        </w:tc>
      </w:tr>
      <w:tr>
        <w:tc>
          <w:tcPr>
            <w:tcW w:type="dxa" w:w="2400"/>
            <w:shd w:fill="FCE9D5" w:val="clear"/>
            <w:tcMar>
              <w:top w:type="dxa" w:w="80"/>
              <w:left w:type="dxa" w:w="100"/>
              <w:bottom w:type="dxa" w:w="80"/>
              <w:right w:type="dxa" w:w="100"/>
            </w:tcMar>
            <w:vAlign w:val="center"/>
          </w:tcPr>
          <w:p>
            <w:pPr>
              <w:jc w:val="left"/>
            </w:pPr>
            <w:r>
              <w:rPr>
                <w:rFonts w:ascii="游ゴシック" w:cs="游ゴシック" w:eastAsia="游ゴシック" w:hAnsi="游ゴシック"/>
                <w:b/>
                <w:bCs/>
                <w:sz w:val="19"/>
                <w:szCs w:val="19"/>
              </w:rPr>
              <w:t xml:space="preserve">初期費用・導入設定費</w:t>
            </w:r>
          </w:p>
        </w:tc>
        <w:tc>
          <w:tcPr>
            <w:tcW w:type="dxa" w:w="24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sz w:val="19"/>
                <w:szCs w:val="19"/>
              </w:rPr>
              <w:t xml:space="preserve">0円
（オプション追加時は別途見積り）</w:t>
            </w:r>
          </w:p>
        </w:tc>
        <w:tc>
          <w:tcPr>
            <w:tcW w:type="dxa" w:w="2400"/>
            <w:tcMar>
              <w:top w:type="dxa" w:w="80"/>
              <w:left w:type="dxa" w:w="100"/>
              <w:bottom w:type="dxa" w:w="80"/>
              <w:right w:type="dxa" w:w="100"/>
            </w:tcMar>
            <w:vAlign w:val="center"/>
          </w:tcPr>
          <w:p>
            <w:pPr>
              <w:jc w:val="center"/>
            </w:pPr>
            <w:r>
              <w:rPr>
                <w:rFonts w:ascii="游ゴシック" w:cs="游ゴシック" w:eastAsia="游ゴシック" w:hAnsi="游ゴシック"/>
                <w:b w:val="false"/>
                <w:bCs w:val="false"/>
                <w:sz w:val="19"/>
                <w:szCs w:val="19"/>
              </w:rPr>
              <w:t xml:space="preserve">―</w:t>
            </w:r>
          </w:p>
        </w:tc>
        <w:tc>
          <w:tcPr>
            <w:tcW w:type="dxa" w:w="2126"/>
            <w:tcMar>
              <w:top w:type="dxa" w:w="80"/>
              <w:left w:type="dxa" w:w="100"/>
              <w:bottom w:type="dxa" w:w="80"/>
              <w:right w:type="dxa" w:w="100"/>
            </w:tcMar>
            <w:vAlign w:val="center"/>
          </w:tcPr>
          <w:p>
            <w:pPr>
              <w:jc w:val="center"/>
            </w:pPr>
            <w:r>
              <w:rPr>
                <w:rFonts w:ascii="游ゴシック" w:cs="游ゴシック" w:eastAsia="游ゴシック" w:hAnsi="游ゴシック"/>
                <w:b/>
                <w:bCs/>
                <w:sz w:val="19"/>
                <w:szCs w:val="19"/>
              </w:rPr>
              <w:t xml:space="preserve">―</w:t>
            </w:r>
          </w:p>
        </w:tc>
      </w:tr>
    </w:tbl>
    <w:p>
      <w:pPr>
        <w:pStyle w:val="Heading1"/>
        <w:spacing w:after="160" w:before="320"/>
      </w:pPr>
      <w:r>
        <w:rPr>
          <w:rFonts w:ascii="游ゴシック" w:cs="游ゴシック" w:eastAsia="游ゴシック" w:hAnsi="游ゴシック"/>
          <w:b/>
          <w:bCs/>
          <w:color w:val="1F4E79"/>
          <w:sz w:val="28"/>
          <w:szCs w:val="28"/>
        </w:rPr>
        <w:t xml:space="preserve">5. スケジュール</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000"/>
        <w:gridCol w:w="7326"/>
      </w:tblGrid>
      <w:tr>
        <w:trPr>
          <w:tblHeader/>
        </w:trPr>
        <w:tc>
          <w:tcPr>
            <w:tcW w:type="dxa" w:w="2000"/>
            <w:shd w:fill="1F4E79" w:val="clear"/>
            <w:tcMar>
              <w:top w:type="dxa" w:w="80"/>
              <w:left w:type="dxa" w:w="100"/>
              <w:bottom w:type="dxa" w:w="80"/>
              <w:right w:type="dxa" w:w="100"/>
            </w:tcMar>
            <w:vAlign w:val="center"/>
          </w:tcPr>
          <w:p>
            <w:pPr>
              <w:jc w:val="center"/>
            </w:pPr>
            <w:r>
              <w:rPr>
                <w:rFonts w:ascii="游ゴシック" w:cs="游ゴシック" w:eastAsia="游ゴシック" w:hAnsi="游ゴシック"/>
                <w:b/>
                <w:bCs/>
                <w:color w:val="FFFFFF"/>
                <w:sz w:val="19"/>
                <w:szCs w:val="19"/>
              </w:rPr>
              <w:t xml:space="preserve">時期</w:t>
            </w:r>
          </w:p>
        </w:tc>
        <w:tc>
          <w:tcPr>
            <w:tcW w:type="dxa" w:w="7326"/>
            <w:shd w:fill="1F4E79" w:val="clear"/>
            <w:tcMar>
              <w:top w:type="dxa" w:w="80"/>
              <w:left w:type="dxa" w:w="100"/>
              <w:bottom w:type="dxa" w:w="80"/>
              <w:right w:type="dxa" w:w="100"/>
            </w:tcMar>
            <w:vAlign w:val="center"/>
          </w:tcPr>
          <w:p>
            <w:pPr>
              <w:jc w:val="left"/>
            </w:pPr>
            <w:r>
              <w:rPr>
                <w:rFonts w:ascii="游ゴシック" w:cs="游ゴシック" w:eastAsia="游ゴシック" w:hAnsi="游ゴシック"/>
                <w:b/>
                <w:bCs/>
                <w:color w:val="FFFFFF"/>
                <w:sz w:val="19"/>
                <w:szCs w:val="19"/>
              </w:rPr>
              <w:t xml:space="preserve">実施事項</w:t>
            </w:r>
          </w:p>
        </w:tc>
      </w:tr>
      <w:tr>
        <w:tc>
          <w:tcPr>
            <w:tcW w:type="dxa" w:w="2000"/>
            <w:shd w:fill="F2F2F2" w:val="clear"/>
            <w:tcMar>
              <w:top w:type="dxa" w:w="80"/>
              <w:left w:type="dxa" w:w="100"/>
              <w:bottom w:type="dxa" w:w="80"/>
              <w:right w:type="dxa" w:w="100"/>
            </w:tcMar>
            <w:vAlign w:val="center"/>
          </w:tcPr>
          <w:p>
            <w:pPr>
              <w:jc w:val="center"/>
            </w:pPr>
            <w:r>
              <w:rPr>
                <w:rFonts w:ascii="游ゴシック" w:cs="游ゴシック" w:eastAsia="游ゴシック" w:hAnsi="游ゴシック"/>
                <w:b/>
                <w:bCs/>
                <w:sz w:val="19"/>
                <w:szCs w:val="19"/>
              </w:rPr>
              <w:t xml:space="preserve">2026年8月</w:t>
            </w:r>
          </w:p>
        </w:tc>
        <w:tc>
          <w:tcPr>
            <w:tcW w:type="dxa" w:w="7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要件整理、各社見積り取得、必要に応じてトライアル（PoC）申込み</w:t>
            </w:r>
          </w:p>
        </w:tc>
      </w:tr>
      <w:tr>
        <w:tc>
          <w:tcPr>
            <w:tcW w:type="dxa" w:w="2000"/>
            <w:shd w:fill="F2F2F2" w:val="clear"/>
            <w:tcMar>
              <w:top w:type="dxa" w:w="80"/>
              <w:left w:type="dxa" w:w="100"/>
              <w:bottom w:type="dxa" w:w="80"/>
              <w:right w:type="dxa" w:w="100"/>
            </w:tcMar>
            <w:vAlign w:val="center"/>
          </w:tcPr>
          <w:p>
            <w:pPr>
              <w:jc w:val="center"/>
            </w:pPr>
            <w:r>
              <w:rPr>
                <w:rFonts w:ascii="游ゴシック" w:cs="游ゴシック" w:eastAsia="游ゴシック" w:hAnsi="游ゴシック"/>
                <w:b/>
                <w:bCs/>
                <w:sz w:val="19"/>
                <w:szCs w:val="19"/>
              </w:rPr>
              <w:t xml:space="preserve">2026年9月</w:t>
            </w:r>
          </w:p>
        </w:tc>
        <w:tc>
          <w:tcPr>
            <w:tcW w:type="dxa" w:w="7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トライアル環境での検証（誤送信防止・脱PPAP機能の動作確認）、現場ヒアリング</w:t>
            </w:r>
          </w:p>
        </w:tc>
      </w:tr>
      <w:tr>
        <w:tc>
          <w:tcPr>
            <w:tcW w:type="dxa" w:w="2000"/>
            <w:shd w:fill="F2F2F2" w:val="clear"/>
            <w:tcMar>
              <w:top w:type="dxa" w:w="80"/>
              <w:left w:type="dxa" w:w="100"/>
              <w:bottom w:type="dxa" w:w="80"/>
              <w:right w:type="dxa" w:w="100"/>
            </w:tcMar>
            <w:vAlign w:val="center"/>
          </w:tcPr>
          <w:p>
            <w:pPr>
              <w:jc w:val="center"/>
            </w:pPr>
            <w:r>
              <w:rPr>
                <w:rFonts w:ascii="游ゴシック" w:cs="游ゴシック" w:eastAsia="游ゴシック" w:hAnsi="游ゴシック"/>
                <w:b/>
                <w:bCs/>
                <w:sz w:val="19"/>
                <w:szCs w:val="19"/>
              </w:rPr>
              <w:t xml:space="preserve">2026年10月</w:t>
            </w:r>
          </w:p>
        </w:tc>
        <w:tc>
          <w:tcPr>
            <w:tcW w:type="dxa" w:w="7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本稟議による導入決裁、契約条件確定</w:t>
            </w:r>
          </w:p>
        </w:tc>
      </w:tr>
      <w:tr>
        <w:tc>
          <w:tcPr>
            <w:tcW w:type="dxa" w:w="2000"/>
            <w:shd w:fill="F2F2F2" w:val="clear"/>
            <w:tcMar>
              <w:top w:type="dxa" w:w="80"/>
              <w:left w:type="dxa" w:w="100"/>
              <w:bottom w:type="dxa" w:w="80"/>
              <w:right w:type="dxa" w:w="100"/>
            </w:tcMar>
            <w:vAlign w:val="center"/>
          </w:tcPr>
          <w:p>
            <w:pPr>
              <w:jc w:val="center"/>
            </w:pPr>
            <w:r>
              <w:rPr>
                <w:rFonts w:ascii="游ゴシック" w:cs="游ゴシック" w:eastAsia="游ゴシック" w:hAnsi="游ゴシック"/>
                <w:b/>
                <w:bCs/>
                <w:sz w:val="19"/>
                <w:szCs w:val="19"/>
              </w:rPr>
              <w:t xml:space="preserve">2026年11月</w:t>
            </w:r>
          </w:p>
        </w:tc>
        <w:tc>
          <w:tcPr>
            <w:tcW w:type="dxa" w:w="7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契約締結、初期設定・ポリシー設計、管理者向け操作研修</w:t>
            </w:r>
          </w:p>
        </w:tc>
      </w:tr>
      <w:tr>
        <w:tc>
          <w:tcPr>
            <w:tcW w:type="dxa" w:w="2000"/>
            <w:shd w:fill="F2F2F2" w:val="clear"/>
            <w:tcMar>
              <w:top w:type="dxa" w:w="80"/>
              <w:left w:type="dxa" w:w="100"/>
              <w:bottom w:type="dxa" w:w="80"/>
              <w:right w:type="dxa" w:w="100"/>
            </w:tcMar>
            <w:vAlign w:val="center"/>
          </w:tcPr>
          <w:p>
            <w:pPr>
              <w:jc w:val="center"/>
            </w:pPr>
            <w:r>
              <w:rPr>
                <w:rFonts w:ascii="游ゴシック" w:cs="游ゴシック" w:eastAsia="游ゴシック" w:hAnsi="游ゴシック"/>
                <w:b/>
                <w:bCs/>
                <w:sz w:val="19"/>
                <w:szCs w:val="19"/>
              </w:rPr>
              <w:t xml:space="preserve">2026年12月</w:t>
            </w:r>
          </w:p>
        </w:tc>
        <w:tc>
          <w:tcPr>
            <w:tcW w:type="dxa" w:w="7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先行部門での先行展開、問い合わせ対応体制の整備</w:t>
            </w:r>
          </w:p>
        </w:tc>
      </w:tr>
      <w:tr>
        <w:tc>
          <w:tcPr>
            <w:tcW w:type="dxa" w:w="2000"/>
            <w:shd w:fill="F2F2F2" w:val="clear"/>
            <w:tcMar>
              <w:top w:type="dxa" w:w="80"/>
              <w:left w:type="dxa" w:w="100"/>
              <w:bottom w:type="dxa" w:w="80"/>
              <w:right w:type="dxa" w:w="100"/>
            </w:tcMar>
            <w:vAlign w:val="center"/>
          </w:tcPr>
          <w:p>
            <w:pPr>
              <w:jc w:val="center"/>
            </w:pPr>
            <w:r>
              <w:rPr>
                <w:rFonts w:ascii="游ゴシック" w:cs="游ゴシック" w:eastAsia="游ゴシック" w:hAnsi="游ゴシック"/>
                <w:b/>
                <w:bCs/>
                <w:sz w:val="19"/>
                <w:szCs w:val="19"/>
              </w:rPr>
              <w:t xml:space="preserve">2027年1月～</w:t>
            </w:r>
          </w:p>
        </w:tc>
        <w:tc>
          <w:tcPr>
            <w:tcW w:type="dxa" w:w="7326"/>
            <w:tcMar>
              <w:top w:type="dxa" w:w="80"/>
              <w:left w:type="dxa" w:w="100"/>
              <w:bottom w:type="dxa" w:w="80"/>
              <w:right w:type="dxa" w:w="100"/>
            </w:tcMar>
            <w:vAlign w:val="center"/>
          </w:tcPr>
          <w:p>
            <w:pPr>
              <w:jc w:val="left"/>
            </w:pPr>
            <w:r>
              <w:rPr>
                <w:rFonts w:ascii="游ゴシック" w:cs="游ゴシック" w:eastAsia="游ゴシック" w:hAnsi="游ゴシック"/>
                <w:b w:val="false"/>
                <w:bCs w:val="false"/>
                <w:sz w:val="19"/>
                <w:szCs w:val="19"/>
              </w:rPr>
              <w:t xml:space="preserve">全社展開、OutlookOkan（おかん）からの完全移行、運用開始</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2026-07-26T16:42:25.127Z</dcterms:created>
  <dcterms:modified xsi:type="dcterms:W3CDTF">2026-07-26T16:42:25.127Z</dcterms:modified>
</cp:coreProperties>
</file>

<file path=docProps/custom.xml><?xml version="1.0" encoding="utf-8"?>
<Properties xmlns="http://schemas.openxmlformats.org/officeDocument/2006/custom-properties" xmlns:vt="http://schemas.openxmlformats.org/officeDocument/2006/docPropsVTypes"/>
</file>