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游ゴシック" w:cs="游ゴシック" w:eastAsia="游ゴシック" w:hAnsi="游ゴシック"/>
          <w:b/>
          <w:bCs/>
          <w:sz w:val="28"/>
          <w:szCs w:val="28"/>
        </w:rPr>
        <w:t xml:space="preserve">暫定運用（外部共有ゲスト事前申請制）</w:t>
      </w:r>
    </w:p>
    <w:p>
      <w:pPr>
        <w:spacing w:after="260"/>
        <w:jc w:val="center"/>
      </w:pPr>
      <w:r>
        <w:rPr>
          <w:rFonts w:ascii="游ゴシック" w:cs="游ゴシック" w:eastAsia="游ゴシック" w:hAnsi="游ゴシック"/>
          <w:b/>
          <w:bCs/>
          <w:sz w:val="28"/>
          <w:szCs w:val="28"/>
        </w:rPr>
        <w:t xml:space="preserve">開始準備タスク一覧</w:t>
      </w:r>
    </w:p>
    <w:p>
      <w:pPr>
        <w:spacing w:after="300"/>
        <w:jc w:val="right"/>
      </w:pPr>
      <w:r>
        <w:rPr>
          <w:rFonts w:ascii="游ゴシック" w:cs="游ゴシック" w:eastAsia="游ゴシック" w:hAnsi="游ゴシック"/>
          <w:sz w:val="20"/>
          <w:szCs w:val="20"/>
        </w:rPr>
        <w:t xml:space="preserve">2026年7月26日　情報システム部</w:t>
      </w:r>
    </w:p>
    <w:p>
      <w:pPr>
        <w:pStyle w:val="Heading1"/>
        <w:spacing w:after="160" w:before="320"/>
      </w:pPr>
      <w:r>
        <w:rPr>
          <w:rFonts w:ascii="游ゴシック" w:cs="游ゴシック" w:eastAsia="游ゴシック" w:hAnsi="游ゴシック"/>
          <w:b/>
          <w:bCs/>
          <w:color w:val="1F4E79"/>
          <w:sz w:val="28"/>
          <w:szCs w:val="28"/>
        </w:rPr>
        <w:t xml:space="preserve">1. 目的・前提</w:t>
      </w:r>
    </w:p>
    <w:p>
      <w:pPr>
        <w:spacing w:after="120" w:line="300"/>
      </w:pPr>
      <w:r>
        <w:rPr>
          <w:rFonts w:ascii="游ゴシック" w:cs="游ゴシック" w:eastAsia="游ゴシック" w:hAnsi="游ゴシック"/>
          <w:sz w:val="21"/>
          <w:szCs w:val="21"/>
        </w:rPr>
        <w:t xml:space="preserve">Outbound Security for Microsoft 365の契約・初期設定にはベンダー側の手続きを含めて最短でも1週間程度を要することが判明したため、本稼働開始までの期間、SharePointの外部共有機能を用いた暫定運用を行う。外部共有の利用には共有先ユーザーをMicrosoft Entra IDにゲストとして登録する必要があるため、この登録を担当者による事前申請制とし、管理者（情報システム部）がゲストアカウントの作成のみを一元的に行う体制とする。</w:t>
      </w:r>
    </w:p>
    <w:p>
      <w:pPr>
        <w:spacing w:after="120" w:line="300"/>
      </w:pPr>
      <w:r>
        <w:rPr>
          <w:rFonts w:ascii="游ゴシック" w:cs="游ゴシック" w:eastAsia="游ゴシック" w:hAnsi="游ゴシック"/>
          <w:sz w:val="21"/>
          <w:szCs w:val="21"/>
        </w:rPr>
        <w:t xml:space="preserve">なお、ゲスト招待権限を管理者ロールのみに制限するEntra外部コラボレーション設定（B1）は対応済みである。また、共有先サイトへのアクセス権付与は、ゲストアカウント作成後は既存の運用手順で各担当者が個別に対応できることが確認できたため、共有用サイトやアクセス権テンプレートの新規準備（旧B3・B4・B5）は不要になった。これにより、残るボトルネックは「申請ルール・申請フォームの整備」と「管理者によるゲストアカウント作成手順の確立」に絞られる。</w:t>
      </w:r>
    </w:p>
    <w:p>
      <w:pPr>
        <w:spacing w:after="120" w:line="300"/>
      </w:pPr>
      <w:r>
        <w:rPr>
          <w:rFonts w:ascii="游ゴシック" w:cs="游ゴシック" w:eastAsia="游ゴシック" w:hAnsi="游ゴシック"/>
          <w:sz w:val="21"/>
          <w:szCs w:val="21"/>
        </w:rPr>
        <w:t xml:space="preserve">本書は、この暫定運用を最速で開始するために必要な準備タスクを、ガバナンス・技術設定・運用フロー・周知・切替準備の観点で網羅的に洗い出したものである。</w:t>
      </w:r>
    </w:p>
    <w:p>
      <w:pPr>
        <w:pStyle w:val="Heading1"/>
        <w:spacing w:after="160" w:before="320"/>
      </w:pPr>
      <w:r>
        <w:rPr>
          <w:rFonts w:ascii="游ゴシック" w:cs="游ゴシック" w:eastAsia="游ゴシック" w:hAnsi="游ゴシック"/>
          <w:b/>
          <w:bCs/>
          <w:color w:val="1F4E79"/>
          <w:sz w:val="28"/>
          <w:szCs w:val="28"/>
        </w:rPr>
        <w:t xml:space="preserve">2. 準備タスク一覧</w:t>
      </w:r>
    </w:p>
    <w:p>
      <w:pPr>
        <w:spacing w:after="120" w:line="300"/>
      </w:pPr>
      <w:r>
        <w:rPr>
          <w:rFonts w:ascii="游ゴシック" w:cs="游ゴシック" w:eastAsia="游ゴシック" w:hAnsi="游ゴシック"/>
          <w:sz w:val="21"/>
          <w:szCs w:val="21"/>
        </w:rPr>
        <w:t xml:space="preserve">グレーは対応済み、緑は既存運用の活用により対応不要となったタスク、オレンジは3章で挙げる先行着手候補である。</w:t>
      </w:r>
    </w:p>
    <w:tbl>
      <w:tblPr>
        <w:tblW w:type="dxa" w:w="9589"/>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300"/>
        <w:gridCol w:w="1489"/>
        <w:gridCol w:w="1300"/>
      </w:tblGrid>
      <w:tr>
        <w:trPr>
          <w:tblHeader/>
        </w:trPr>
        <w:tc>
          <w:tcPr>
            <w:tcW w:type="dxa" w:w="700"/>
            <w:shd w:fill="1F4E79" w:val="clear"/>
            <w:tcMar>
              <w:top w:type="dxa" w:w="70"/>
              <w:left w:type="dxa" w:w="100"/>
              <w:bottom w:type="dxa" w:w="70"/>
              <w:right w:type="dxa" w:w="100"/>
            </w:tcMar>
            <w:vAlign w:val="center"/>
          </w:tcPr>
          <w:p>
            <w:pPr>
              <w:jc w:val="center"/>
            </w:pPr>
            <w:r>
              <w:rPr>
                <w:rFonts w:ascii="游ゴシック" w:cs="游ゴシック" w:eastAsia="游ゴシック" w:hAnsi="游ゴシック"/>
                <w:b/>
                <w:bCs/>
                <w:color w:val="FFFFFF"/>
                <w:sz w:val="19"/>
                <w:szCs w:val="19"/>
              </w:rPr>
              <w:t xml:space="preserve">No.</w:t>
            </w:r>
          </w:p>
        </w:tc>
        <w:tc>
          <w:tcPr>
            <w:tcW w:type="dxa" w:w="2800"/>
            <w:shd w:fill="1F4E79" w:val="clear"/>
            <w:tcMar>
              <w:top w:type="dxa" w:w="70"/>
              <w:left w:type="dxa" w:w="100"/>
              <w:bottom w:type="dxa" w:w="70"/>
              <w:right w:type="dxa" w:w="100"/>
            </w:tcMar>
            <w:vAlign w:val="center"/>
          </w:tcPr>
          <w:p>
            <w:pPr>
              <w:jc w:val="left"/>
            </w:pPr>
            <w:r>
              <w:rPr>
                <w:rFonts w:ascii="游ゴシック" w:cs="游ゴシック" w:eastAsia="游ゴシック" w:hAnsi="游ゴシック"/>
                <w:b/>
                <w:bCs/>
                <w:color w:val="FFFFFF"/>
                <w:sz w:val="19"/>
                <w:szCs w:val="19"/>
              </w:rPr>
              <w:t xml:space="preserve">タスク</w:t>
            </w:r>
          </w:p>
        </w:tc>
        <w:tc>
          <w:tcPr>
            <w:tcW w:type="dxa" w:w="3300"/>
            <w:shd w:fill="1F4E79" w:val="clear"/>
            <w:tcMar>
              <w:top w:type="dxa" w:w="70"/>
              <w:left w:type="dxa" w:w="100"/>
              <w:bottom w:type="dxa" w:w="70"/>
              <w:right w:type="dxa" w:w="100"/>
            </w:tcMar>
            <w:vAlign w:val="center"/>
          </w:tcPr>
          <w:p>
            <w:pPr>
              <w:jc w:val="left"/>
            </w:pPr>
            <w:r>
              <w:rPr>
                <w:rFonts w:ascii="游ゴシック" w:cs="游ゴシック" w:eastAsia="游ゴシック" w:hAnsi="游ゴシック"/>
                <w:b/>
                <w:bCs/>
                <w:color w:val="FFFFFF"/>
                <w:sz w:val="19"/>
                <w:szCs w:val="19"/>
              </w:rPr>
              <w:t xml:space="preserve">内容</w:t>
            </w:r>
          </w:p>
        </w:tc>
        <w:tc>
          <w:tcPr>
            <w:tcW w:type="dxa" w:w="1489"/>
            <w:shd w:fill="1F4E79" w:val="clear"/>
            <w:tcMar>
              <w:top w:type="dxa" w:w="70"/>
              <w:left w:type="dxa" w:w="100"/>
              <w:bottom w:type="dxa" w:w="70"/>
              <w:right w:type="dxa" w:w="100"/>
            </w:tcMar>
            <w:vAlign w:val="center"/>
          </w:tcPr>
          <w:p>
            <w:pPr>
              <w:jc w:val="center"/>
            </w:pPr>
            <w:r>
              <w:rPr>
                <w:rFonts w:ascii="游ゴシック" w:cs="游ゴシック" w:eastAsia="游ゴシック" w:hAnsi="游ゴシック"/>
                <w:b/>
                <w:bCs/>
                <w:color w:val="FFFFFF"/>
                <w:sz w:val="19"/>
                <w:szCs w:val="19"/>
              </w:rPr>
              <w:t xml:space="preserve">担当</w:t>
            </w:r>
          </w:p>
        </w:tc>
        <w:tc>
          <w:tcPr>
            <w:tcW w:type="dxa" w:w="1300"/>
            <w:shd w:fill="1F4E79" w:val="clear"/>
            <w:tcMar>
              <w:top w:type="dxa" w:w="70"/>
              <w:left w:type="dxa" w:w="100"/>
              <w:bottom w:type="dxa" w:w="70"/>
              <w:right w:type="dxa" w:w="100"/>
            </w:tcMar>
            <w:vAlign w:val="center"/>
          </w:tcPr>
          <w:p>
            <w:pPr>
              <w:jc w:val="center"/>
            </w:pPr>
            <w:r>
              <w:rPr>
                <w:rFonts w:ascii="游ゴシック" w:cs="游ゴシック" w:eastAsia="游ゴシック" w:hAnsi="游ゴシック"/>
                <w:b/>
                <w:bCs/>
                <w:color w:val="FFFFFF"/>
                <w:sz w:val="19"/>
                <w:szCs w:val="19"/>
              </w:rPr>
              <w:t xml:space="preserve">状況</w:t>
            </w:r>
          </w:p>
        </w:tc>
      </w:tr>
      <w:tr>
        <w:tc>
          <w:tcPr>
            <w:tcW w:type="dxa" w:w="7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A1</w:t>
            </w:r>
          </w:p>
        </w:tc>
        <w:tc>
          <w:tcPr>
            <w:tcW w:type="dxa" w:w="28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適用範囲・期間の確定</w:t>
            </w:r>
          </w:p>
        </w:tc>
        <w:tc>
          <w:tcPr>
            <w:tcW w:type="dxa" w:w="3300"/>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対象部署／対象データ、暫定運用の適用期間（Outbound Security本稼働完了までの最大1～2週間）を明確化する</w:t>
            </w:r>
          </w:p>
        </w:tc>
        <w:tc>
          <w:tcPr>
            <w:tcW w:type="dxa" w:w="1489"/>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情報システム部</w:t>
            </w:r>
          </w:p>
        </w:tc>
        <w:tc>
          <w:tcPr>
            <w:tcW w:type="dxa" w:w="1300"/>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未着手</w:t>
            </w:r>
          </w:p>
        </w:tc>
      </w:tr>
      <w:tr>
        <w:tc>
          <w:tcPr>
            <w:tcW w:type="dxa" w:w="700"/>
            <w:shd w:fill="FCE9D5"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A2</w:t>
            </w:r>
          </w:p>
        </w:tc>
        <w:tc>
          <w:tcPr>
            <w:tcW w:type="dxa" w:w="2800"/>
            <w:shd w:fill="FCE9D5" w:val="clear"/>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申請者・承認者の役割定義</w:t>
            </w:r>
          </w:p>
        </w:tc>
        <w:tc>
          <w:tcPr>
            <w:tcW w:type="dxa" w:w="3300"/>
            <w:shd w:fill="FCE9D5" w:val="clear"/>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「担当者」として申請できる者の範囲、上長承認の要否を決定する</w:t>
            </w:r>
          </w:p>
        </w:tc>
        <w:tc>
          <w:tcPr>
            <w:tcW w:type="dxa" w:w="1489"/>
            <w:shd w:fill="FCE9D5" w:val="clear"/>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情報システム部</w:t>
            </w:r>
          </w:p>
        </w:tc>
        <w:tc>
          <w:tcPr>
            <w:tcW w:type="dxa" w:w="1300"/>
            <w:shd w:fill="FCE9D5"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未着手</w:t>
            </w:r>
          </w:p>
        </w:tc>
      </w:tr>
      <w:tr>
        <w:tc>
          <w:tcPr>
            <w:tcW w:type="dxa" w:w="700"/>
            <w:shd w:fill="FCE9D5"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A3</w:t>
            </w:r>
          </w:p>
        </w:tc>
        <w:tc>
          <w:tcPr>
            <w:tcW w:type="dxa" w:w="2800"/>
            <w:shd w:fill="FCE9D5" w:val="clear"/>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申請項目の設計</w:t>
            </w:r>
          </w:p>
        </w:tc>
        <w:tc>
          <w:tcPr>
            <w:tcW w:type="dxa" w:w="3300"/>
            <w:shd w:fill="FCE9D5" w:val="clear"/>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共有先の会社名・担当者名・メールアドレス、共有目的、共有対象データ、希望共有期間、機密区分を申請項目として定義する</w:t>
            </w:r>
          </w:p>
        </w:tc>
        <w:tc>
          <w:tcPr>
            <w:tcW w:type="dxa" w:w="1489"/>
            <w:shd w:fill="FCE9D5" w:val="clear"/>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情報システム部</w:t>
            </w:r>
          </w:p>
        </w:tc>
        <w:tc>
          <w:tcPr>
            <w:tcW w:type="dxa" w:w="1300"/>
            <w:shd w:fill="FCE9D5"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未着手</w:t>
            </w:r>
          </w:p>
        </w:tc>
      </w:tr>
      <w:tr>
        <w:tc>
          <w:tcPr>
            <w:tcW w:type="dxa" w:w="7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A4</w:t>
            </w:r>
          </w:p>
        </w:tc>
        <w:tc>
          <w:tcPr>
            <w:tcW w:type="dxa" w:w="28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ゲストアカウントの有効期限ルール策定</w:t>
            </w:r>
          </w:p>
        </w:tc>
        <w:tc>
          <w:tcPr>
            <w:tcW w:type="dxa" w:w="3300"/>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既定の有効期限（例：暫定運用終了日で一律失効）と、延長が必要な場合の手続きを定める</w:t>
            </w:r>
          </w:p>
        </w:tc>
        <w:tc>
          <w:tcPr>
            <w:tcW w:type="dxa" w:w="1489"/>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情報システム部</w:t>
            </w:r>
          </w:p>
        </w:tc>
        <w:tc>
          <w:tcPr>
            <w:tcW w:type="dxa" w:w="1300"/>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未着手</w:t>
            </w:r>
          </w:p>
        </w:tc>
      </w:tr>
      <w:tr>
        <w:tc>
          <w:tcPr>
            <w:tcW w:type="dxa" w:w="7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A5</w:t>
            </w:r>
          </w:p>
        </w:tc>
        <w:tc>
          <w:tcPr>
            <w:tcW w:type="dxa" w:w="28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セキュリティ基準の策定</w:t>
            </w:r>
          </w:p>
        </w:tc>
        <w:tc>
          <w:tcPr>
            <w:tcW w:type="dxa" w:w="3300"/>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共有可能な機密区分の上限、MFA必須化、アクセス範囲を特定サイト・フォルダに限定する原則を定める</w:t>
            </w:r>
          </w:p>
        </w:tc>
        <w:tc>
          <w:tcPr>
            <w:tcW w:type="dxa" w:w="1489"/>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情報システム部</w:t>
            </w:r>
          </w:p>
        </w:tc>
        <w:tc>
          <w:tcPr>
            <w:tcW w:type="dxa" w:w="1300"/>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未着手</w:t>
            </w:r>
          </w:p>
        </w:tc>
      </w:tr>
      <w:tr>
        <w:tc>
          <w:tcPr>
            <w:tcW w:type="dxa" w:w="7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A6</w:t>
            </w:r>
          </w:p>
        </w:tc>
        <w:tc>
          <w:tcPr>
            <w:tcW w:type="dxa" w:w="28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監査・記録ルールの策定</w:t>
            </w:r>
          </w:p>
        </w:tc>
        <w:tc>
          <w:tcPr>
            <w:tcW w:type="dxa" w:w="3300"/>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誰が・いつ・誰を登録したかの記録方法と、暫定運用終了後の棚卸しタイミングを定める</w:t>
            </w:r>
          </w:p>
        </w:tc>
        <w:tc>
          <w:tcPr>
            <w:tcW w:type="dxa" w:w="1489"/>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情報システム部</w:t>
            </w:r>
          </w:p>
        </w:tc>
        <w:tc>
          <w:tcPr>
            <w:tcW w:type="dxa" w:w="1300"/>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未着手</w:t>
            </w:r>
          </w:p>
        </w:tc>
      </w:tr>
      <w:tr>
        <w:tc>
          <w:tcPr>
            <w:tcW w:type="dxa" w:w="700"/>
            <w:shd w:fill="D9D9D9"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B1</w:t>
            </w:r>
          </w:p>
        </w:tc>
        <w:tc>
          <w:tcPr>
            <w:tcW w:type="dxa" w:w="2800"/>
            <w:shd w:fill="D9D9D9" w:val="clear"/>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Entra外部コラボレーション設定の変更</w:t>
            </w:r>
          </w:p>
        </w:tc>
        <w:tc>
          <w:tcPr>
            <w:tcW w:type="dxa" w:w="3300"/>
            <w:shd w:fill="D9D9D9" w:val="clear"/>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Microsoft Entra管理センター「External Identities」→「外部コラボレーション設定」で、ゲスト招待権限を全ユーザーから特定の管理者ロールのみに制限する</w:t>
            </w:r>
          </w:p>
        </w:tc>
        <w:tc>
          <w:tcPr>
            <w:tcW w:type="dxa" w:w="1489"/>
            <w:shd w:fill="D9D9D9" w:val="clear"/>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情報システム部（管理者）</w:t>
            </w:r>
          </w:p>
        </w:tc>
        <w:tc>
          <w:tcPr>
            <w:tcW w:type="dxa" w:w="1300"/>
            <w:shd w:fill="D9D9D9"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完了</w:t>
            </w:r>
          </w:p>
        </w:tc>
      </w:tr>
      <w:tr>
        <w:tc>
          <w:tcPr>
            <w:tcW w:type="dxa" w:w="7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B2</w:t>
            </w:r>
          </w:p>
        </w:tc>
        <w:tc>
          <w:tcPr>
            <w:tcW w:type="dxa" w:w="28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許可/ブロックドメインリストの検討</w:t>
            </w:r>
          </w:p>
        </w:tc>
        <w:tc>
          <w:tcPr>
            <w:tcW w:type="dxa" w:w="3300"/>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招待可能な外部ドメインを取引先ドメインに限定するB2B allow/deny listの要否を判断し、必要に応じて設定する</w:t>
            </w:r>
          </w:p>
        </w:tc>
        <w:tc>
          <w:tcPr>
            <w:tcW w:type="dxa" w:w="1489"/>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情報システム部</w:t>
            </w:r>
          </w:p>
        </w:tc>
        <w:tc>
          <w:tcPr>
            <w:tcW w:type="dxa" w:w="1300"/>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未着手</w:t>
            </w:r>
          </w:p>
        </w:tc>
      </w:tr>
      <w:tr>
        <w:tc>
          <w:tcPr>
            <w:tcW w:type="dxa" w:w="700"/>
            <w:shd w:fill="E2EFDA"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B3</w:t>
            </w:r>
          </w:p>
        </w:tc>
        <w:tc>
          <w:tcPr>
            <w:tcW w:type="dxa" w:w="2800"/>
            <w:shd w:fill="E2EFDA" w:val="clear"/>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SharePoint外部共有設定の確認・調整</w:t>
            </w:r>
          </w:p>
        </w:tc>
        <w:tc>
          <w:tcPr>
            <w:tcW w:type="dxa" w:w="3300"/>
            <w:shd w:fill="E2EFDA" w:val="clear"/>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既存のSharePoint外部共有運用をそのまま利用するため、新規の設定変更は不要</w:t>
            </w:r>
          </w:p>
        </w:tc>
        <w:tc>
          <w:tcPr>
            <w:tcW w:type="dxa" w:w="1489"/>
            <w:shd w:fill="E2EFDA" w:val="clear"/>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情報システム部（管理者）</w:t>
            </w:r>
          </w:p>
        </w:tc>
        <w:tc>
          <w:tcPr>
            <w:tcW w:type="dxa" w:w="1300"/>
            <w:shd w:fill="E2EFDA"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対応不要</w:t>
            </w:r>
          </w:p>
        </w:tc>
      </w:tr>
      <w:tr>
        <w:tc>
          <w:tcPr>
            <w:tcW w:type="dxa" w:w="700"/>
            <w:shd w:fill="E2EFDA"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B4</w:t>
            </w:r>
          </w:p>
        </w:tc>
        <w:tc>
          <w:tcPr>
            <w:tcW w:type="dxa" w:w="2800"/>
            <w:shd w:fill="E2EFDA" w:val="clear"/>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共有用SharePointサイト／ライブラリの準備</w:t>
            </w:r>
          </w:p>
        </w:tc>
        <w:tc>
          <w:tcPr>
            <w:tcW w:type="dxa" w:w="3300"/>
            <w:shd w:fill="E2EFDA" w:val="clear"/>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既存の専用サイトをそのまま利用するため、新規準備は不要</w:t>
            </w:r>
          </w:p>
        </w:tc>
        <w:tc>
          <w:tcPr>
            <w:tcW w:type="dxa" w:w="1489"/>
            <w:shd w:fill="E2EFDA" w:val="clear"/>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情報システム部</w:t>
            </w:r>
          </w:p>
        </w:tc>
        <w:tc>
          <w:tcPr>
            <w:tcW w:type="dxa" w:w="1300"/>
            <w:shd w:fill="E2EFDA"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対応不要</w:t>
            </w:r>
          </w:p>
        </w:tc>
      </w:tr>
      <w:tr>
        <w:tc>
          <w:tcPr>
            <w:tcW w:type="dxa" w:w="700"/>
            <w:shd w:fill="E2EFDA"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B5</w:t>
            </w:r>
          </w:p>
        </w:tc>
        <w:tc>
          <w:tcPr>
            <w:tcW w:type="dxa" w:w="2800"/>
            <w:shd w:fill="E2EFDA" w:val="clear"/>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アクセス権付与の運用</w:t>
            </w:r>
          </w:p>
        </w:tc>
        <w:tc>
          <w:tcPr>
            <w:tcW w:type="dxa" w:w="3300"/>
            <w:shd w:fill="E2EFDA" w:val="clear"/>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ゲストアカウント作成後のサイトへのアクセス権付与は、既存の運用手順で各担当者が個別に対応可能なため、新規のテンプレート整備は不要</w:t>
            </w:r>
          </w:p>
        </w:tc>
        <w:tc>
          <w:tcPr>
            <w:tcW w:type="dxa" w:w="1489"/>
            <w:shd w:fill="E2EFDA" w:val="clear"/>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各担当者</w:t>
            </w:r>
          </w:p>
        </w:tc>
        <w:tc>
          <w:tcPr>
            <w:tcW w:type="dxa" w:w="1300"/>
            <w:shd w:fill="E2EFDA"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対応不要</w:t>
            </w:r>
          </w:p>
        </w:tc>
      </w:tr>
      <w:tr>
        <w:tc>
          <w:tcPr>
            <w:tcW w:type="dxa" w:w="7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B6</w:t>
            </w:r>
          </w:p>
        </w:tc>
        <w:tc>
          <w:tcPr>
            <w:tcW w:type="dxa" w:w="28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ゲスト向け条件付きアクセスポリシーの確認</w:t>
            </w:r>
          </w:p>
        </w:tc>
        <w:tc>
          <w:tcPr>
            <w:tcW w:type="dxa" w:w="3300"/>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ゲストアカウントに対するMFA必須化等の条件付きアクセスポリシーが適用されることを確認する</w:t>
            </w:r>
          </w:p>
        </w:tc>
        <w:tc>
          <w:tcPr>
            <w:tcW w:type="dxa" w:w="1489"/>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情報システム部</w:t>
            </w:r>
          </w:p>
        </w:tc>
        <w:tc>
          <w:tcPr>
            <w:tcW w:type="dxa" w:w="1300"/>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未着手</w:t>
            </w:r>
          </w:p>
        </w:tc>
      </w:tr>
      <w:tr>
        <w:tc>
          <w:tcPr>
            <w:tcW w:type="dxa" w:w="7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B7</w:t>
            </w:r>
          </w:p>
        </w:tc>
        <w:tc>
          <w:tcPr>
            <w:tcW w:type="dxa" w:w="28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ライセンス消費の確認</w:t>
            </w:r>
          </w:p>
        </w:tc>
        <w:tc>
          <w:tcPr>
            <w:tcW w:type="dxa" w:w="3300"/>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ゲスト登録によるEntra ID等のライセンス消費条件を確認する</w:t>
            </w:r>
          </w:p>
        </w:tc>
        <w:tc>
          <w:tcPr>
            <w:tcW w:type="dxa" w:w="1489"/>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情報システム部</w:t>
            </w:r>
          </w:p>
        </w:tc>
        <w:tc>
          <w:tcPr>
            <w:tcW w:type="dxa" w:w="1300"/>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未着手</w:t>
            </w:r>
          </w:p>
        </w:tc>
      </w:tr>
      <w:tr>
        <w:tc>
          <w:tcPr>
            <w:tcW w:type="dxa" w:w="700"/>
            <w:shd w:fill="FCE9D5"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C1</w:t>
            </w:r>
          </w:p>
        </w:tc>
        <w:tc>
          <w:tcPr>
            <w:tcW w:type="dxa" w:w="2800"/>
            <w:shd w:fill="FCE9D5" w:val="clear"/>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申請フォームの作成</w:t>
            </w:r>
          </w:p>
        </w:tc>
        <w:tc>
          <w:tcPr>
            <w:tcW w:type="dxa" w:w="3300"/>
            <w:shd w:fill="FCE9D5" w:val="clear"/>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Microsoft Forms等でA3の申請項目を反映した申請フォームを作成する</w:t>
            </w:r>
          </w:p>
        </w:tc>
        <w:tc>
          <w:tcPr>
            <w:tcW w:type="dxa" w:w="1489"/>
            <w:shd w:fill="FCE9D5" w:val="clear"/>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情報システム部</w:t>
            </w:r>
          </w:p>
        </w:tc>
        <w:tc>
          <w:tcPr>
            <w:tcW w:type="dxa" w:w="1300"/>
            <w:shd w:fill="FCE9D5"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未着手</w:t>
            </w:r>
          </w:p>
        </w:tc>
      </w:tr>
      <w:tr>
        <w:tc>
          <w:tcPr>
            <w:tcW w:type="dxa" w:w="700"/>
            <w:shd w:fill="FCE9D5"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C2</w:t>
            </w:r>
          </w:p>
        </w:tc>
        <w:tc>
          <w:tcPr>
            <w:tcW w:type="dxa" w:w="2800"/>
            <w:shd w:fill="FCE9D5" w:val="clear"/>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管理者向け登録手順書の作成</w:t>
            </w:r>
          </w:p>
        </w:tc>
        <w:tc>
          <w:tcPr>
            <w:tcW w:type="dxa" w:w="3300"/>
            <w:shd w:fill="FCE9D5" w:val="clear"/>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申請受付→承認確認→Entra IDでのゲスト招待→担当者への払い出し通知、をSTEP化した手順書を作成する（アカウント作成のみに簡略化）</w:t>
            </w:r>
          </w:p>
        </w:tc>
        <w:tc>
          <w:tcPr>
            <w:tcW w:type="dxa" w:w="1489"/>
            <w:shd w:fill="FCE9D5" w:val="clear"/>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情報システム部</w:t>
            </w:r>
          </w:p>
        </w:tc>
        <w:tc>
          <w:tcPr>
            <w:tcW w:type="dxa" w:w="1300"/>
            <w:shd w:fill="FCE9D5"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未着手</w:t>
            </w:r>
          </w:p>
        </w:tc>
      </w:tr>
      <w:tr>
        <w:tc>
          <w:tcPr>
            <w:tcW w:type="dxa" w:w="700"/>
            <w:shd w:fill="FCE9D5"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C3</w:t>
            </w:r>
          </w:p>
        </w:tc>
        <w:tc>
          <w:tcPr>
            <w:tcW w:type="dxa" w:w="2800"/>
            <w:shd w:fill="FCE9D5" w:val="clear"/>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対応SLA・担当者アサインの決定</w:t>
            </w:r>
          </w:p>
        </w:tc>
        <w:tc>
          <w:tcPr>
            <w:tcW w:type="dxa" w:w="3300"/>
            <w:shd w:fill="FCE9D5" w:val="clear"/>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申請受付から登録完了までの目標時間と、対応担当者（一次窓口・バックアップ）を決定する</w:t>
            </w:r>
          </w:p>
        </w:tc>
        <w:tc>
          <w:tcPr>
            <w:tcW w:type="dxa" w:w="1489"/>
            <w:shd w:fill="FCE9D5" w:val="clear"/>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情報システム部</w:t>
            </w:r>
          </w:p>
        </w:tc>
        <w:tc>
          <w:tcPr>
            <w:tcW w:type="dxa" w:w="1300"/>
            <w:shd w:fill="FCE9D5"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未着手</w:t>
            </w:r>
          </w:p>
        </w:tc>
      </w:tr>
      <w:tr>
        <w:tc>
          <w:tcPr>
            <w:tcW w:type="dxa" w:w="7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C4</w:t>
            </w:r>
          </w:p>
        </w:tc>
        <w:tc>
          <w:tcPr>
            <w:tcW w:type="dxa" w:w="28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利用終了時の削除・棚卸しフローの整備</w:t>
            </w:r>
          </w:p>
        </w:tc>
        <w:tc>
          <w:tcPr>
            <w:tcW w:type="dxa" w:w="3300"/>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共有終了時のゲストアカウント削除手順と、暫定運用終了時の一括棚卸し手順を整備する</w:t>
            </w:r>
          </w:p>
        </w:tc>
        <w:tc>
          <w:tcPr>
            <w:tcW w:type="dxa" w:w="1489"/>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情報システム部</w:t>
            </w:r>
          </w:p>
        </w:tc>
        <w:tc>
          <w:tcPr>
            <w:tcW w:type="dxa" w:w="1300"/>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未着手</w:t>
            </w:r>
          </w:p>
        </w:tc>
      </w:tr>
      <w:tr>
        <w:tc>
          <w:tcPr>
            <w:tcW w:type="dxa" w:w="7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D1</w:t>
            </w:r>
          </w:p>
        </w:tc>
        <w:tc>
          <w:tcPr>
            <w:tcW w:type="dxa" w:w="28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申請担当者向け利用案内の周知</w:t>
            </w:r>
          </w:p>
        </w:tc>
        <w:tc>
          <w:tcPr>
            <w:tcW w:type="dxa" w:w="3300"/>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申請方法・必要情報を全社（対象部署）に周知する</w:t>
            </w:r>
          </w:p>
        </w:tc>
        <w:tc>
          <w:tcPr>
            <w:tcW w:type="dxa" w:w="1489"/>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情報システム部</w:t>
            </w:r>
          </w:p>
        </w:tc>
        <w:tc>
          <w:tcPr>
            <w:tcW w:type="dxa" w:w="1300"/>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未着手</w:t>
            </w:r>
          </w:p>
        </w:tc>
      </w:tr>
      <w:tr>
        <w:tc>
          <w:tcPr>
            <w:tcW w:type="dxa" w:w="7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D2</w:t>
            </w:r>
          </w:p>
        </w:tc>
        <w:tc>
          <w:tcPr>
            <w:tcW w:type="dxa" w:w="28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社外関係者向け案内テンプレートの作成</w:t>
            </w:r>
          </w:p>
        </w:tc>
        <w:tc>
          <w:tcPr>
            <w:tcW w:type="dxa" w:w="3300"/>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ゲストとして招待された社外関係者向けの、招待の承諾方法・サインイン方法を案内する文面を用意する</w:t>
            </w:r>
          </w:p>
        </w:tc>
        <w:tc>
          <w:tcPr>
            <w:tcW w:type="dxa" w:w="1489"/>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情報システム部</w:t>
            </w:r>
          </w:p>
        </w:tc>
        <w:tc>
          <w:tcPr>
            <w:tcW w:type="dxa" w:w="1300"/>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未着手</w:t>
            </w:r>
          </w:p>
        </w:tc>
      </w:tr>
      <w:tr>
        <w:tc>
          <w:tcPr>
            <w:tcW w:type="dxa" w:w="700"/>
            <w:shd w:fill="FCE9D5"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D3</w:t>
            </w:r>
          </w:p>
        </w:tc>
        <w:tc>
          <w:tcPr>
            <w:tcW w:type="dxa" w:w="2800"/>
            <w:shd w:fill="FCE9D5" w:val="clear"/>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役割分担の周知（新規）</w:t>
            </w:r>
          </w:p>
        </w:tc>
        <w:tc>
          <w:tcPr>
            <w:tcW w:type="dxa" w:w="3300"/>
            <w:shd w:fill="FCE9D5" w:val="clear"/>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「アカウントが払い出された後のサイトへのアクセス権付与は、担当者自身が既存の手順で行う」という役割分担を明確に周知する</w:t>
            </w:r>
          </w:p>
        </w:tc>
        <w:tc>
          <w:tcPr>
            <w:tcW w:type="dxa" w:w="1489"/>
            <w:shd w:fill="FCE9D5" w:val="clear"/>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情報システム部</w:t>
            </w:r>
          </w:p>
        </w:tc>
        <w:tc>
          <w:tcPr>
            <w:tcW w:type="dxa" w:w="1300"/>
            <w:shd w:fill="FCE9D5"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未着手</w:t>
            </w:r>
          </w:p>
        </w:tc>
      </w:tr>
      <w:tr>
        <w:tc>
          <w:tcPr>
            <w:tcW w:type="dxa" w:w="7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D4</w:t>
            </w:r>
          </w:p>
        </w:tc>
        <w:tc>
          <w:tcPr>
            <w:tcW w:type="dxa" w:w="28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暫定運用である旨の周知</w:t>
            </w:r>
          </w:p>
        </w:tc>
        <w:tc>
          <w:tcPr>
            <w:tcW w:type="dxa" w:w="3300"/>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本運用がOutbound Security for Microsoft 365の本稼働までの暫定措置であることを、社内周知に明記する</w:t>
            </w:r>
          </w:p>
        </w:tc>
        <w:tc>
          <w:tcPr>
            <w:tcW w:type="dxa" w:w="1489"/>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情報システム部</w:t>
            </w:r>
          </w:p>
        </w:tc>
        <w:tc>
          <w:tcPr>
            <w:tcW w:type="dxa" w:w="1300"/>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未着手</w:t>
            </w:r>
          </w:p>
        </w:tc>
      </w:tr>
      <w:tr>
        <w:tc>
          <w:tcPr>
            <w:tcW w:type="dxa" w:w="7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E1</w:t>
            </w:r>
          </w:p>
        </w:tc>
        <w:tc>
          <w:tcPr>
            <w:tcW w:type="dxa" w:w="28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本稼働タイミングの確定・共有</w:t>
            </w:r>
          </w:p>
        </w:tc>
        <w:tc>
          <w:tcPr>
            <w:tcW w:type="dxa" w:w="3300"/>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Outbound Security for Microsoft 365の契約・設定完了予定日を確定し、暫定運用の終了予定日として周知する</w:t>
            </w:r>
          </w:p>
        </w:tc>
        <w:tc>
          <w:tcPr>
            <w:tcW w:type="dxa" w:w="1489"/>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情報システム部</w:t>
            </w:r>
          </w:p>
        </w:tc>
        <w:tc>
          <w:tcPr>
            <w:tcW w:type="dxa" w:w="1300"/>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未着手</w:t>
            </w:r>
          </w:p>
        </w:tc>
      </w:tr>
      <w:tr>
        <w:tc>
          <w:tcPr>
            <w:tcW w:type="dxa" w:w="7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E2</w:t>
            </w:r>
          </w:p>
        </w:tc>
        <w:tc>
          <w:tcPr>
            <w:tcW w:type="dxa" w:w="28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暫定運用終了後のゲストアカウント整理方針の決定</w:t>
            </w:r>
          </w:p>
        </w:tc>
        <w:tc>
          <w:tcPr>
            <w:tcW w:type="dxa" w:w="3300"/>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本稼働開始後、暫定運用で登録したゲストアカウントを継続利用するか一括削除するかの方針を決定する</w:t>
            </w:r>
          </w:p>
        </w:tc>
        <w:tc>
          <w:tcPr>
            <w:tcW w:type="dxa" w:w="1489"/>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情報システム部</w:t>
            </w:r>
          </w:p>
        </w:tc>
        <w:tc>
          <w:tcPr>
            <w:tcW w:type="dxa" w:w="1300"/>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未着手</w:t>
            </w:r>
          </w:p>
        </w:tc>
      </w:tr>
    </w:tbl>
    <w:p>
      <w:pPr>
        <w:pStyle w:val="Heading1"/>
        <w:spacing w:after="160" w:before="320"/>
      </w:pPr>
      <w:r>
        <w:rPr>
          <w:rFonts w:ascii="游ゴシック" w:cs="游ゴシック" w:eastAsia="游ゴシック" w:hAnsi="游ゴシック"/>
          <w:b/>
          <w:bCs/>
          <w:color w:val="1F4E79"/>
          <w:sz w:val="28"/>
          <w:szCs w:val="28"/>
        </w:rPr>
        <w:t xml:space="preserve">3. 先行準備タスク候補（改訂版）</w:t>
      </w:r>
    </w:p>
    <w:p>
      <w:pPr>
        <w:spacing w:after="120" w:line="300"/>
      </w:pPr>
      <w:r>
        <w:rPr>
          <w:rFonts w:ascii="游ゴシック" w:cs="游ゴシック" w:eastAsia="游ゴシック" w:hAnsi="游ゴシック"/>
          <w:sz w:val="21"/>
          <w:szCs w:val="21"/>
        </w:rPr>
        <w:t xml:space="preserve">B1（Entra外部コラボレーション設定）が対応済みとなり、共有用サイト・アクセス権付与（旧B3・B4・B5）は既存運用の活用により新規準備が不要になったことで、着手すべき範囲は「申請ルール・申請フォームの整備」と「管理者の登録手順・役割分担の確立」に絞られた。この2系統・3タスクを最優先で並行して進めることを推奨する。</w:t>
      </w:r>
    </w:p>
    <w:p>
      <w:pPr>
        <w:pStyle w:val="Heading2"/>
        <w:spacing w:after="100" w:before="220"/>
      </w:pPr>
      <w:r>
        <w:rPr>
          <w:rFonts w:ascii="游ゴシック" w:cs="游ゴシック" w:eastAsia="游ゴシック" w:hAnsi="游ゴシック"/>
          <w:b/>
          <w:bCs/>
          <w:color w:val="2E5F8A"/>
          <w:sz w:val="23"/>
          <w:szCs w:val="23"/>
        </w:rPr>
        <w:t xml:space="preserve">候補1：A2・A3・C1　申請ルールと申請フォームの確定</w:t>
      </w:r>
    </w:p>
    <w:p>
      <w:pPr>
        <w:spacing w:after="120" w:line="300"/>
      </w:pPr>
      <w:r>
        <w:rPr>
          <w:rFonts w:ascii="游ゴシック" w:cs="游ゴシック" w:eastAsia="游ゴシック" w:hAnsi="游ゴシック"/>
          <w:sz w:val="21"/>
          <w:szCs w:val="21"/>
        </w:rPr>
        <w:t xml:space="preserve">担当者が申請する手段と、申請すべき項目・承認フローが決まらなければ運用は開始できない。申請項目（A3）は承認フロー（A2）と表裏一体のため、この2つを先に固めたうえでMicrosoft Forms等のフォーム（C1）に反映する。フォーム自体の作成は短時間で済むため、ルール検討ができ次第すぐに着手できる、最も優先度の高いタスクである。</w:t>
      </w:r>
    </w:p>
    <w:p>
      <w:pPr>
        <w:pStyle w:val="Heading2"/>
        <w:spacing w:after="100" w:before="220"/>
      </w:pPr>
      <w:r>
        <w:rPr>
          <w:rFonts w:ascii="游ゴシック" w:cs="游ゴシック" w:eastAsia="游ゴシック" w:hAnsi="游ゴシック"/>
          <w:b/>
          <w:bCs/>
          <w:color w:val="2E5F8A"/>
          <w:sz w:val="23"/>
          <w:szCs w:val="23"/>
        </w:rPr>
        <w:t xml:space="preserve">候補2：C2・C3　管理者の登録手順（簡略版）とSLA・担当アサインの確定</w:t>
      </w:r>
    </w:p>
    <w:p>
      <w:pPr>
        <w:spacing w:after="120" w:line="300"/>
      </w:pPr>
      <w:r>
        <w:rPr>
          <w:rFonts w:ascii="游ゴシック" w:cs="游ゴシック" w:eastAsia="游ゴシック" w:hAnsi="游ゴシック"/>
          <w:sz w:val="21"/>
          <w:szCs w:val="21"/>
        </w:rPr>
        <w:t xml:space="preserve">アクセス権付与を担当者側の既存運用に委ねられることになったため、管理者側の作業は「申請内容の確認→Entra IDでのゲストアカウント作成→担当者への払い出し通知」のみに簡略化される。この手順と、対応SLA・担当者の役割分担を先に決めておくことで、申請が届き次第、管理チームが迷わず即応できる状態を作れる。</w:t>
      </w:r>
    </w:p>
    <w:p>
      <w:pPr>
        <w:pStyle w:val="Heading2"/>
        <w:spacing w:after="100" w:before="220"/>
      </w:pPr>
      <w:r>
        <w:rPr>
          <w:rFonts w:ascii="游ゴシック" w:cs="游ゴシック" w:eastAsia="游ゴシック" w:hAnsi="游ゴシック"/>
          <w:b/>
          <w:bCs/>
          <w:color w:val="2E5F8A"/>
          <w:sz w:val="23"/>
          <w:szCs w:val="23"/>
        </w:rPr>
        <w:t xml:space="preserve">候補3：D3　役割分担の周知（アカウント払い出し後は担当者自身がアクセス権を付与）</w:t>
      </w:r>
    </w:p>
    <w:p>
      <w:pPr>
        <w:spacing w:after="120" w:line="300"/>
      </w:pPr>
      <w:r>
        <w:rPr>
          <w:rFonts w:ascii="游ゴシック" w:cs="游ゴシック" w:eastAsia="游ゴシック" w:hAnsi="游ゴシック"/>
          <w:sz w:val="21"/>
          <w:szCs w:val="21"/>
        </w:rPr>
        <w:t xml:space="preserve">管理者はアカウント作成のみを担い、共有先サイトへのアクセス権付与は各担当者が既存の手順で行うという役割分担は、申請フローや登録手順と並行して早期に周知しておく必要がある。ここが曖昧なまま運用を始めると、アカウント払い出し後に「誰がアクセス権を付与するのか」で問い合わせが発生し、かえって共有開始までの時間が延びるおそれがある。</w:t>
      </w:r>
    </w:p>
    <w:p>
      <w:pPr>
        <w:spacing w:after="120" w:line="300"/>
      </w:pPr>
      <w:r>
        <w:rPr>
          <w:rFonts w:ascii="游ゴシック" w:cs="游ゴシック" w:eastAsia="游ゴシック" w:hAnsi="游ゴシック"/>
          <w:b/>
          <w:bCs/>
          <w:sz w:val="21"/>
          <w:szCs w:val="21"/>
        </w:rPr>
        <w:t xml:space="preserve">以上の3タスクは、情報システム部内で完結し、B1同様に他部門の調整を待たずに着手できるため、並行して同時に進めることで暫定運用の開始日を最速化できる。</w:t>
      </w:r>
    </w:p>
    <w:p>
      <w:pPr>
        <w:pStyle w:val="Heading1"/>
        <w:spacing w:after="160" w:before="320"/>
      </w:pPr>
      <w:r>
        <w:rPr>
          <w:rFonts w:ascii="游ゴシック" w:cs="游ゴシック" w:eastAsia="游ゴシック" w:hAnsi="游ゴシック"/>
          <w:b/>
          <w:bCs/>
          <w:color w:val="1F4E79"/>
          <w:sz w:val="28"/>
          <w:szCs w:val="28"/>
        </w:rPr>
        <w:t xml:space="preserve">4. 参考：申請フォーム項目案（C1のたたき台）</w:t>
      </w:r>
    </w:p>
    <w:p>
      <w:pPr>
        <w:spacing w:after="120" w:line="300"/>
      </w:pPr>
      <w:r>
        <w:rPr>
          <w:rFonts w:ascii="游ゴシック" w:cs="游ゴシック" w:eastAsia="游ゴシック" w:hAnsi="游ゴシック"/>
          <w:sz w:val="21"/>
          <w:szCs w:val="21"/>
        </w:rPr>
        <w:t xml:space="preserve">A3（申請項目の設計）のたたき台として、Microsoft Forms等での申請フォーム項目案を以下に示す。No.5・13・16・18は、それぞれA2（承認要否のルール）・A5（セキュリティ基準）・A4（有効期限ルール）・C3（対応SLA）の決定内容と連動するため、それらのルールが固まり次第、選択肢を確定させる。</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400"/>
        <w:gridCol w:w="900"/>
        <w:gridCol w:w="4326"/>
      </w:tblGrid>
      <w:tr>
        <w:trPr>
          <w:tblHeader/>
        </w:trPr>
        <w:tc>
          <w:tcPr>
            <w:tcW w:type="dxa" w:w="500"/>
            <w:shd w:fill="1F4E79" w:val="clear"/>
            <w:tcMar>
              <w:top w:type="dxa" w:w="70"/>
              <w:left w:type="dxa" w:w="100"/>
              <w:bottom w:type="dxa" w:w="70"/>
              <w:right w:type="dxa" w:w="100"/>
            </w:tcMar>
            <w:vAlign w:val="center"/>
          </w:tcPr>
          <w:p>
            <w:pPr>
              <w:jc w:val="center"/>
            </w:pPr>
            <w:r>
              <w:rPr>
                <w:rFonts w:ascii="游ゴシック" w:cs="游ゴシック" w:eastAsia="游ゴシック" w:hAnsi="游ゴシック"/>
                <w:b/>
                <w:bCs/>
                <w:color w:val="FFFFFF"/>
                <w:sz w:val="19"/>
                <w:szCs w:val="19"/>
              </w:rPr>
              <w:t xml:space="preserve">No.</w:t>
            </w:r>
          </w:p>
        </w:tc>
        <w:tc>
          <w:tcPr>
            <w:tcW w:type="dxa" w:w="2200"/>
            <w:shd w:fill="1F4E79" w:val="clear"/>
            <w:tcMar>
              <w:top w:type="dxa" w:w="70"/>
              <w:left w:type="dxa" w:w="100"/>
              <w:bottom w:type="dxa" w:w="70"/>
              <w:right w:type="dxa" w:w="100"/>
            </w:tcMar>
            <w:vAlign w:val="center"/>
          </w:tcPr>
          <w:p>
            <w:pPr>
              <w:jc w:val="left"/>
            </w:pPr>
            <w:r>
              <w:rPr>
                <w:rFonts w:ascii="游ゴシック" w:cs="游ゴシック" w:eastAsia="游ゴシック" w:hAnsi="游ゴシック"/>
                <w:b/>
                <w:bCs/>
                <w:color w:val="FFFFFF"/>
                <w:sz w:val="19"/>
                <w:szCs w:val="19"/>
              </w:rPr>
              <w:t xml:space="preserve">項目名</w:t>
            </w:r>
          </w:p>
        </w:tc>
        <w:tc>
          <w:tcPr>
            <w:tcW w:type="dxa" w:w="1400"/>
            <w:shd w:fill="1F4E79" w:val="clear"/>
            <w:tcMar>
              <w:top w:type="dxa" w:w="70"/>
              <w:left w:type="dxa" w:w="100"/>
              <w:bottom w:type="dxa" w:w="70"/>
              <w:right w:type="dxa" w:w="100"/>
            </w:tcMar>
            <w:vAlign w:val="center"/>
          </w:tcPr>
          <w:p>
            <w:pPr>
              <w:jc w:val="center"/>
            </w:pPr>
            <w:r>
              <w:rPr>
                <w:rFonts w:ascii="游ゴシック" w:cs="游ゴシック" w:eastAsia="游ゴシック" w:hAnsi="游ゴシック"/>
                <w:b/>
                <w:bCs/>
                <w:color w:val="FFFFFF"/>
                <w:sz w:val="19"/>
                <w:szCs w:val="19"/>
              </w:rPr>
              <w:t xml:space="preserve">回答形式</w:t>
            </w:r>
          </w:p>
        </w:tc>
        <w:tc>
          <w:tcPr>
            <w:tcW w:type="dxa" w:w="900"/>
            <w:shd w:fill="1F4E79" w:val="clear"/>
            <w:tcMar>
              <w:top w:type="dxa" w:w="70"/>
              <w:left w:type="dxa" w:w="100"/>
              <w:bottom w:type="dxa" w:w="70"/>
              <w:right w:type="dxa" w:w="100"/>
            </w:tcMar>
            <w:vAlign w:val="center"/>
          </w:tcPr>
          <w:p>
            <w:pPr>
              <w:jc w:val="center"/>
            </w:pPr>
            <w:r>
              <w:rPr>
                <w:rFonts w:ascii="游ゴシック" w:cs="游ゴシック" w:eastAsia="游ゴシック" w:hAnsi="游ゴシック"/>
                <w:b/>
                <w:bCs/>
                <w:color w:val="FFFFFF"/>
                <w:sz w:val="19"/>
                <w:szCs w:val="19"/>
              </w:rPr>
              <w:t xml:space="preserve">必須</w:t>
            </w:r>
          </w:p>
        </w:tc>
        <w:tc>
          <w:tcPr>
            <w:tcW w:type="dxa" w:w="4326"/>
            <w:shd w:fill="1F4E79" w:val="clear"/>
            <w:tcMar>
              <w:top w:type="dxa" w:w="70"/>
              <w:left w:type="dxa" w:w="100"/>
              <w:bottom w:type="dxa" w:w="70"/>
              <w:right w:type="dxa" w:w="100"/>
            </w:tcMar>
            <w:vAlign w:val="center"/>
          </w:tcPr>
          <w:p>
            <w:pPr>
              <w:jc w:val="left"/>
            </w:pPr>
            <w:r>
              <w:rPr>
                <w:rFonts w:ascii="游ゴシック" w:cs="游ゴシック" w:eastAsia="游ゴシック" w:hAnsi="游ゴシック"/>
                <w:b/>
                <w:bCs/>
                <w:color w:val="FFFFFF"/>
                <w:sz w:val="19"/>
                <w:szCs w:val="19"/>
              </w:rPr>
              <w:t xml:space="preserve">目的・備考</w:t>
            </w:r>
          </w:p>
        </w:tc>
      </w:tr>
      <w:tr>
        <w:tc>
          <w:tcPr>
            <w:tcW w:type="dxa" w:w="9326"/>
            <w:gridSpan w:val="5"/>
            <w:shd w:fill="D9E2F3" w:val="clear"/>
            <w:tcMar>
              <w:top w:type="dxa" w:w="70"/>
              <w:left w:type="dxa" w:w="100"/>
              <w:bottom w:type="dxa" w:w="70"/>
              <w:right w:type="dxa" w:w="100"/>
            </w:tcMar>
          </w:tcPr>
          <w:p>
            <w:r>
              <w:rPr>
                <w:rFonts w:ascii="游ゴシック" w:cs="游ゴシック" w:eastAsia="游ゴシック" w:hAnsi="游ゴシック"/>
                <w:b/>
                <w:bCs/>
                <w:sz w:val="20"/>
                <w:szCs w:val="20"/>
              </w:rPr>
              <w:t xml:space="preserve">A. 申請者情報</w:t>
            </w:r>
          </w:p>
        </w:tc>
      </w:tr>
      <w:tr>
        <w:tc>
          <w:tcPr>
            <w:tcW w:type="dxa" w:w="5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1</w:t>
            </w:r>
          </w:p>
        </w:tc>
        <w:tc>
          <w:tcPr>
            <w:tcW w:type="dxa" w:w="22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申請日</w:t>
            </w:r>
          </w:p>
        </w:tc>
        <w:tc>
          <w:tcPr>
            <w:tcW w:type="dxa" w:w="14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日付</w:t>
            </w:r>
          </w:p>
        </w:tc>
        <w:tc>
          <w:tcPr>
            <w:tcW w:type="dxa" w:w="9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必須</w:t>
            </w:r>
          </w:p>
        </w:tc>
        <w:tc>
          <w:tcPr>
            <w:tcW w:type="dxa" w:w="4326"/>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自動入力可（フォーム回答日時をそのまま利用）</w:t>
            </w:r>
          </w:p>
        </w:tc>
      </w:tr>
      <w:tr>
        <w:tc>
          <w:tcPr>
            <w:tcW w:type="dxa" w:w="5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2</w:t>
            </w:r>
          </w:p>
        </w:tc>
        <w:tc>
          <w:tcPr>
            <w:tcW w:type="dxa" w:w="22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申請者氏名</w:t>
            </w:r>
          </w:p>
        </w:tc>
        <w:tc>
          <w:tcPr>
            <w:tcW w:type="dxa" w:w="14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記述式</w:t>
            </w:r>
          </w:p>
        </w:tc>
        <w:tc>
          <w:tcPr>
            <w:tcW w:type="dxa" w:w="9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必須</w:t>
            </w:r>
          </w:p>
        </w:tc>
        <w:tc>
          <w:tcPr>
            <w:tcW w:type="dxa" w:w="4326"/>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
            </w:r>
          </w:p>
        </w:tc>
      </w:tr>
      <w:tr>
        <w:tc>
          <w:tcPr>
            <w:tcW w:type="dxa" w:w="5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3</w:t>
            </w:r>
          </w:p>
        </w:tc>
        <w:tc>
          <w:tcPr>
            <w:tcW w:type="dxa" w:w="22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申請者所属部署</w:t>
            </w:r>
          </w:p>
        </w:tc>
        <w:tc>
          <w:tcPr>
            <w:tcW w:type="dxa" w:w="14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プルダウン</w:t>
            </w:r>
          </w:p>
        </w:tc>
        <w:tc>
          <w:tcPr>
            <w:tcW w:type="dxa" w:w="9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必須</w:t>
            </w:r>
          </w:p>
        </w:tc>
        <w:tc>
          <w:tcPr>
            <w:tcW w:type="dxa" w:w="4326"/>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部署一覧から選択</w:t>
            </w:r>
          </w:p>
        </w:tc>
      </w:tr>
      <w:tr>
        <w:tc>
          <w:tcPr>
            <w:tcW w:type="dxa" w:w="5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4</w:t>
            </w:r>
          </w:p>
        </w:tc>
        <w:tc>
          <w:tcPr>
            <w:tcW w:type="dxa" w:w="22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申請者連絡先（内線／メール）</w:t>
            </w:r>
          </w:p>
        </w:tc>
        <w:tc>
          <w:tcPr>
            <w:tcW w:type="dxa" w:w="14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記述式</w:t>
            </w:r>
          </w:p>
        </w:tc>
        <w:tc>
          <w:tcPr>
            <w:tcW w:type="dxa" w:w="9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必須</w:t>
            </w:r>
          </w:p>
        </w:tc>
        <w:tc>
          <w:tcPr>
            <w:tcW w:type="dxa" w:w="4326"/>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確認事項があった場合の連絡先</w:t>
            </w:r>
          </w:p>
        </w:tc>
      </w:tr>
      <w:tr>
        <w:tc>
          <w:tcPr>
            <w:tcW w:type="dxa" w:w="5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5</w:t>
            </w:r>
          </w:p>
        </w:tc>
        <w:tc>
          <w:tcPr>
            <w:tcW w:type="dxa" w:w="22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上長承認の状況</w:t>
            </w:r>
          </w:p>
        </w:tc>
        <w:tc>
          <w:tcPr>
            <w:tcW w:type="dxa" w:w="14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選択式</w:t>
            </w:r>
          </w:p>
        </w:tc>
        <w:tc>
          <w:tcPr>
            <w:tcW w:type="dxa" w:w="9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必須</w:t>
            </w:r>
          </w:p>
        </w:tc>
        <w:tc>
          <w:tcPr>
            <w:tcW w:type="dxa" w:w="4326"/>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「承認済み」「承認不要（A2で定めた基準に該当）」等。A2で承認要否のルールを決めてから選択肢を確定する</w:t>
            </w:r>
          </w:p>
        </w:tc>
      </w:tr>
      <w:tr>
        <w:tc>
          <w:tcPr>
            <w:tcW w:type="dxa" w:w="9326"/>
            <w:gridSpan w:val="5"/>
            <w:shd w:fill="D9E2F3" w:val="clear"/>
            <w:tcMar>
              <w:top w:type="dxa" w:w="70"/>
              <w:left w:type="dxa" w:w="100"/>
              <w:bottom w:type="dxa" w:w="70"/>
              <w:right w:type="dxa" w:w="100"/>
            </w:tcMar>
          </w:tcPr>
          <w:p>
            <w:r>
              <w:rPr>
                <w:rFonts w:ascii="游ゴシック" w:cs="游ゴシック" w:eastAsia="游ゴシック" w:hAnsi="游ゴシック"/>
                <w:b/>
                <w:bCs/>
                <w:sz w:val="20"/>
                <w:szCs w:val="20"/>
              </w:rPr>
              <w:t xml:space="preserve">B. 共有先情報（Entraゲストアカウントとして登録する相手）</w:t>
            </w:r>
          </w:p>
        </w:tc>
      </w:tr>
      <w:tr>
        <w:tc>
          <w:tcPr>
            <w:tcW w:type="dxa" w:w="5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6</w:t>
            </w:r>
          </w:p>
        </w:tc>
        <w:tc>
          <w:tcPr>
            <w:tcW w:type="dxa" w:w="22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共有先会社名</w:t>
            </w:r>
          </w:p>
        </w:tc>
        <w:tc>
          <w:tcPr>
            <w:tcW w:type="dxa" w:w="14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記述式</w:t>
            </w:r>
          </w:p>
        </w:tc>
        <w:tc>
          <w:tcPr>
            <w:tcW w:type="dxa" w:w="9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必須</w:t>
            </w:r>
          </w:p>
        </w:tc>
        <w:tc>
          <w:tcPr>
            <w:tcW w:type="dxa" w:w="4326"/>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
            </w:r>
          </w:p>
        </w:tc>
      </w:tr>
      <w:tr>
        <w:tc>
          <w:tcPr>
            <w:tcW w:type="dxa" w:w="5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7</w:t>
            </w:r>
          </w:p>
        </w:tc>
        <w:tc>
          <w:tcPr>
            <w:tcW w:type="dxa" w:w="22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共有先部署名</w:t>
            </w:r>
          </w:p>
        </w:tc>
        <w:tc>
          <w:tcPr>
            <w:tcW w:type="dxa" w:w="14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記述式</w:t>
            </w:r>
          </w:p>
        </w:tc>
        <w:tc>
          <w:tcPr>
            <w:tcW w:type="dxa" w:w="9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任意</w:t>
            </w:r>
          </w:p>
        </w:tc>
        <w:tc>
          <w:tcPr>
            <w:tcW w:type="dxa" w:w="4326"/>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
            </w:r>
          </w:p>
        </w:tc>
      </w:tr>
      <w:tr>
        <w:tc>
          <w:tcPr>
            <w:tcW w:type="dxa" w:w="5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8</w:t>
            </w:r>
          </w:p>
        </w:tc>
        <w:tc>
          <w:tcPr>
            <w:tcW w:type="dxa" w:w="22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共有先氏名</w:t>
            </w:r>
          </w:p>
        </w:tc>
        <w:tc>
          <w:tcPr>
            <w:tcW w:type="dxa" w:w="14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記述式</w:t>
            </w:r>
          </w:p>
        </w:tc>
        <w:tc>
          <w:tcPr>
            <w:tcW w:type="dxa" w:w="9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必須</w:t>
            </w:r>
          </w:p>
        </w:tc>
        <w:tc>
          <w:tcPr>
            <w:tcW w:type="dxa" w:w="4326"/>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
            </w:r>
          </w:p>
        </w:tc>
      </w:tr>
      <w:tr>
        <w:tc>
          <w:tcPr>
            <w:tcW w:type="dxa" w:w="5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9</w:t>
            </w:r>
          </w:p>
        </w:tc>
        <w:tc>
          <w:tcPr>
            <w:tcW w:type="dxa" w:w="22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共有先メールアドレス</w:t>
            </w:r>
          </w:p>
        </w:tc>
        <w:tc>
          <w:tcPr>
            <w:tcW w:type="dxa" w:w="14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記述式</w:t>
            </w:r>
          </w:p>
        </w:tc>
        <w:tc>
          <w:tcPr>
            <w:tcW w:type="dxa" w:w="9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必須</w:t>
            </w:r>
          </w:p>
        </w:tc>
        <w:tc>
          <w:tcPr>
            <w:tcW w:type="dxa" w:w="4326"/>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EntraゲストアカウントのログインIDになる。入力誤り防止のため確認欄を併設することを推奨</w:t>
            </w:r>
          </w:p>
        </w:tc>
      </w:tr>
      <w:tr>
        <w:tc>
          <w:tcPr>
            <w:tcW w:type="dxa" w:w="5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10</w:t>
            </w:r>
          </w:p>
        </w:tc>
        <w:tc>
          <w:tcPr>
            <w:tcW w:type="dxa" w:w="22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過去のゲスト登録の有無</w:t>
            </w:r>
          </w:p>
        </w:tc>
        <w:tc>
          <w:tcPr>
            <w:tcW w:type="dxa" w:w="14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選択式</w:t>
            </w:r>
          </w:p>
        </w:tc>
        <w:tc>
          <w:tcPr>
            <w:tcW w:type="dxa" w:w="9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必須</w:t>
            </w:r>
          </w:p>
        </w:tc>
        <w:tc>
          <w:tcPr>
            <w:tcW w:type="dxa" w:w="4326"/>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「あり／なし／不明」。重複登録を避けるための確認</w:t>
            </w:r>
          </w:p>
        </w:tc>
      </w:tr>
      <w:tr>
        <w:tc>
          <w:tcPr>
            <w:tcW w:type="dxa" w:w="9326"/>
            <w:gridSpan w:val="5"/>
            <w:shd w:fill="D9E2F3" w:val="clear"/>
            <w:tcMar>
              <w:top w:type="dxa" w:w="70"/>
              <w:left w:type="dxa" w:w="100"/>
              <w:bottom w:type="dxa" w:w="70"/>
              <w:right w:type="dxa" w:w="100"/>
            </w:tcMar>
          </w:tcPr>
          <w:p>
            <w:r>
              <w:rPr>
                <w:rFonts w:ascii="游ゴシック" w:cs="游ゴシック" w:eastAsia="游ゴシック" w:hAnsi="游ゴシック"/>
                <w:b/>
                <w:bCs/>
                <w:sz w:val="20"/>
                <w:szCs w:val="20"/>
              </w:rPr>
              <w:t xml:space="preserve">C. 共有目的・内容</w:t>
            </w:r>
          </w:p>
        </w:tc>
      </w:tr>
      <w:tr>
        <w:tc>
          <w:tcPr>
            <w:tcW w:type="dxa" w:w="5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11</w:t>
            </w:r>
          </w:p>
        </w:tc>
        <w:tc>
          <w:tcPr>
            <w:tcW w:type="dxa" w:w="22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共有目的</w:t>
            </w:r>
          </w:p>
        </w:tc>
        <w:tc>
          <w:tcPr>
            <w:tcW w:type="dxa" w:w="14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選択式＋その他記述</w:t>
            </w:r>
          </w:p>
        </w:tc>
        <w:tc>
          <w:tcPr>
            <w:tcW w:type="dxa" w:w="9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必須</w:t>
            </w:r>
          </w:p>
        </w:tc>
        <w:tc>
          <w:tcPr>
            <w:tcW w:type="dxa" w:w="4326"/>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例：見積り／契約書／納品物／打合せ資料／その他</w:t>
            </w:r>
          </w:p>
        </w:tc>
      </w:tr>
      <w:tr>
        <w:tc>
          <w:tcPr>
            <w:tcW w:type="dxa" w:w="5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12</w:t>
            </w:r>
          </w:p>
        </w:tc>
        <w:tc>
          <w:tcPr>
            <w:tcW w:type="dxa" w:w="22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共有予定データの概要</w:t>
            </w:r>
          </w:p>
        </w:tc>
        <w:tc>
          <w:tcPr>
            <w:tcW w:type="dxa" w:w="14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記述式</w:t>
            </w:r>
          </w:p>
        </w:tc>
        <w:tc>
          <w:tcPr>
            <w:tcW w:type="dxa" w:w="9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任意</w:t>
            </w:r>
          </w:p>
        </w:tc>
        <w:tc>
          <w:tcPr>
            <w:tcW w:type="dxa" w:w="4326"/>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ファイル名・内容の簡単な説明</w:t>
            </w:r>
          </w:p>
        </w:tc>
      </w:tr>
      <w:tr>
        <w:tc>
          <w:tcPr>
            <w:tcW w:type="dxa" w:w="5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13</w:t>
            </w:r>
          </w:p>
        </w:tc>
        <w:tc>
          <w:tcPr>
            <w:tcW w:type="dxa" w:w="22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機密区分</w:t>
            </w:r>
          </w:p>
        </w:tc>
        <w:tc>
          <w:tcPr>
            <w:tcW w:type="dxa" w:w="14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選択式</w:t>
            </w:r>
          </w:p>
        </w:tc>
        <w:tc>
          <w:tcPr>
            <w:tcW w:type="dxa" w:w="9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必須</w:t>
            </w:r>
          </w:p>
        </w:tc>
        <w:tc>
          <w:tcPr>
            <w:tcW w:type="dxa" w:w="4326"/>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社内の情報分類基準（例：一般／社外秘／要机密）に準拠。A5のセキュリティ基準と連動</w:t>
            </w:r>
          </w:p>
        </w:tc>
      </w:tr>
      <w:tr>
        <w:tc>
          <w:tcPr>
            <w:tcW w:type="dxa" w:w="5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14</w:t>
            </w:r>
          </w:p>
        </w:tc>
        <w:tc>
          <w:tcPr>
            <w:tcW w:type="dxa" w:w="22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共有先サイト／フォルダ</w:t>
            </w:r>
          </w:p>
        </w:tc>
        <w:tc>
          <w:tcPr>
            <w:tcW w:type="dxa" w:w="14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プルダウン</w:t>
            </w:r>
          </w:p>
        </w:tc>
        <w:tc>
          <w:tcPr>
            <w:tcW w:type="dxa" w:w="9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必須</w:t>
            </w:r>
          </w:p>
        </w:tc>
        <w:tc>
          <w:tcPr>
            <w:tcW w:type="dxa" w:w="4326"/>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既存の外部共有用サイト一覧から選択</w:t>
            </w:r>
          </w:p>
        </w:tc>
      </w:tr>
      <w:tr>
        <w:tc>
          <w:tcPr>
            <w:tcW w:type="dxa" w:w="9326"/>
            <w:gridSpan w:val="5"/>
            <w:shd w:fill="D9E2F3" w:val="clear"/>
            <w:tcMar>
              <w:top w:type="dxa" w:w="70"/>
              <w:left w:type="dxa" w:w="100"/>
              <w:bottom w:type="dxa" w:w="70"/>
              <w:right w:type="dxa" w:w="100"/>
            </w:tcMar>
          </w:tcPr>
          <w:p>
            <w:r>
              <w:rPr>
                <w:rFonts w:ascii="游ゴシック" w:cs="游ゴシック" w:eastAsia="游ゴシック" w:hAnsi="游ゴシック"/>
                <w:b/>
                <w:bCs/>
                <w:sz w:val="20"/>
                <w:szCs w:val="20"/>
              </w:rPr>
              <w:t xml:space="preserve">D. 利用期間</w:t>
            </w:r>
          </w:p>
        </w:tc>
      </w:tr>
      <w:tr>
        <w:tc>
          <w:tcPr>
            <w:tcW w:type="dxa" w:w="5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15</w:t>
            </w:r>
          </w:p>
        </w:tc>
        <w:tc>
          <w:tcPr>
            <w:tcW w:type="dxa" w:w="22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利用開始希望日</w:t>
            </w:r>
          </w:p>
        </w:tc>
        <w:tc>
          <w:tcPr>
            <w:tcW w:type="dxa" w:w="14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日付</w:t>
            </w:r>
          </w:p>
        </w:tc>
        <w:tc>
          <w:tcPr>
            <w:tcW w:type="dxa" w:w="9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必須</w:t>
            </w:r>
          </w:p>
        </w:tc>
        <w:tc>
          <w:tcPr>
            <w:tcW w:type="dxa" w:w="4326"/>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
            </w:r>
          </w:p>
        </w:tc>
      </w:tr>
      <w:tr>
        <w:tc>
          <w:tcPr>
            <w:tcW w:type="dxa" w:w="5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16</w:t>
            </w:r>
          </w:p>
        </w:tc>
        <w:tc>
          <w:tcPr>
            <w:tcW w:type="dxa" w:w="22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利用終了予定日</w:t>
            </w:r>
          </w:p>
        </w:tc>
        <w:tc>
          <w:tcPr>
            <w:tcW w:type="dxa" w:w="14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日付</w:t>
            </w:r>
          </w:p>
        </w:tc>
        <w:tc>
          <w:tcPr>
            <w:tcW w:type="dxa" w:w="9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必須</w:t>
            </w:r>
          </w:p>
        </w:tc>
        <w:tc>
          <w:tcPr>
            <w:tcW w:type="dxa" w:w="4326"/>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A4で定めるゲストアカウントの既定有効期限と連動。無入力の場合は既定値を自動適用</w:t>
            </w:r>
          </w:p>
        </w:tc>
      </w:tr>
      <w:tr>
        <w:tc>
          <w:tcPr>
            <w:tcW w:type="dxa" w:w="5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17</w:t>
            </w:r>
          </w:p>
        </w:tc>
        <w:tc>
          <w:tcPr>
            <w:tcW w:type="dxa" w:w="22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延長の見込み</w:t>
            </w:r>
          </w:p>
        </w:tc>
        <w:tc>
          <w:tcPr>
            <w:tcW w:type="dxa" w:w="14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選択式</w:t>
            </w:r>
          </w:p>
        </w:tc>
        <w:tc>
          <w:tcPr>
            <w:tcW w:type="dxa" w:w="9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任意</w:t>
            </w:r>
          </w:p>
        </w:tc>
        <w:tc>
          <w:tcPr>
            <w:tcW w:type="dxa" w:w="4326"/>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「あり／なし」。ありの場合は再申請が必要な旨を案内文に明記</w:t>
            </w:r>
          </w:p>
        </w:tc>
      </w:tr>
      <w:tr>
        <w:tc>
          <w:tcPr>
            <w:tcW w:type="dxa" w:w="9326"/>
            <w:gridSpan w:val="5"/>
            <w:shd w:fill="D9E2F3" w:val="clear"/>
            <w:tcMar>
              <w:top w:type="dxa" w:w="70"/>
              <w:left w:type="dxa" w:w="100"/>
              <w:bottom w:type="dxa" w:w="70"/>
              <w:right w:type="dxa" w:w="100"/>
            </w:tcMar>
          </w:tcPr>
          <w:p>
            <w:r>
              <w:rPr>
                <w:rFonts w:ascii="游ゴシック" w:cs="游ゴシック" w:eastAsia="游ゴシック" w:hAnsi="游ゴシック"/>
                <w:b/>
                <w:bCs/>
                <w:sz w:val="20"/>
                <w:szCs w:val="20"/>
              </w:rPr>
              <w:t xml:space="preserve">E. その他</w:t>
            </w:r>
          </w:p>
        </w:tc>
      </w:tr>
      <w:tr>
        <w:tc>
          <w:tcPr>
            <w:tcW w:type="dxa" w:w="5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18</w:t>
            </w:r>
          </w:p>
        </w:tc>
        <w:tc>
          <w:tcPr>
            <w:tcW w:type="dxa" w:w="22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緊急度</w:t>
            </w:r>
          </w:p>
        </w:tc>
        <w:tc>
          <w:tcPr>
            <w:tcW w:type="dxa" w:w="14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選択式</w:t>
            </w:r>
          </w:p>
        </w:tc>
        <w:tc>
          <w:tcPr>
            <w:tcW w:type="dxa" w:w="9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必須</w:t>
            </w:r>
          </w:p>
        </w:tc>
        <w:tc>
          <w:tcPr>
            <w:tcW w:type="dxa" w:w="4326"/>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「通常（〇営業日以内）／急ぎ」。C3で定めるSLAと連動</w:t>
            </w:r>
          </w:p>
        </w:tc>
      </w:tr>
      <w:tr>
        <w:tc>
          <w:tcPr>
            <w:tcW w:type="dxa" w:w="5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19</w:t>
            </w:r>
          </w:p>
        </w:tc>
        <w:tc>
          <w:tcPr>
            <w:tcW w:type="dxa" w:w="22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備考</w:t>
            </w:r>
          </w:p>
        </w:tc>
        <w:tc>
          <w:tcPr>
            <w:tcW w:type="dxa" w:w="14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記述式</w:t>
            </w:r>
          </w:p>
        </w:tc>
        <w:tc>
          <w:tcPr>
            <w:tcW w:type="dxa" w:w="9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任意</w:t>
            </w:r>
          </w:p>
        </w:tc>
        <w:tc>
          <w:tcPr>
            <w:tcW w:type="dxa" w:w="4326"/>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
            </w:r>
          </w:p>
        </w:tc>
      </w:tr>
      <w:tr>
        <w:tc>
          <w:tcPr>
            <w:tcW w:type="dxa" w:w="500"/>
            <w:shd w:fill="F2F2F2" w:val="clear"/>
            <w:tcMar>
              <w:top w:type="dxa" w:w="70"/>
              <w:left w:type="dxa" w:w="100"/>
              <w:bottom w:type="dxa" w:w="70"/>
              <w:right w:type="dxa" w:w="100"/>
            </w:tcMar>
            <w:vAlign w:val="center"/>
          </w:tcPr>
          <w:p>
            <w:pPr>
              <w:jc w:val="center"/>
            </w:pPr>
            <w:r>
              <w:rPr>
                <w:rFonts w:ascii="游ゴシック" w:cs="游ゴシック" w:eastAsia="游ゴシック" w:hAnsi="游ゴシック"/>
                <w:b/>
                <w:bCs/>
                <w:sz w:val="19"/>
                <w:szCs w:val="19"/>
              </w:rPr>
              <w:t xml:space="preserve">20</w:t>
            </w:r>
          </w:p>
        </w:tc>
        <w:tc>
          <w:tcPr>
            <w:tcW w:type="dxa" w:w="2200"/>
            <w:tcMar>
              <w:top w:type="dxa" w:w="70"/>
              <w:left w:type="dxa" w:w="100"/>
              <w:bottom w:type="dxa" w:w="70"/>
              <w:right w:type="dxa" w:w="100"/>
            </w:tcMar>
            <w:vAlign w:val="center"/>
          </w:tcPr>
          <w:p>
            <w:pPr>
              <w:jc w:val="left"/>
            </w:pPr>
            <w:r>
              <w:rPr>
                <w:rFonts w:ascii="游ゴシック" w:cs="游ゴシック" w:eastAsia="游ゴシック" w:hAnsi="游ゴシック"/>
                <w:b/>
                <w:bCs/>
                <w:sz w:val="19"/>
                <w:szCs w:val="19"/>
              </w:rPr>
              <w:t xml:space="preserve">申請内容の宣誓</w:t>
            </w:r>
          </w:p>
        </w:tc>
        <w:tc>
          <w:tcPr>
            <w:tcW w:type="dxa" w:w="14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チェックボックス</w:t>
            </w:r>
          </w:p>
        </w:tc>
        <w:tc>
          <w:tcPr>
            <w:tcW w:type="dxa" w:w="900"/>
            <w:tcMar>
              <w:top w:type="dxa" w:w="70"/>
              <w:left w:type="dxa" w:w="100"/>
              <w:bottom w:type="dxa" w:w="70"/>
              <w:right w:type="dxa" w:w="100"/>
            </w:tcMar>
            <w:vAlign w:val="center"/>
          </w:tcPr>
          <w:p>
            <w:pPr>
              <w:jc w:val="center"/>
            </w:pPr>
            <w:r>
              <w:rPr>
                <w:rFonts w:ascii="游ゴシック" w:cs="游ゴシック" w:eastAsia="游ゴシック" w:hAnsi="游ゴシック"/>
                <w:b w:val="false"/>
                <w:bCs w:val="false"/>
                <w:sz w:val="19"/>
                <w:szCs w:val="19"/>
              </w:rPr>
              <w:t xml:space="preserve">必須</w:t>
            </w:r>
          </w:p>
        </w:tc>
        <w:tc>
          <w:tcPr>
            <w:tcW w:type="dxa" w:w="4326"/>
            <w:tcMar>
              <w:top w:type="dxa" w:w="70"/>
              <w:left w:type="dxa" w:w="100"/>
              <w:bottom w:type="dxa" w:w="70"/>
              <w:right w:type="dxa" w:w="100"/>
            </w:tcMar>
            <w:vAlign w:val="center"/>
          </w:tcPr>
          <w:p>
            <w:pPr>
              <w:jc w:val="left"/>
            </w:pPr>
            <w:r>
              <w:rPr>
                <w:rFonts w:ascii="游ゴシック" w:cs="游ゴシック" w:eastAsia="游ゴシック" w:hAnsi="游ゴシック"/>
                <w:b w:val="false"/>
                <w:bCs w:val="false"/>
                <w:sz w:val="19"/>
                <w:szCs w:val="19"/>
              </w:rPr>
              <w:t xml:space="preserve">「入力内容に誤りがないこと、共有先の事前合意を得ていることを確認しました」等</w:t>
            </w:r>
          </w:p>
        </w:tc>
      </w:tr>
    </w:tbl>
    <w:p>
      <w:pPr>
        <w:spacing w:after="120" w:line="300"/>
      </w:pPr>
      <w:r>
        <w:rPr>
          <w:rFonts w:ascii="游ゴシック" w:cs="游ゴシック" w:eastAsia="游ゴシック" w:hAnsi="游ゴシック"/>
          <w:i/>
          <w:iCs/>
          <w:sz w:val="18"/>
          <w:szCs w:val="18"/>
        </w:rPr>
        <w:t xml:space="preserve">※ 項目9（共有先メールアドレス）はEntraゲストアカウントのログインIDに直結するため、入力誤りがないよう確認欄の併設や、申請前チェックリストでの再確認を推奨する。</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2026-07-28T00:31:19.352Z</dcterms:created>
  <dcterms:modified xsi:type="dcterms:W3CDTF">2026-07-28T00:31:19.366Z</dcterms:modified>
</cp:coreProperties>
</file>

<file path=docProps/custom.xml><?xml version="1.0" encoding="utf-8"?>
<Properties xmlns="http://schemas.openxmlformats.org/officeDocument/2006/custom-properties" xmlns:vt="http://schemas.openxmlformats.org/officeDocument/2006/docPropsVTypes"/>
</file>