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游ゴシック" w:cs="游ゴシック" w:eastAsia="游ゴシック" w:hAnsi="游ゴシック"/>
          <w:b/>
          <w:bCs/>
          <w:sz w:val="32"/>
          <w:szCs w:val="32"/>
        </w:rPr>
        <w:t xml:space="preserve">メール送信セキュリティ強化に向けた</w:t>
      </w:r>
    </w:p>
    <w:p>
      <w:pPr>
        <w:spacing w:after="300"/>
        <w:jc w:val="center"/>
      </w:pPr>
      <w:r>
        <w:rPr>
          <w:rFonts w:ascii="游ゴシック" w:cs="游ゴシック" w:eastAsia="游ゴシック" w:hAnsi="游ゴシック"/>
          <w:b/>
          <w:bCs/>
          <w:sz w:val="32"/>
          <w:szCs w:val="32"/>
        </w:rPr>
        <w:t xml:space="preserve">誤送信防止・添付ファイル送信対策ツール導入企画書（骨子）</w:t>
      </w:r>
    </w:p>
    <w:p>
      <w:pPr>
        <w:spacing w:after="300"/>
        <w:jc w:val="right"/>
      </w:pPr>
      <w:r>
        <w:rPr>
          <w:rFonts w:ascii="游ゴシック" w:cs="游ゴシック" w:eastAsia="游ゴシック" w:hAnsi="游ゴシック"/>
          <w:sz w:val="20"/>
          <w:szCs w:val="20"/>
        </w:rPr>
        <w:t xml:space="preserve">2026年7月24日　情報システム部</w:t>
      </w:r>
    </w:p>
    <w:p>
      <w:pPr>
        <w:pStyle w:val="Heading1"/>
        <w:spacing w:after="160" w:before="320"/>
      </w:pPr>
      <w:r>
        <w:rPr>
          <w:rFonts w:ascii="游ゴシック" w:cs="游ゴシック" w:eastAsia="游ゴシック" w:hAnsi="游ゴシック"/>
          <w:b/>
          <w:bCs/>
          <w:color w:val="1F4E79"/>
          <w:sz w:val="28"/>
          <w:szCs w:val="28"/>
        </w:rPr>
        <w:t xml:space="preserve">1. 背景</w:t>
      </w:r>
    </w:p>
    <w:p>
      <w:pPr>
        <w:spacing w:after="120" w:line="300"/>
      </w:pPr>
      <w:r>
        <w:rPr>
          <w:rFonts w:ascii="游ゴシック" w:cs="游ゴシック" w:eastAsia="游ゴシック" w:hAnsi="游ゴシック"/>
          <w:sz w:val="21"/>
          <w:szCs w:val="21"/>
        </w:rPr>
        <w:t xml:space="preserve">脱PPAP（パスワード付きZIPファイルのメール送付慣行の廃止）は、金融庁・デジタル庁をはじめ官公庁・大手企業でも推奨・実施が進んでおり、取引先からの対応要請も増加している。あわせて、メールの誤送信は依然として情報漏えい事故の主要因の一つであり、宛先間違いや添付ファイル間違いによる事故は業種を問わず発生し続けている。</w:t>
      </w:r>
    </w:p>
    <w:p>
      <w:pPr>
        <w:spacing w:after="120" w:line="300"/>
      </w:pPr>
      <w:r>
        <w:rPr>
          <w:rFonts w:ascii="游ゴシック" w:cs="游ゴシック" w:eastAsia="游ゴシック" w:hAnsi="游ゴシック"/>
          <w:sz w:val="21"/>
          <w:szCs w:val="21"/>
        </w:rPr>
        <w:t xml:space="preserve">当社では現在、誤送信防止対策として無償のOutlookアドイン「おかん（OutlookOkan）」を利用しているが、次のような課題がある。</w:t>
      </w:r>
    </w:p>
    <w:p>
      <w:pPr>
        <w:pStyle w:val="ListParagraph"/>
        <w:numPr>
          <w:ilvl w:val="0"/>
          <w:numId w:val="2"/>
        </w:numPr>
        <w:spacing w:after="60" w:line="280"/>
      </w:pPr>
      <w:r>
        <w:rPr>
          <w:rFonts w:ascii="游ゴシック" w:cs="游ゴシック" w:eastAsia="游ゴシック" w:hAnsi="游ゴシック"/>
          <w:sz w:val="21"/>
          <w:szCs w:val="21"/>
        </w:rPr>
        <w:t xml:space="preserve">送信ボタン押下後の確認ポップアップによる「気づき」の促進が中心であり、宛先を誤った場合の情報漏えいそのものを防ぐ仕組みではない</w:t>
      </w:r>
    </w:p>
    <w:p>
      <w:pPr>
        <w:pStyle w:val="ListParagraph"/>
        <w:numPr>
          <w:ilvl w:val="0"/>
          <w:numId w:val="2"/>
        </w:numPr>
        <w:spacing w:after="60" w:line="280"/>
      </w:pPr>
      <w:r>
        <w:rPr>
          <w:rFonts w:ascii="游ゴシック" w:cs="游ゴシック" w:eastAsia="游ゴシック" w:hAnsi="游ゴシック"/>
          <w:sz w:val="21"/>
          <w:szCs w:val="21"/>
        </w:rPr>
        <w:t xml:space="preserve">添付ファイルを自動でダウンロードリンクに置き換える機能（脱PPAP対応）を備えておらず、パスワード付きZIP送付の運用が残存している</w:t>
      </w:r>
    </w:p>
    <w:p>
      <w:pPr>
        <w:pStyle w:val="ListParagraph"/>
        <w:numPr>
          <w:ilvl w:val="0"/>
          <w:numId w:val="2"/>
        </w:numPr>
        <w:spacing w:after="60" w:line="280"/>
      </w:pPr>
      <w:r>
        <w:rPr>
          <w:rFonts w:ascii="游ゴシック" w:cs="游ゴシック" w:eastAsia="游ゴシック" w:hAnsi="游ゴシック"/>
          <w:sz w:val="21"/>
          <w:szCs w:val="21"/>
        </w:rPr>
        <w:t xml:space="preserve">無償ツールであるため公式サポートが限定的で、障害対応や機能拡張を自社運用に依存せざるを得ない</w:t>
      </w:r>
    </w:p>
    <w:p>
      <w:pPr>
        <w:spacing w:after="120" w:line="300"/>
      </w:pPr>
      <w:r>
        <w:rPr>
          <w:rFonts w:ascii="游ゴシック" w:cs="游ゴシック" w:eastAsia="游ゴシック" w:hAnsi="游ゴシック"/>
          <w:sz w:val="21"/>
          <w:szCs w:val="21"/>
        </w:rPr>
        <w:t xml:space="preserve">これらの課題を解消し、「誤送信防止」と「添付ファイルの安全な受け渡し（脱PPAP）」を1つのサービスで実現する有償の統合メールセキュリティサービスへの切り替えを提案する。</w:t>
      </w:r>
    </w:p>
    <w:p>
      <w:pPr>
        <w:pStyle w:val="Heading1"/>
        <w:spacing w:after="160" w:before="320"/>
      </w:pPr>
      <w:r>
        <w:rPr>
          <w:rFonts w:ascii="游ゴシック" w:cs="游ゴシック" w:eastAsia="游ゴシック" w:hAnsi="游ゴシック"/>
          <w:b/>
          <w:bCs/>
          <w:color w:val="1F4E79"/>
          <w:sz w:val="28"/>
          <w:szCs w:val="28"/>
        </w:rPr>
        <w:t xml:space="preserve">2. サービス比較表</w:t>
      </w:r>
    </w:p>
    <w:p>
      <w:pPr>
        <w:spacing w:after="120" w:line="300"/>
      </w:pPr>
      <w:r>
        <w:rPr>
          <w:rFonts w:ascii="游ゴシック" w:cs="游ゴシック" w:eastAsia="游ゴシック" w:hAnsi="游ゴシック"/>
          <w:sz w:val="21"/>
          <w:szCs w:val="21"/>
        </w:rPr>
        <w:t xml:space="preserve">誤送信防止機能・添付ファイルの脱PPAP対応・料金体系・サポート体制の観点で、代表的な有償サービス3社（ヘンゲ、デジタルアーツ、Canon）と現行の無償ツール（おかん）を比較した。</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1900"/>
        <w:gridCol w:w="1900"/>
        <w:gridCol w:w="1826"/>
      </w:tblGrid>
      <w:tr>
        <w:trPr>
          <w:tblHeader/>
        </w:trPr>
        <w:tc>
          <w:tcPr>
            <w:tcW w:type="dxa" w:w="1500"/>
            <w:shd w:fill="1F4E79" w:val="clear"/>
            <w:tcMar>
              <w:top w:type="dxa" w:w="80"/>
              <w:left w:type="dxa" w:w="100"/>
              <w:bottom w:type="dxa" w:w="80"/>
              <w:right w:type="dxa" w:w="100"/>
            </w:tcMar>
            <w:vAlign w:val="center"/>
          </w:tcPr>
          <w:p>
            <w:pPr>
              <w:jc w:val="left"/>
            </w:pPr>
            <w:r>
              <w:rPr>
                <w:rFonts w:ascii="游ゴシック" w:cs="游ゴシック" w:eastAsia="游ゴシック" w:hAnsi="游ゴシック"/>
                <w:b/>
                <w:bCs/>
                <w:color w:val="FFFFFF"/>
                <w:sz w:val="19"/>
                <w:szCs w:val="19"/>
              </w:rPr>
              <w:t xml:space="preserve">比較項目</w:t>
            </w:r>
          </w:p>
        </w:tc>
        <w:tc>
          <w:tcPr>
            <w:tcW w:type="dxa" w:w="1900"/>
            <w:shd w:fill="1F4E79" w:val="clear"/>
            <w:tcMar>
              <w:top w:type="dxa" w:w="80"/>
              <w:left w:type="dxa" w:w="100"/>
              <w:bottom w:type="dxa" w:w="80"/>
              <w:right w:type="dxa" w:w="100"/>
            </w:tcMar>
            <w:vAlign w:val="center"/>
          </w:tcPr>
          <w:p>
            <w:pPr>
              <w:jc w:val="center"/>
            </w:pPr>
            <w:r>
              <w:rPr>
                <w:rFonts w:ascii="游ゴシック" w:cs="游ゴシック" w:eastAsia="游ゴシック" w:hAnsi="游ゴシック"/>
                <w:b/>
                <w:bCs/>
                <w:color w:val="FFFFFF"/>
                <w:sz w:val="19"/>
                <w:szCs w:val="19"/>
              </w:rPr>
              <w:t xml:space="preserve">ヘンゲ
(HENNGE Email DLP)</w:t>
            </w:r>
          </w:p>
        </w:tc>
        <w:tc>
          <w:tcPr>
            <w:tcW w:type="dxa" w:w="1900"/>
            <w:shd w:fill="1F4E79" w:val="clear"/>
            <w:tcMar>
              <w:top w:type="dxa" w:w="80"/>
              <w:left w:type="dxa" w:w="100"/>
              <w:bottom w:type="dxa" w:w="80"/>
              <w:right w:type="dxa" w:w="100"/>
            </w:tcMar>
            <w:vAlign w:val="center"/>
          </w:tcPr>
          <w:p>
            <w:pPr>
              <w:jc w:val="center"/>
            </w:pPr>
            <w:r>
              <w:rPr>
                <w:rFonts w:ascii="游ゴシック" w:cs="游ゴシック" w:eastAsia="游ゴシック" w:hAnsi="游ゴシック"/>
                <w:b/>
                <w:bCs/>
                <w:color w:val="FFFFFF"/>
                <w:sz w:val="19"/>
                <w:szCs w:val="19"/>
              </w:rPr>
              <w:t xml:space="preserve">デジタルアーツ
(m-FILTER＠Cloud)</w:t>
            </w:r>
          </w:p>
        </w:tc>
        <w:tc>
          <w:tcPr>
            <w:tcW w:type="dxa" w:w="1900"/>
            <w:shd w:fill="FCE9D5" w:val="clear"/>
            <w:tcMar>
              <w:top w:type="dxa" w:w="80"/>
              <w:left w:type="dxa" w:w="100"/>
              <w:bottom w:type="dxa" w:w="80"/>
              <w:right w:type="dxa" w:w="100"/>
            </w:tcMar>
            <w:vAlign w:val="center"/>
          </w:tcPr>
          <w:p>
            <w:pPr>
              <w:jc w:val="center"/>
            </w:pPr>
            <w:r>
              <w:rPr>
                <w:rFonts w:ascii="游ゴシック" w:cs="游ゴシック" w:eastAsia="游ゴシック" w:hAnsi="游ゴシック"/>
                <w:b/>
                <w:bCs/>
                <w:sz w:val="19"/>
                <w:szCs w:val="19"/>
              </w:rPr>
              <w:t xml:space="preserve">Canon
(GUARDIANWALL)</w:t>
            </w:r>
          </w:p>
        </w:tc>
        <w:tc>
          <w:tcPr>
            <w:tcW w:type="dxa" w:w="1826"/>
            <w:shd w:fill="1F4E79" w:val="clear"/>
            <w:tcMar>
              <w:top w:type="dxa" w:w="80"/>
              <w:left w:type="dxa" w:w="100"/>
              <w:bottom w:type="dxa" w:w="80"/>
              <w:right w:type="dxa" w:w="100"/>
            </w:tcMar>
            <w:vAlign w:val="center"/>
          </w:tcPr>
          <w:p>
            <w:pPr>
              <w:jc w:val="center"/>
            </w:pPr>
            <w:r>
              <w:rPr>
                <w:rFonts w:ascii="游ゴシック" w:cs="游ゴシック" w:eastAsia="游ゴシック" w:hAnsi="游ゴシック"/>
                <w:b/>
                <w:bCs/>
                <w:color w:val="FFFFFF"/>
                <w:sz w:val="19"/>
                <w:szCs w:val="19"/>
              </w:rPr>
              <w:t xml:space="preserve">おかん
(OutlookOkan)【現行】</w:t>
            </w:r>
          </w:p>
        </w:tc>
      </w:tr>
      <w:tr>
        <w:tc>
          <w:tcPr>
            <w:tcW w:type="dxa" w:w="1500"/>
            <w:shd w:fill="F2F2F2"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提供会社</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HENNGE株式会社</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デジタルアーツ株式会社</w:t>
            </w:r>
          </w:p>
        </w:tc>
        <w:tc>
          <w:tcPr>
            <w:tcW w:type="dxa" w:w="1900"/>
            <w:shd w:fill="FCE9D5"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キヤノンマーケティングジャパン株式会社</w:t>
            </w:r>
          </w:p>
        </w:tc>
        <w:tc>
          <w:tcPr>
            <w:tcW w:type="dxa" w:w="1826"/>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株式会社のらねこ</w:t>
            </w:r>
          </w:p>
        </w:tc>
      </w:tr>
      <w:tr>
        <w:tc>
          <w:tcPr>
            <w:tcW w:type="dxa" w:w="1500"/>
            <w:shd w:fill="F2F2F2"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提供形態</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SaaS（Microsoft 365 / Google Workspace 連携）</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クラウド（メールフィルタリング＋オプション連携）</w:t>
            </w:r>
          </w:p>
        </w:tc>
        <w:tc>
          <w:tcPr>
            <w:tcW w:type="dxa" w:w="1900"/>
            <w:shd w:fill="FCE9D5"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クラウド（GUARDIANWALL Mailセキュリティ・クラウド）</w:t>
            </w:r>
          </w:p>
        </w:tc>
        <w:tc>
          <w:tcPr>
            <w:tcW w:type="dxa" w:w="1826"/>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Outlookアドイン（無償OSS）</w:t>
            </w:r>
          </w:p>
        </w:tc>
      </w:tr>
      <w:tr>
        <w:tc>
          <w:tcPr>
            <w:tcW w:type="dxa" w:w="1500"/>
            <w:shd w:fill="F2F2F2"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誤送信防止機能</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送信一時保留、宛先・添付内容チェック、ポリシー違反送信のブロック等</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送信一時保留、上長承認、宛先チェック等の柔軟なルール設定</w:t>
            </w:r>
          </w:p>
        </w:tc>
        <w:tc>
          <w:tcPr>
            <w:tcW w:type="dxa" w:w="1900"/>
            <w:shd w:fill="FCE9D5"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送信一時保留、送信前再確認、上長承認によるダブルチェック</w:t>
            </w:r>
          </w:p>
        </w:tc>
        <w:tc>
          <w:tcPr>
            <w:tcW w:type="dxa" w:w="1826"/>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送信ボタン押下後に確認ポップアップを表示（気づきを促す）</w:t>
            </w:r>
          </w:p>
        </w:tc>
      </w:tr>
      <w:tr>
        <w:tc>
          <w:tcPr>
            <w:tcW w:type="dxa" w:w="1500"/>
            <w:shd w:fill="F2F2F2"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添付ファイル脱PPAP対応
（自動ダウンロードリンク置換）</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
添付ファイルをクラウドに自動退避し本文にDLリンクを挿入</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
「f-FILTER」連携でオンラインストレージ化・DLリンク化</w:t>
            </w:r>
          </w:p>
        </w:tc>
        <w:tc>
          <w:tcPr>
            <w:tcW w:type="dxa" w:w="1900"/>
            <w:shd w:fill="FCE9D5"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
「MailConvert」が添付ファイルを自動分離しDLリンク化。誤送信時はリンク無効化で漏えい遮断</w:t>
            </w:r>
          </w:p>
        </w:tc>
        <w:tc>
          <w:tcPr>
            <w:tcW w:type="dxa" w:w="1826"/>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
本機能なし（添付ファイル自体は平文のまま送信される）</w:t>
            </w:r>
          </w:p>
        </w:tc>
      </w:tr>
      <w:tr>
        <w:tc>
          <w:tcPr>
            <w:tcW w:type="dxa" w:w="1500"/>
            <w:shd w:fill="F2F2F2"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料金体系（参考・税別）</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月額 350円／ユーザー
（誤送信対策・脱PPAP・大容量転送等が1プランに統合）</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月額 200円～／ユーザー
（メールフィルタ本体＋f-FILTERオプションの組合せ、初期費用別途）</w:t>
            </w:r>
          </w:p>
        </w:tc>
        <w:tc>
          <w:tcPr>
            <w:tcW w:type="dxa" w:w="1900"/>
            <w:shd w:fill="FCE9D5"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月額 300～400円／ユーザー
（Basic／Premiumで機能と価格を選択可、MailFilter＋MailConvert合算）</w:t>
            </w:r>
          </w:p>
        </w:tc>
        <w:tc>
          <w:tcPr>
            <w:tcW w:type="dxa" w:w="1826"/>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無償（サポート・導入支援等が必要な場合のみ有償プランあり）</w:t>
            </w:r>
          </w:p>
        </w:tc>
      </w:tr>
      <w:tr>
        <w:tc>
          <w:tcPr>
            <w:tcW w:type="dxa" w:w="1500"/>
            <w:shd w:fill="F2F2F2"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導入実績・サポート体制</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国内シェア上位、導入実績3,200社以上</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老舗メールフィルタリングベンダー、大企業への導入実績が豊富</w:t>
            </w:r>
          </w:p>
        </w:tc>
        <w:tc>
          <w:tcPr>
            <w:tcW w:type="dxa" w:w="1900"/>
            <w:shd w:fill="FCE9D5"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複合機・事務機販売網を活かした全国的な導入・保守サポート体制</w:t>
            </w:r>
          </w:p>
        </w:tc>
        <w:tc>
          <w:tcPr>
            <w:tcW w:type="dxa" w:w="1826"/>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無償ツールのため公式サポートは限定的（有償プランで補完）</w:t>
            </w:r>
          </w:p>
        </w:tc>
      </w:tr>
      <w:tr>
        <w:tc>
          <w:tcPr>
            <w:tcW w:type="dxa" w:w="1500"/>
            <w:shd w:fill="F2F2F2"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総評</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機能は充実するが月額単価はやや高め</w:t>
            </w:r>
          </w:p>
        </w:tc>
        <w:tc>
          <w:tcPr>
            <w:tcW w:type="dxa" w:w="1900"/>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ルール設定は柔軟だが本体＋オプションの契約構成がやや複雑</w:t>
            </w:r>
          </w:p>
        </w:tc>
        <w:tc>
          <w:tcPr>
            <w:tcW w:type="dxa" w:w="1900"/>
            <w:shd w:fill="FCE9D5"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誤送信防止・脱PPAPを1社で完結しつつ価格は競争力あり。価格と機能のバランスが良い</w:t>
            </w:r>
          </w:p>
        </w:tc>
        <w:tc>
          <w:tcPr>
            <w:tcW w:type="dxa" w:w="1826"/>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コストはゼロだが脱PPAP機能を欠き、現状の課題を解決できない</w:t>
            </w:r>
          </w:p>
        </w:tc>
      </w:tr>
    </w:tbl>
    <w:p>
      <w:pPr>
        <w:spacing w:before="120"/>
      </w:pPr>
      <w:r>
        <w:rPr>
          <w:rFonts w:ascii="游ゴシック" w:cs="游ゴシック" w:eastAsia="游ゴシック" w:hAnsi="游ゴシック"/>
          <w:i/>
          <w:iCs/>
          <w:sz w:val="18"/>
          <w:szCs w:val="18"/>
        </w:rPr>
        <w:t xml:space="preserve">※ 料金は各社公開情報に基づく参考値であり、実際の契約金額は個別見積りにより変動する。</w:t>
      </w:r>
    </w:p>
    <w:p>
      <w:pPr>
        <w:pStyle w:val="Heading1"/>
        <w:spacing w:after="160" w:before="320"/>
      </w:pPr>
      <w:r>
        <w:rPr>
          <w:rFonts w:ascii="游ゴシック" w:cs="游ゴシック" w:eastAsia="游ゴシック" w:hAnsi="游ゴシック"/>
          <w:b/>
          <w:bCs/>
          <w:color w:val="1F4E79"/>
          <w:sz w:val="28"/>
          <w:szCs w:val="28"/>
        </w:rPr>
        <w:t xml:space="preserve">3. 比較検討結果</w:t>
      </w:r>
    </w:p>
    <w:p>
      <w:pPr>
        <w:spacing w:after="120" w:line="300"/>
      </w:pPr>
      <w:r>
        <w:rPr>
          <w:rFonts w:ascii="游ゴシック" w:cs="游ゴシック" w:eastAsia="游ゴシック" w:hAnsi="游ゴシック"/>
          <w:b/>
          <w:bCs/>
          <w:sz w:val="21"/>
          <w:szCs w:val="21"/>
        </w:rPr>
        <w:t xml:space="preserve">上記比較の結果、導入サービスとしてCanon（GUARDIANWALL Mailセキュリティ・クラウド）を推奨する。理由は以下のとおりである。</w:t>
      </w:r>
    </w:p>
    <w:p>
      <w:pPr>
        <w:pStyle w:val="Heading2"/>
        <w:spacing w:after="120" w:before="240"/>
      </w:pPr>
      <w:r>
        <w:rPr>
          <w:rFonts w:ascii="游ゴシック" w:cs="游ゴシック" w:eastAsia="游ゴシック" w:hAnsi="游ゴシック"/>
          <w:b/>
          <w:bCs/>
          <w:color w:val="2E5F8A"/>
          <w:sz w:val="24"/>
          <w:szCs w:val="24"/>
        </w:rPr>
        <w:t xml:space="preserve">(1) 誤送信防止と脱PPAPを1社で過不足なくカバー</w:t>
      </w:r>
    </w:p>
    <w:p>
      <w:pPr>
        <w:spacing w:after="120" w:line="300"/>
      </w:pPr>
      <w:r>
        <w:rPr>
          <w:rFonts w:ascii="游ゴシック" w:cs="游ゴシック" w:eastAsia="游ゴシック" w:hAnsi="游ゴシック"/>
          <w:sz w:val="21"/>
          <w:szCs w:val="21"/>
        </w:rPr>
        <w:t xml:space="preserve">Canonの「MailFilter on Cloud」による送信一時保留・上長承認等の誤送信防止機能と、「MailConvert on Cloud」による添付ファイルの自動ダウンロードリンク化（脱PPAP）を同一ベンダーの1サービスとして導入でき、ヘンゲと同様に機能不足なく現状の課題（誤送信・PPAP運用）を解消できる。現行の「おかん」で欠けている脱PPAP機能についても、誤送信時のリンク無効化により漏えいを遮断できる点で確実にカバーできる。</w:t>
      </w:r>
    </w:p>
    <w:p>
      <w:pPr>
        <w:pStyle w:val="Heading2"/>
        <w:spacing w:after="120" w:before="240"/>
      </w:pPr>
      <w:r>
        <w:rPr>
          <w:rFonts w:ascii="游ゴシック" w:cs="游ゴシック" w:eastAsia="游ゴシック" w:hAnsi="游ゴシック"/>
          <w:b/>
          <w:bCs/>
          <w:color w:val="2E5F8A"/>
          <w:sz w:val="24"/>
          <w:szCs w:val="24"/>
        </w:rPr>
        <w:t xml:space="preserve">(2) 価格競争力とプラン選択の柔軟性</w:t>
      </w:r>
    </w:p>
    <w:p>
      <w:pPr>
        <w:spacing w:after="120" w:line="300"/>
      </w:pPr>
      <w:r>
        <w:rPr>
          <w:rFonts w:ascii="游ゴシック" w:cs="游ゴシック" w:eastAsia="游ゴシック" w:hAnsi="游ゴシック"/>
          <w:sz w:val="21"/>
          <w:szCs w:val="21"/>
        </w:rPr>
        <w:t xml:space="preserve">Basic／Premiumの2プランが料金・機能とともに明示されており、想定月額はBasicで300円／ユーザー、Premiumで400円／ユーザー程度となる。同等機能を持つヘンゲ（月額350円／ユーザー、機能固定の単一プラン）と比較して、Basicプランを選択すれば同等以上の機能をより低いコストで導入でき、必要に応じてPremiumへ引き上げる拡張性もある。</w:t>
      </w:r>
    </w:p>
    <w:p>
      <w:pPr>
        <w:pStyle w:val="Heading2"/>
        <w:spacing w:after="120" w:before="240"/>
      </w:pPr>
      <w:r>
        <w:rPr>
          <w:rFonts w:ascii="游ゴシック" w:cs="游ゴシック" w:eastAsia="游ゴシック" w:hAnsi="游ゴシック"/>
          <w:b/>
          <w:bCs/>
          <w:color w:val="2E5F8A"/>
          <w:sz w:val="24"/>
          <w:szCs w:val="24"/>
        </w:rPr>
        <w:t xml:space="preserve">(3) 契約構成のわかりやすさ</w:t>
      </w:r>
    </w:p>
    <w:p>
      <w:pPr>
        <w:spacing w:after="120" w:line="300"/>
      </w:pPr>
      <w:r>
        <w:rPr>
          <w:rFonts w:ascii="游ゴシック" w:cs="游ゴシック" w:eastAsia="游ゴシック" w:hAnsi="游ゴシック"/>
          <w:sz w:val="21"/>
          <w:szCs w:val="21"/>
        </w:rPr>
        <w:t xml:space="preserve">デジタルアーツはメールフィルタ本体とf-FILTERオプションの組み合わせで契約する必要があり、総額が個別見積り中心でわかりにくい面がある。Canonは誤送信防止（MailFilter）と脱PPAP（MailConvert）がいずれも公開の月額単価で提示されており、稟議段階での費用試算・説明がしやすい。</w:t>
      </w:r>
    </w:p>
    <w:p>
      <w:pPr>
        <w:pStyle w:val="Heading2"/>
        <w:spacing w:after="120" w:before="240"/>
      </w:pPr>
      <w:r>
        <w:rPr>
          <w:rFonts w:ascii="游ゴシック" w:cs="游ゴシック" w:eastAsia="游ゴシック" w:hAnsi="游ゴシック"/>
          <w:b/>
          <w:bCs/>
          <w:color w:val="2E5F8A"/>
          <w:sz w:val="24"/>
          <w:szCs w:val="24"/>
        </w:rPr>
        <w:t xml:space="preserve">(4) 導入・サポート体制</w:t>
      </w:r>
    </w:p>
    <w:p>
      <w:pPr>
        <w:spacing w:after="120" w:line="300"/>
      </w:pPr>
      <w:r>
        <w:rPr>
          <w:rFonts w:ascii="游ゴシック" w:cs="游ゴシック" w:eastAsia="游ゴシック" w:hAnsi="游ゴシック"/>
          <w:sz w:val="21"/>
          <w:szCs w:val="21"/>
        </w:rPr>
        <w:t xml:space="preserve">複合機・事務機分野で培った全国的な販売・保守網を持ち、導入後の問い合わせ対応や運用サポートを受けやすい。</w:t>
      </w:r>
    </w:p>
    <w:p>
      <w:pPr>
        <w:spacing w:after="120" w:line="300"/>
      </w:pPr>
      <w:r>
        <w:rPr>
          <w:rFonts w:ascii="游ゴシック" w:cs="游ゴシック" w:eastAsia="游ゴシック" w:hAnsi="游ゴシック"/>
          <w:b/>
          <w:bCs/>
          <w:sz w:val="21"/>
          <w:szCs w:val="21"/>
        </w:rPr>
        <w:t xml:space="preserve">以上より、Canonは「価格と機能のバランスが良い」サービスであり、誤送信防止・脱PPAPという2つの課題を、コストを抑えつつ確実に解決できる最適な選択肢と考える。</w:t>
      </w:r>
    </w:p>
    <w:p>
      <w:pPr>
        <w:pStyle w:val="Heading1"/>
        <w:spacing w:after="160" w:before="320"/>
      </w:pPr>
      <w:r>
        <w:rPr>
          <w:rFonts w:ascii="游ゴシック" w:cs="游ゴシック" w:eastAsia="游ゴシック" w:hAnsi="游ゴシック"/>
          <w:b/>
          <w:bCs/>
          <w:color w:val="1F4E79"/>
          <w:sz w:val="28"/>
          <w:szCs w:val="28"/>
        </w:rPr>
        <w:t xml:space="preserve">4. 概算費用</w:t>
      </w:r>
    </w:p>
    <w:p>
      <w:pPr>
        <w:spacing w:after="120" w:line="300"/>
      </w:pPr>
      <w:r>
        <w:rPr>
          <w:rFonts w:ascii="游ゴシック" w:cs="游ゴシック" w:eastAsia="游ゴシック" w:hAnsi="游ゴシック"/>
          <w:sz w:val="21"/>
          <w:szCs w:val="21"/>
        </w:rPr>
        <w:t xml:space="preserve">想定利用者数を300名とした場合の概算費用は以下のとおり（本稟議では方向性確認を目的とし、正式な費用は見積り取得後に別途報告する）。</w:t>
      </w:r>
    </w:p>
    <w:tbl>
      <w:tblPr>
        <w:tblW w:type="dxa" w:w="9326"/>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2400"/>
        <w:gridCol w:w="2126"/>
      </w:tblGrid>
      <w:tr>
        <w:trPr>
          <w:tblHeader/>
        </w:trPr>
        <w:tc>
          <w:tcPr>
            <w:tcW w:type="dxa" w:w="2400"/>
            <w:shd w:fill="1F4E79" w:val="clear"/>
            <w:tcMar>
              <w:top w:type="dxa" w:w="80"/>
              <w:left w:type="dxa" w:w="100"/>
              <w:bottom w:type="dxa" w:w="80"/>
              <w:right w:type="dxa" w:w="100"/>
            </w:tcMar>
            <w:vAlign w:val="center"/>
          </w:tcPr>
          <w:p>
            <w:pPr>
              <w:jc w:val="left"/>
            </w:pPr>
            <w:r>
              <w:rPr>
                <w:rFonts w:ascii="游ゴシック" w:cs="游ゴシック" w:eastAsia="游ゴシック" w:hAnsi="游ゴシック"/>
                <w:b/>
                <w:bCs/>
                <w:color w:val="FFFFFF"/>
                <w:sz w:val="19"/>
                <w:szCs w:val="19"/>
              </w:rPr>
              <w:t xml:space="preserve">項目</w:t>
            </w:r>
          </w:p>
        </w:tc>
        <w:tc>
          <w:tcPr>
            <w:tcW w:type="dxa" w:w="2400"/>
            <w:shd w:fill="1F4E79" w:val="clear"/>
            <w:tcMar>
              <w:top w:type="dxa" w:w="80"/>
              <w:left w:type="dxa" w:w="100"/>
              <w:bottom w:type="dxa" w:w="80"/>
              <w:right w:type="dxa" w:w="100"/>
            </w:tcMar>
            <w:vAlign w:val="center"/>
          </w:tcPr>
          <w:p>
            <w:pPr>
              <w:jc w:val="center"/>
            </w:pPr>
            <w:r>
              <w:rPr>
                <w:rFonts w:ascii="游ゴシック" w:cs="游ゴシック" w:eastAsia="游ゴシック" w:hAnsi="游ゴシック"/>
                <w:b/>
                <w:bCs/>
                <w:color w:val="FFFFFF"/>
                <w:sz w:val="19"/>
                <w:szCs w:val="19"/>
              </w:rPr>
              <w:t xml:space="preserve">単価（税別・参考値）</w:t>
            </w:r>
          </w:p>
        </w:tc>
        <w:tc>
          <w:tcPr>
            <w:tcW w:type="dxa" w:w="2400"/>
            <w:shd w:fill="1F4E79" w:val="clear"/>
            <w:tcMar>
              <w:top w:type="dxa" w:w="80"/>
              <w:left w:type="dxa" w:w="100"/>
              <w:bottom w:type="dxa" w:w="80"/>
              <w:right w:type="dxa" w:w="100"/>
            </w:tcMar>
            <w:vAlign w:val="center"/>
          </w:tcPr>
          <w:p>
            <w:pPr>
              <w:jc w:val="center"/>
            </w:pPr>
            <w:r>
              <w:rPr>
                <w:rFonts w:ascii="游ゴシック" w:cs="游ゴシック" w:eastAsia="游ゴシック" w:hAnsi="游ゴシック"/>
                <w:b/>
                <w:bCs/>
                <w:color w:val="FFFFFF"/>
                <w:sz w:val="19"/>
                <w:szCs w:val="19"/>
              </w:rPr>
              <w:t xml:space="preserve">対象ユーザー数</w:t>
            </w:r>
          </w:p>
        </w:tc>
        <w:tc>
          <w:tcPr>
            <w:tcW w:type="dxa" w:w="2126"/>
            <w:shd w:fill="1F4E79" w:val="clear"/>
            <w:tcMar>
              <w:top w:type="dxa" w:w="80"/>
              <w:left w:type="dxa" w:w="100"/>
              <w:bottom w:type="dxa" w:w="80"/>
              <w:right w:type="dxa" w:w="100"/>
            </w:tcMar>
            <w:vAlign w:val="center"/>
          </w:tcPr>
          <w:p>
            <w:pPr>
              <w:jc w:val="center"/>
            </w:pPr>
            <w:r>
              <w:rPr>
                <w:rFonts w:ascii="游ゴシック" w:cs="游ゴシック" w:eastAsia="游ゴシック" w:hAnsi="游ゴシック"/>
                <w:b/>
                <w:bCs/>
                <w:color w:val="FFFFFF"/>
                <w:sz w:val="19"/>
                <w:szCs w:val="19"/>
              </w:rPr>
              <w:t xml:space="preserve">概算月額</w:t>
            </w:r>
          </w:p>
        </w:tc>
      </w:tr>
      <w:tr>
        <w:tc>
          <w:tcPr>
            <w:tcW w:type="dxa" w:w="2400"/>
            <w:shd w:fill="FCE9D5"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Canon GUARDIANWALL
Mailセキュリティ・クラウド（Basicプラン）</w:t>
            </w:r>
          </w:p>
        </w:tc>
        <w:tc>
          <w:tcPr>
            <w:tcW w:type="dxa" w:w="2400"/>
            <w:tcMar>
              <w:top w:type="dxa" w:w="80"/>
              <w:left w:type="dxa" w:w="100"/>
              <w:bottom w:type="dxa" w:w="80"/>
              <w:right w:type="dxa" w:w="100"/>
            </w:tcMar>
            <w:vAlign w:val="center"/>
          </w:tcPr>
          <w:p>
            <w:pPr>
              <w:jc w:val="center"/>
            </w:pPr>
            <w:r>
              <w:rPr>
                <w:rFonts w:ascii="游ゴシック" w:cs="游ゴシック" w:eastAsia="游ゴシック" w:hAnsi="游ゴシック"/>
                <w:b w:val="false"/>
                <w:bCs w:val="false"/>
                <w:sz w:val="19"/>
                <w:szCs w:val="19"/>
              </w:rPr>
              <w:t xml:space="preserve">300円／ユーザー・月</w:t>
            </w:r>
          </w:p>
        </w:tc>
        <w:tc>
          <w:tcPr>
            <w:tcW w:type="dxa" w:w="2400"/>
            <w:tcMar>
              <w:top w:type="dxa" w:w="80"/>
              <w:left w:type="dxa" w:w="100"/>
              <w:bottom w:type="dxa" w:w="80"/>
              <w:right w:type="dxa" w:w="100"/>
            </w:tcMar>
            <w:vAlign w:val="center"/>
          </w:tcPr>
          <w:p>
            <w:pPr>
              <w:jc w:val="center"/>
            </w:pPr>
            <w:r>
              <w:rPr>
                <w:rFonts w:ascii="游ゴシック" w:cs="游ゴシック" w:eastAsia="游ゴシック" w:hAnsi="游ゴシック"/>
                <w:b w:val="false"/>
                <w:bCs w:val="false"/>
                <w:sz w:val="19"/>
                <w:szCs w:val="19"/>
              </w:rPr>
              <w:t xml:space="preserve">300名</w:t>
            </w:r>
          </w:p>
        </w:tc>
        <w:tc>
          <w:tcPr>
            <w:tcW w:type="dxa" w:w="2126"/>
            <w:tcMar>
              <w:top w:type="dxa" w:w="80"/>
              <w:left w:type="dxa" w:w="100"/>
              <w:bottom w:type="dxa" w:w="80"/>
              <w:right w:type="dxa" w:w="100"/>
            </w:tcMar>
            <w:vAlign w:val="center"/>
          </w:tcPr>
          <w:p>
            <w:pPr>
              <w:jc w:val="center"/>
            </w:pPr>
            <w:r>
              <w:rPr>
                <w:rFonts w:ascii="游ゴシック" w:cs="游ゴシック" w:eastAsia="游ゴシック" w:hAnsi="游ゴシック"/>
                <w:b/>
                <w:bCs/>
                <w:sz w:val="19"/>
                <w:szCs w:val="19"/>
              </w:rPr>
              <w:t xml:space="preserve">90,000円／月
（年額 1,080,000円）</w:t>
            </w:r>
          </w:p>
        </w:tc>
      </w:tr>
      <w:tr>
        <w:tc>
          <w:tcPr>
            <w:tcW w:type="dxa" w:w="2400"/>
            <w:shd w:fill="FCE9D5"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同（Premiumプラン）</w:t>
            </w:r>
          </w:p>
        </w:tc>
        <w:tc>
          <w:tcPr>
            <w:tcW w:type="dxa" w:w="2400"/>
            <w:tcMar>
              <w:top w:type="dxa" w:w="80"/>
              <w:left w:type="dxa" w:w="100"/>
              <w:bottom w:type="dxa" w:w="80"/>
              <w:right w:type="dxa" w:w="100"/>
            </w:tcMar>
            <w:vAlign w:val="center"/>
          </w:tcPr>
          <w:p>
            <w:pPr>
              <w:jc w:val="center"/>
            </w:pPr>
            <w:r>
              <w:rPr>
                <w:rFonts w:ascii="游ゴシック" w:cs="游ゴシック" w:eastAsia="游ゴシック" w:hAnsi="游ゴシック"/>
                <w:b w:val="false"/>
                <w:bCs w:val="false"/>
                <w:sz w:val="19"/>
                <w:szCs w:val="19"/>
              </w:rPr>
              <w:t xml:space="preserve">400円／ユーザー・月</w:t>
            </w:r>
          </w:p>
        </w:tc>
        <w:tc>
          <w:tcPr>
            <w:tcW w:type="dxa" w:w="2400"/>
            <w:tcMar>
              <w:top w:type="dxa" w:w="80"/>
              <w:left w:type="dxa" w:w="100"/>
              <w:bottom w:type="dxa" w:w="80"/>
              <w:right w:type="dxa" w:w="100"/>
            </w:tcMar>
            <w:vAlign w:val="center"/>
          </w:tcPr>
          <w:p>
            <w:pPr>
              <w:jc w:val="center"/>
            </w:pPr>
            <w:r>
              <w:rPr>
                <w:rFonts w:ascii="游ゴシック" w:cs="游ゴシック" w:eastAsia="游ゴシック" w:hAnsi="游ゴシック"/>
                <w:b w:val="false"/>
                <w:bCs w:val="false"/>
                <w:sz w:val="19"/>
                <w:szCs w:val="19"/>
              </w:rPr>
              <w:t xml:space="preserve">300名</w:t>
            </w:r>
          </w:p>
        </w:tc>
        <w:tc>
          <w:tcPr>
            <w:tcW w:type="dxa" w:w="2126"/>
            <w:tcMar>
              <w:top w:type="dxa" w:w="80"/>
              <w:left w:type="dxa" w:w="100"/>
              <w:bottom w:type="dxa" w:w="80"/>
              <w:right w:type="dxa" w:w="100"/>
            </w:tcMar>
            <w:vAlign w:val="center"/>
          </w:tcPr>
          <w:p>
            <w:pPr>
              <w:jc w:val="center"/>
            </w:pPr>
            <w:r>
              <w:rPr>
                <w:rFonts w:ascii="游ゴシック" w:cs="游ゴシック" w:eastAsia="游ゴシック" w:hAnsi="游ゴシック"/>
                <w:b/>
                <w:bCs/>
                <w:sz w:val="19"/>
                <w:szCs w:val="19"/>
              </w:rPr>
              <w:t xml:space="preserve">120,000円／月
（年額 1,440,000円）</w:t>
            </w:r>
          </w:p>
        </w:tc>
      </w:tr>
      <w:tr>
        <w:tc>
          <w:tcPr>
            <w:tcW w:type="dxa" w:w="2400"/>
            <w:shd w:fill="F2F2F2" w:val="clear"/>
            <w:tcMar>
              <w:top w:type="dxa" w:w="80"/>
              <w:left w:type="dxa" w:w="100"/>
              <w:bottom w:type="dxa" w:w="80"/>
              <w:right w:type="dxa" w:w="100"/>
            </w:tcMar>
            <w:vAlign w:val="center"/>
          </w:tcPr>
          <w:p>
            <w:pPr>
              <w:jc w:val="left"/>
            </w:pPr>
            <w:r>
              <w:rPr>
                <w:rFonts w:ascii="游ゴシック" w:cs="游ゴシック" w:eastAsia="游ゴシック" w:hAnsi="游ゴシック"/>
                <w:b/>
                <w:bCs/>
                <w:sz w:val="19"/>
                <w:szCs w:val="19"/>
              </w:rPr>
              <w:t xml:space="preserve">初期費用・導入設定費</w:t>
            </w:r>
          </w:p>
        </w:tc>
        <w:tc>
          <w:tcPr>
            <w:tcW w:type="dxa" w:w="2400"/>
            <w:tcMar>
              <w:top w:type="dxa" w:w="80"/>
              <w:left w:type="dxa" w:w="100"/>
              <w:bottom w:type="dxa" w:w="80"/>
              <w:right w:type="dxa" w:w="100"/>
            </w:tcMar>
            <w:vAlign w:val="center"/>
          </w:tcPr>
          <w:p>
            <w:pPr>
              <w:jc w:val="center"/>
            </w:pPr>
            <w:r>
              <w:rPr>
                <w:rFonts w:ascii="游ゴシック" w:cs="游ゴシック" w:eastAsia="游ゴシック" w:hAnsi="游ゴシック"/>
                <w:b w:val="false"/>
                <w:bCs w:val="false"/>
                <w:sz w:val="19"/>
                <w:szCs w:val="19"/>
              </w:rPr>
              <w:t xml:space="preserve">個別見積り</w:t>
            </w:r>
          </w:p>
        </w:tc>
        <w:tc>
          <w:tcPr>
            <w:tcW w:type="dxa" w:w="2400"/>
            <w:tcMar>
              <w:top w:type="dxa" w:w="80"/>
              <w:left w:type="dxa" w:w="100"/>
              <w:bottom w:type="dxa" w:w="80"/>
              <w:right w:type="dxa" w:w="100"/>
            </w:tcMar>
            <w:vAlign w:val="center"/>
          </w:tcPr>
          <w:p>
            <w:pPr>
              <w:jc w:val="center"/>
            </w:pPr>
            <w:r>
              <w:rPr>
                <w:rFonts w:ascii="游ゴシック" w:cs="游ゴシック" w:eastAsia="游ゴシック" w:hAnsi="游ゴシック"/>
                <w:b w:val="false"/>
                <w:bCs w:val="false"/>
                <w:sz w:val="19"/>
                <w:szCs w:val="19"/>
              </w:rPr>
              <w:t xml:space="preserve">―</w:t>
            </w:r>
          </w:p>
        </w:tc>
        <w:tc>
          <w:tcPr>
            <w:tcW w:type="dxa" w:w="2126"/>
            <w:tcMar>
              <w:top w:type="dxa" w:w="80"/>
              <w:left w:type="dxa" w:w="100"/>
              <w:bottom w:type="dxa" w:w="80"/>
              <w:right w:type="dxa" w:w="100"/>
            </w:tcMar>
            <w:vAlign w:val="center"/>
          </w:tcPr>
          <w:p>
            <w:pPr>
              <w:jc w:val="center"/>
            </w:pPr>
            <w:r>
              <w:rPr>
                <w:rFonts w:ascii="游ゴシック" w:cs="游ゴシック" w:eastAsia="游ゴシック" w:hAnsi="游ゴシック"/>
                <w:b/>
                <w:bCs/>
                <w:sz w:val="19"/>
                <w:szCs w:val="19"/>
              </w:rPr>
              <w:t xml:space="preserve">別途見積り取得予定</w:t>
            </w:r>
          </w:p>
        </w:tc>
      </w:tr>
    </w:tbl>
    <w:p>
      <w:pPr>
        <w:pStyle w:val="Heading1"/>
        <w:spacing w:after="160" w:before="320"/>
      </w:pPr>
      <w:r>
        <w:rPr>
          <w:rFonts w:ascii="游ゴシック" w:cs="游ゴシック" w:eastAsia="游ゴシック" w:hAnsi="游ゴシック"/>
          <w:b/>
          <w:bCs/>
          <w:color w:val="1F4E79"/>
          <w:sz w:val="28"/>
          <w:szCs w:val="28"/>
        </w:rPr>
        <w:t xml:space="preserve">5. スケジュール</w:t>
      </w:r>
    </w:p>
    <w:tbl>
      <w:tblPr>
        <w:tblW w:type="dxa" w:w="9326"/>
        <w:tblBorders>
          <w:top w:val="single" w:color="auto" w:sz="4"/>
          <w:left w:val="single" w:color="auto" w:sz="4"/>
          <w:bottom w:val="single" w:color="auto" w:sz="4"/>
          <w:right w:val="single" w:color="auto" w:sz="4"/>
          <w:insideH w:val="single" w:color="auto" w:sz="4"/>
          <w:insideV w:val="single" w:color="auto" w:sz="4"/>
        </w:tblBorders>
      </w:tblPr>
      <w:tblGrid>
        <w:gridCol w:w="2000"/>
        <w:gridCol w:w="7326"/>
      </w:tblGrid>
      <w:tr>
        <w:trPr>
          <w:tblHeader/>
        </w:trPr>
        <w:tc>
          <w:tcPr>
            <w:tcW w:type="dxa" w:w="2000"/>
            <w:shd w:fill="1F4E79" w:val="clear"/>
            <w:tcMar>
              <w:top w:type="dxa" w:w="80"/>
              <w:left w:type="dxa" w:w="100"/>
              <w:bottom w:type="dxa" w:w="80"/>
              <w:right w:type="dxa" w:w="100"/>
            </w:tcMar>
            <w:vAlign w:val="center"/>
          </w:tcPr>
          <w:p>
            <w:pPr>
              <w:jc w:val="center"/>
            </w:pPr>
            <w:r>
              <w:rPr>
                <w:rFonts w:ascii="游ゴシック" w:cs="游ゴシック" w:eastAsia="游ゴシック" w:hAnsi="游ゴシック"/>
                <w:b/>
                <w:bCs/>
                <w:color w:val="FFFFFF"/>
                <w:sz w:val="19"/>
                <w:szCs w:val="19"/>
              </w:rPr>
              <w:t xml:space="preserve">時期</w:t>
            </w:r>
          </w:p>
        </w:tc>
        <w:tc>
          <w:tcPr>
            <w:tcW w:type="dxa" w:w="7326"/>
            <w:shd w:fill="1F4E79" w:val="clear"/>
            <w:tcMar>
              <w:top w:type="dxa" w:w="80"/>
              <w:left w:type="dxa" w:w="100"/>
              <w:bottom w:type="dxa" w:w="80"/>
              <w:right w:type="dxa" w:w="100"/>
            </w:tcMar>
            <w:vAlign w:val="center"/>
          </w:tcPr>
          <w:p>
            <w:pPr>
              <w:jc w:val="left"/>
            </w:pPr>
            <w:r>
              <w:rPr>
                <w:rFonts w:ascii="游ゴシック" w:cs="游ゴシック" w:eastAsia="游ゴシック" w:hAnsi="游ゴシック"/>
                <w:b/>
                <w:bCs/>
                <w:color w:val="FFFFFF"/>
                <w:sz w:val="19"/>
                <w:szCs w:val="19"/>
              </w:rPr>
              <w:t xml:space="preserve">実施事項</w:t>
            </w:r>
          </w:p>
        </w:tc>
      </w:tr>
      <w:tr>
        <w:tc>
          <w:tcPr>
            <w:tcW w:type="dxa" w:w="2000"/>
            <w:shd w:fill="F2F2F2" w:val="clear"/>
            <w:tcMar>
              <w:top w:type="dxa" w:w="80"/>
              <w:left w:type="dxa" w:w="100"/>
              <w:bottom w:type="dxa" w:w="80"/>
              <w:right w:type="dxa" w:w="100"/>
            </w:tcMar>
            <w:vAlign w:val="center"/>
          </w:tcPr>
          <w:p>
            <w:pPr>
              <w:jc w:val="center"/>
            </w:pPr>
            <w:r>
              <w:rPr>
                <w:rFonts w:ascii="游ゴシック" w:cs="游ゴシック" w:eastAsia="游ゴシック" w:hAnsi="游ゴシック"/>
                <w:b/>
                <w:bCs/>
                <w:sz w:val="19"/>
                <w:szCs w:val="19"/>
              </w:rPr>
              <w:t xml:space="preserve">2026年8月</w:t>
            </w:r>
          </w:p>
        </w:tc>
        <w:tc>
          <w:tcPr>
            <w:tcW w:type="dxa" w:w="7326"/>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要件整理、各社見積り取得、必要に応じてトライアル（PoC）申込み</w:t>
            </w:r>
          </w:p>
        </w:tc>
      </w:tr>
      <w:tr>
        <w:tc>
          <w:tcPr>
            <w:tcW w:type="dxa" w:w="2000"/>
            <w:shd w:fill="F2F2F2" w:val="clear"/>
            <w:tcMar>
              <w:top w:type="dxa" w:w="80"/>
              <w:left w:type="dxa" w:w="100"/>
              <w:bottom w:type="dxa" w:w="80"/>
              <w:right w:type="dxa" w:w="100"/>
            </w:tcMar>
            <w:vAlign w:val="center"/>
          </w:tcPr>
          <w:p>
            <w:pPr>
              <w:jc w:val="center"/>
            </w:pPr>
            <w:r>
              <w:rPr>
                <w:rFonts w:ascii="游ゴシック" w:cs="游ゴシック" w:eastAsia="游ゴシック" w:hAnsi="游ゴシック"/>
                <w:b/>
                <w:bCs/>
                <w:sz w:val="19"/>
                <w:szCs w:val="19"/>
              </w:rPr>
              <w:t xml:space="preserve">2026年9月</w:t>
            </w:r>
          </w:p>
        </w:tc>
        <w:tc>
          <w:tcPr>
            <w:tcW w:type="dxa" w:w="7326"/>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トライアル環境での検証（誤送信防止・脱PPAP機能の動作確認）、現場ヒアリング</w:t>
            </w:r>
          </w:p>
        </w:tc>
      </w:tr>
      <w:tr>
        <w:tc>
          <w:tcPr>
            <w:tcW w:type="dxa" w:w="2000"/>
            <w:shd w:fill="F2F2F2" w:val="clear"/>
            <w:tcMar>
              <w:top w:type="dxa" w:w="80"/>
              <w:left w:type="dxa" w:w="100"/>
              <w:bottom w:type="dxa" w:w="80"/>
              <w:right w:type="dxa" w:w="100"/>
            </w:tcMar>
            <w:vAlign w:val="center"/>
          </w:tcPr>
          <w:p>
            <w:pPr>
              <w:jc w:val="center"/>
            </w:pPr>
            <w:r>
              <w:rPr>
                <w:rFonts w:ascii="游ゴシック" w:cs="游ゴシック" w:eastAsia="游ゴシック" w:hAnsi="游ゴシック"/>
                <w:b/>
                <w:bCs/>
                <w:sz w:val="19"/>
                <w:szCs w:val="19"/>
              </w:rPr>
              <w:t xml:space="preserve">2026年10月</w:t>
            </w:r>
          </w:p>
        </w:tc>
        <w:tc>
          <w:tcPr>
            <w:tcW w:type="dxa" w:w="7326"/>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本稟議による導入決裁、契約条件確定</w:t>
            </w:r>
          </w:p>
        </w:tc>
      </w:tr>
      <w:tr>
        <w:tc>
          <w:tcPr>
            <w:tcW w:type="dxa" w:w="2000"/>
            <w:shd w:fill="F2F2F2" w:val="clear"/>
            <w:tcMar>
              <w:top w:type="dxa" w:w="80"/>
              <w:left w:type="dxa" w:w="100"/>
              <w:bottom w:type="dxa" w:w="80"/>
              <w:right w:type="dxa" w:w="100"/>
            </w:tcMar>
            <w:vAlign w:val="center"/>
          </w:tcPr>
          <w:p>
            <w:pPr>
              <w:jc w:val="center"/>
            </w:pPr>
            <w:r>
              <w:rPr>
                <w:rFonts w:ascii="游ゴシック" w:cs="游ゴシック" w:eastAsia="游ゴシック" w:hAnsi="游ゴシック"/>
                <w:b/>
                <w:bCs/>
                <w:sz w:val="19"/>
                <w:szCs w:val="19"/>
              </w:rPr>
              <w:t xml:space="preserve">2026年11月</w:t>
            </w:r>
          </w:p>
        </w:tc>
        <w:tc>
          <w:tcPr>
            <w:tcW w:type="dxa" w:w="7326"/>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契約締結、初期設定・ポリシー設計、管理者向け操作研修</w:t>
            </w:r>
          </w:p>
        </w:tc>
      </w:tr>
      <w:tr>
        <w:tc>
          <w:tcPr>
            <w:tcW w:type="dxa" w:w="2000"/>
            <w:shd w:fill="F2F2F2" w:val="clear"/>
            <w:tcMar>
              <w:top w:type="dxa" w:w="80"/>
              <w:left w:type="dxa" w:w="100"/>
              <w:bottom w:type="dxa" w:w="80"/>
              <w:right w:type="dxa" w:w="100"/>
            </w:tcMar>
            <w:vAlign w:val="center"/>
          </w:tcPr>
          <w:p>
            <w:pPr>
              <w:jc w:val="center"/>
            </w:pPr>
            <w:r>
              <w:rPr>
                <w:rFonts w:ascii="游ゴシック" w:cs="游ゴシック" w:eastAsia="游ゴシック" w:hAnsi="游ゴシック"/>
                <w:b/>
                <w:bCs/>
                <w:sz w:val="19"/>
                <w:szCs w:val="19"/>
              </w:rPr>
              <w:t xml:space="preserve">2026年12月</w:t>
            </w:r>
          </w:p>
        </w:tc>
        <w:tc>
          <w:tcPr>
            <w:tcW w:type="dxa" w:w="7326"/>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先行部門での先行展開、問い合わせ対応体制の整備</w:t>
            </w:r>
          </w:p>
        </w:tc>
      </w:tr>
      <w:tr>
        <w:tc>
          <w:tcPr>
            <w:tcW w:type="dxa" w:w="2000"/>
            <w:shd w:fill="F2F2F2" w:val="clear"/>
            <w:tcMar>
              <w:top w:type="dxa" w:w="80"/>
              <w:left w:type="dxa" w:w="100"/>
              <w:bottom w:type="dxa" w:w="80"/>
              <w:right w:type="dxa" w:w="100"/>
            </w:tcMar>
            <w:vAlign w:val="center"/>
          </w:tcPr>
          <w:p>
            <w:pPr>
              <w:jc w:val="center"/>
            </w:pPr>
            <w:r>
              <w:rPr>
                <w:rFonts w:ascii="游ゴシック" w:cs="游ゴシック" w:eastAsia="游ゴシック" w:hAnsi="游ゴシック"/>
                <w:b/>
                <w:bCs/>
                <w:sz w:val="19"/>
                <w:szCs w:val="19"/>
              </w:rPr>
              <w:t xml:space="preserve">2027年1月～</w:t>
            </w:r>
          </w:p>
        </w:tc>
        <w:tc>
          <w:tcPr>
            <w:tcW w:type="dxa" w:w="7326"/>
            <w:tcMar>
              <w:top w:type="dxa" w:w="80"/>
              <w:left w:type="dxa" w:w="100"/>
              <w:bottom w:type="dxa" w:w="80"/>
              <w:right w:type="dxa" w:w="100"/>
            </w:tcMar>
            <w:vAlign w:val="center"/>
          </w:tcPr>
          <w:p>
            <w:pPr>
              <w:jc w:val="left"/>
            </w:pPr>
            <w:r>
              <w:rPr>
                <w:rFonts w:ascii="游ゴシック" w:cs="游ゴシック" w:eastAsia="游ゴシック" w:hAnsi="游ゴシック"/>
                <w:b w:val="false"/>
                <w:bCs w:val="false"/>
                <w:sz w:val="19"/>
                <w:szCs w:val="19"/>
              </w:rPr>
              <w:t xml:space="preserve">全社展開、OutlookOkan（おかん）からの完全移行、運用開始</w:t>
            </w:r>
          </w:p>
        </w:tc>
      </w:tr>
    </w:tbl>
    <w:sectPr>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ゴシック" w:cs="游ゴシック" w:eastAsia="游ゴシック" w:hAnsi="游ゴシック"/>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2026-07-24T10:20:06.971Z</dcterms:created>
  <dcterms:modified xsi:type="dcterms:W3CDTF">2026-07-24T10:20:06.974Z</dcterms:modified>
</cp:coreProperties>
</file>

<file path=docProps/custom.xml><?xml version="1.0" encoding="utf-8"?>
<Properties xmlns="http://schemas.openxmlformats.org/officeDocument/2006/custom-properties" xmlns:vt="http://schemas.openxmlformats.org/officeDocument/2006/docPropsVTypes"/>
</file>