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A03" w:rsidRDefault="003C6A03" w:rsidP="003C6A03">
      <w:pPr>
        <w:rPr>
          <w:rFonts w:ascii="Arial" w:hAnsi="Arial" w:cs="Arial"/>
          <w:sz w:val="20"/>
          <w:szCs w:val="20"/>
        </w:rPr>
      </w:pPr>
      <w:r>
        <w:rPr>
          <w:rFonts w:ascii="Arial" w:hAnsi="Arial" w:cs="Arial"/>
          <w:sz w:val="20"/>
          <w:szCs w:val="20"/>
        </w:rPr>
        <w:t>Supporting Information</w:t>
      </w:r>
    </w:p>
    <w:p w:rsidR="003C6A03" w:rsidRPr="001E6BE0" w:rsidRDefault="003C6A03" w:rsidP="003C6A03">
      <w:pPr>
        <w:pStyle w:val="Heading1"/>
        <w:spacing w:line="480" w:lineRule="auto"/>
        <w:rPr>
          <w:rFonts w:ascii="Times New Roman" w:hAnsi="Times New Roman" w:cs="Times New Roman"/>
          <w:b w:val="0"/>
          <w:color w:val="auto"/>
          <w:sz w:val="22"/>
          <w:szCs w:val="22"/>
        </w:rPr>
      </w:pPr>
      <w:r w:rsidRPr="001E6BE0">
        <w:rPr>
          <w:rStyle w:val="Heading1Char"/>
          <w:rFonts w:ascii="Times New Roman" w:hAnsi="Times New Roman" w:cs="Times New Roman"/>
          <w:color w:val="auto"/>
          <w:sz w:val="22"/>
          <w:szCs w:val="22"/>
        </w:rPr>
        <w:t>Appendix: Model profiles</w:t>
      </w:r>
      <w:r w:rsidRPr="001E6BE0">
        <w:rPr>
          <w:rFonts w:ascii="Times New Roman" w:hAnsi="Times New Roman" w:cs="Times New Roman"/>
          <w:b w:val="0"/>
          <w:color w:val="auto"/>
          <w:sz w:val="22"/>
          <w:szCs w:val="22"/>
        </w:rPr>
        <w:t xml:space="preserve"> </w:t>
      </w:r>
      <w:r w:rsidRPr="001E6BE0">
        <w:rPr>
          <w:rFonts w:ascii="Times New Roman" w:hAnsi="Times New Roman" w:cs="Times New Roman"/>
          <w:color w:val="auto"/>
          <w:sz w:val="22"/>
          <w:szCs w:val="22"/>
        </w:rPr>
        <w:t>and endoscopic ablation modeling</w:t>
      </w:r>
    </w:p>
    <w:p w:rsidR="003C6A03" w:rsidRPr="001E6BE0" w:rsidRDefault="003C6A03" w:rsidP="003C6A03">
      <w:pPr>
        <w:autoSpaceDE w:val="0"/>
        <w:autoSpaceDN w:val="0"/>
        <w:adjustRightInd w:val="0"/>
        <w:spacing w:after="0" w:line="480" w:lineRule="auto"/>
        <w:rPr>
          <w:rFonts w:ascii="Times New Roman" w:hAnsi="Times New Roman" w:cs="Times New Roman"/>
        </w:rPr>
      </w:pPr>
    </w:p>
    <w:p w:rsidR="003C6A03" w:rsidRPr="001E6BE0" w:rsidRDefault="003C6A03" w:rsidP="003C6A03">
      <w:pPr>
        <w:autoSpaceDE w:val="0"/>
        <w:autoSpaceDN w:val="0"/>
        <w:adjustRightInd w:val="0"/>
        <w:spacing w:after="0" w:line="480" w:lineRule="auto"/>
        <w:rPr>
          <w:rFonts w:ascii="Times New Roman" w:hAnsi="Times New Roman" w:cs="Times New Roman"/>
        </w:rPr>
      </w:pPr>
      <w:r w:rsidRPr="001E6BE0">
        <w:rPr>
          <w:rFonts w:ascii="Times New Roman" w:hAnsi="Times New Roman" w:cs="Times New Roman"/>
        </w:rPr>
        <w:t xml:space="preserve">Esophageal adenocarcinoma (EAC) is an important cancer to model because EAC incidence has increased over five-fold in the U.S. since 1975, risk factors driving these increasing trends are not well understood, current surveillance methods identify only a small fraction of individuals that later become EAC incident cases, and survival of EAC incident cases is generally very poor. </w:t>
      </w:r>
    </w:p>
    <w:p w:rsidR="003C6A03" w:rsidRPr="001E6BE0" w:rsidRDefault="003C6A03" w:rsidP="003C6A03">
      <w:pPr>
        <w:spacing w:after="0" w:line="480" w:lineRule="auto"/>
        <w:rPr>
          <w:rFonts w:ascii="Times New Roman" w:hAnsi="Times New Roman" w:cs="Times New Roman"/>
        </w:rPr>
      </w:pPr>
    </w:p>
    <w:p w:rsidR="003C6A03" w:rsidRPr="001E6BE0" w:rsidRDefault="003C6A03" w:rsidP="003C6A03">
      <w:pPr>
        <w:autoSpaceDE w:val="0"/>
        <w:autoSpaceDN w:val="0"/>
        <w:adjustRightInd w:val="0"/>
        <w:spacing w:after="0" w:line="480" w:lineRule="auto"/>
        <w:rPr>
          <w:rFonts w:ascii="Times New Roman" w:eastAsia="Times New Roman" w:hAnsi="Times New Roman" w:cs="Times New Roman"/>
        </w:rPr>
      </w:pPr>
      <w:r w:rsidRPr="001E6BE0">
        <w:rPr>
          <w:rFonts w:ascii="Times New Roman" w:hAnsi="Times New Roman" w:cs="Times New Roman"/>
        </w:rPr>
        <w:t xml:space="preserve">In brief, each model computes the life histories of a population of hypothetical individuals from birth (UW-MISCAN and FHCRC) or age 20 (MGH) to death and has a natural history component that tracks the progression of esophageal disease or precursor states preceding adenocarcinoma. All three models include the following health states: healthy, GERD symptoms, BE without dysplasia, BE with dysplasia, preclinical cancer, clinically diagnosed cancer, and death. The UW-MISCAN and MGH models further categorize dysplasia in BE into low-grade dysplasia (LGD) and high-grade dysplasia (HGD). In the current study, </w:t>
      </w:r>
      <w:r w:rsidRPr="001E6BE0">
        <w:rPr>
          <w:rFonts w:ascii="Times New Roman" w:eastAsia="Times New Roman" w:hAnsi="Times New Roman" w:cs="Times New Roman"/>
        </w:rPr>
        <w:t>all EAC models followed a BE cohort. EAC would be diagnosed when no interventions are assumed if symptoms prompted endoscopic evaluation (</w:t>
      </w:r>
      <w:r w:rsidRPr="001E6BE0">
        <w:rPr>
          <w:rFonts w:ascii="Times New Roman" w:eastAsia="Times New Roman" w:hAnsi="Times New Roman" w:cs="Times New Roman"/>
          <w:i/>
        </w:rPr>
        <w:t>clinical EAC</w:t>
      </w:r>
      <w:r w:rsidRPr="001E6BE0">
        <w:rPr>
          <w:rFonts w:ascii="Times New Roman" w:eastAsia="Times New Roman" w:hAnsi="Times New Roman" w:cs="Times New Roman"/>
        </w:rPr>
        <w:t xml:space="preserve">). However, natural history can be interrupted by surveillance and/or endoscopic ablative therapy. These interventions allow for early detection on cancer, which potentially improves the survival of patients when diagnosed in an early malignant state.  </w:t>
      </w:r>
    </w:p>
    <w:p w:rsidR="003C6A03" w:rsidRPr="001E6BE0" w:rsidRDefault="003C6A03" w:rsidP="003C6A03">
      <w:pPr>
        <w:spacing w:line="480" w:lineRule="auto"/>
      </w:pP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 xml:space="preserve">For this study, the EAC CISNET models have been extended to predict the effectiveness and efficiency of surveillance and treatment for diagnosed BE patients, focusing on the impact of endoscopic ablative treatment on long term EAC mortality, with risk stratification by gender, age and dysplastic grade. Additionally the models evaluate the efficiency of the therapy in terms on surveillance endoscopies and treatments required. </w:t>
      </w:r>
    </w:p>
    <w:p w:rsidR="003C6A03" w:rsidRPr="001E6BE0" w:rsidRDefault="003C6A03" w:rsidP="003C6A03">
      <w:pPr>
        <w:spacing w:after="0" w:line="480" w:lineRule="auto"/>
        <w:outlineLvl w:val="2"/>
        <w:rPr>
          <w:rFonts w:ascii="Times New Roman" w:eastAsia="Times New Roman" w:hAnsi="Times New Roman" w:cs="Times New Roman"/>
          <w:bCs/>
        </w:rPr>
      </w:pPr>
    </w:p>
    <w:p w:rsidR="003C6A03" w:rsidRPr="001E6BE0" w:rsidRDefault="003C6A03" w:rsidP="003C6A03">
      <w:pPr>
        <w:spacing w:after="0" w:line="480" w:lineRule="auto"/>
        <w:outlineLvl w:val="2"/>
        <w:rPr>
          <w:rFonts w:ascii="Times New Roman" w:eastAsia="Times New Roman" w:hAnsi="Times New Roman" w:cs="Times New Roman"/>
          <w:bCs/>
        </w:rPr>
      </w:pPr>
      <w:r w:rsidRPr="001E6BE0">
        <w:rPr>
          <w:rFonts w:ascii="Times New Roman" w:eastAsia="Times New Roman" w:hAnsi="Times New Roman" w:cs="Times New Roman"/>
          <w:bCs/>
        </w:rPr>
        <w:lastRenderedPageBreak/>
        <w:t>The modeling approach for calculating the survival period after diagnosis of surveillance detected EAC and clinical EAC differs between the three models. The FHCRC model explicitly models the number of EAC surgeries (</w:t>
      </w:r>
      <w:proofErr w:type="spellStart"/>
      <w:r w:rsidRPr="001E6BE0">
        <w:rPr>
          <w:rFonts w:ascii="Times New Roman" w:eastAsia="Times New Roman" w:hAnsi="Times New Roman" w:cs="Times New Roman"/>
          <w:bCs/>
        </w:rPr>
        <w:t>esophagectomies</w:t>
      </w:r>
      <w:proofErr w:type="spellEnd"/>
      <w:r w:rsidRPr="001E6BE0">
        <w:rPr>
          <w:rFonts w:ascii="Times New Roman" w:eastAsia="Times New Roman" w:hAnsi="Times New Roman" w:cs="Times New Roman"/>
          <w:bCs/>
        </w:rPr>
        <w:t xml:space="preserve">), which has more favorable outcomes for surveillance-detected patients, and generate a survival probability for these patients. The survival for clinically diagnosed patients is determined using calibration of SEER incidence and mortality. The MGH and the ERASMUS/UW models use the SEER-9 survival data that differ by cancer stage at the time of diagnosis. For surveillance detected EAC patients, the models adjust the survival according to malignant stage. </w:t>
      </w:r>
    </w:p>
    <w:p w:rsidR="003C6A03" w:rsidRPr="001E6BE0" w:rsidRDefault="003C6A03" w:rsidP="003C6A03">
      <w:pPr>
        <w:spacing w:line="480" w:lineRule="auto"/>
      </w:pPr>
    </w:p>
    <w:p w:rsidR="003C6A03" w:rsidRPr="001E6BE0" w:rsidRDefault="003C6A03" w:rsidP="003C6A03">
      <w:pPr>
        <w:spacing w:after="0" w:line="480" w:lineRule="auto"/>
        <w:rPr>
          <w:rFonts w:ascii="Times New Roman" w:hAnsi="Times New Roman" w:cs="Times New Roman"/>
          <w:b/>
        </w:rPr>
      </w:pPr>
      <w:r w:rsidRPr="001E6BE0">
        <w:rPr>
          <w:rFonts w:ascii="Times New Roman" w:hAnsi="Times New Roman" w:cs="Times New Roman"/>
          <w:b/>
        </w:rPr>
        <w:t>MGH Model</w:t>
      </w:r>
    </w:p>
    <w:p w:rsidR="003C6A03" w:rsidRPr="001E6BE0" w:rsidRDefault="003C6A03" w:rsidP="003C6A03">
      <w:pPr>
        <w:spacing w:after="0" w:line="480" w:lineRule="auto"/>
        <w:rPr>
          <w:rFonts w:ascii="Times New Roman" w:hAnsi="Times New Roman" w:cs="Times New Roman"/>
        </w:rPr>
      </w:pPr>
      <w:proofErr w:type="spellStart"/>
      <w:r w:rsidRPr="001E6BE0">
        <w:rPr>
          <w:rFonts w:ascii="Times New Roman" w:hAnsi="Times New Roman" w:cs="Times New Roman"/>
        </w:rPr>
        <w:t>EACMo</w:t>
      </w:r>
      <w:proofErr w:type="spellEnd"/>
      <w:r w:rsidRPr="001E6BE0">
        <w:rPr>
          <w:rFonts w:ascii="Times New Roman" w:hAnsi="Times New Roman" w:cs="Times New Roman"/>
        </w:rPr>
        <w:t xml:space="preserve"> is a population-level Markov state transition model that depicts the natural history of EAC. A detailed description of this model can be found on the CISNET website. In order to allow for greater clinical realism particularly around endoscopic radiofrequency ablation (RFA), a microsimulation module was developed to augment the natural history model for this analysis. This appendix provides a description of this module and its implementation of the relevant screening, surveillance and treatment strategies. </w:t>
      </w: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A simulation was first run of the entire U.S. population within the population-level natural history model. When patients from the 1950 cohort reached the designated age (60 in the base case) for the beginning of screening the subpopulation with BE was identified and sequestered from simulation. The characteristics of this subpopulation were then used to initialize an individual-level microsimulation, which continued to simulate the progression of the disease in the presence of endoscopic surveillance and RFA treatment. Individual patients were simulated from the start of screening until death or age 100; the outcomes were then aggregated and combined with the output of the population-level simulation to produce the final results.</w:t>
      </w: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 xml:space="preserve">Prior to RFA treatment patients within the microsimulation could progress each cycle according to the transition probabilities of the natural history model. Endoscopy was performed at scheduled intervals based on detected health state; patients could receive RFA treatment based on the treatment strategy being analyzed, which was contingent on histologic status detected by endoscopic biopsy. The outcome (CE-IM, CE-D, or treatment failure) at the end of the initial treatment period was determined by a single random </w:t>
      </w:r>
      <w:r w:rsidRPr="001E6BE0">
        <w:rPr>
          <w:rFonts w:ascii="Times New Roman" w:hAnsi="Times New Roman" w:cs="Times New Roman"/>
        </w:rPr>
        <w:lastRenderedPageBreak/>
        <w:t>draw. Endoscopic surveillance schedules post-ablation depended on both the outcome of treatment and the pre-ablative health state of the patient.</w:t>
      </w: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In the event of treatment failure, patients remained in their pre-ablative health state, underwent endoscopic surveillance according to the same schedule prior to ablation, and received no further attempts at RFA treatment, essentially returning to their prior states. These patients could progress to more advanced disease states based on the transition probabilities from the natural history model.</w:t>
      </w: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 xml:space="preserve">Patients who received successful or partially successful treatment did not progress according to the natural history transition probabilities. Instead, there was a constant probability each cycle that a patient would undergo a recurrence event. When a recurrence event occurred, a second random draw based on a distribution would be performed to determine the post-recurrence state. Once in a post-recurrence state the patient could again progress in the same way as in the natural history model.  If a patient was found by endoscopy and biopsy to have progressed beyond their diagnosed post-ablation state – that is, if endoscopic surveillance detected that a recurrence event had occurred – but had not yet progressed to cancer, the patient could receive touch-up RFA treatment, up to a maximum of 3 touchups after the end of the initial 2 year treatment period. Touch-up RFA was implemented in the same way as initial treatment in terms of the efficacy of ablation, the schedule of surveillance after treatment, and the modeling of recurrence. </w:t>
      </w:r>
    </w:p>
    <w:p w:rsidR="003C6A03" w:rsidRPr="001E6BE0" w:rsidRDefault="003C6A03" w:rsidP="003C6A03">
      <w:pPr>
        <w:spacing w:line="480" w:lineRule="auto"/>
      </w:pPr>
    </w:p>
    <w:p w:rsidR="003C6A03" w:rsidRPr="001E6BE0" w:rsidRDefault="003C6A03" w:rsidP="003C6A03">
      <w:pPr>
        <w:spacing w:after="0" w:line="480" w:lineRule="auto"/>
        <w:outlineLvl w:val="2"/>
        <w:rPr>
          <w:rFonts w:ascii="Times New Roman" w:eastAsia="Times New Roman" w:hAnsi="Times New Roman" w:cs="Times New Roman"/>
          <w:b/>
          <w:bCs/>
        </w:rPr>
      </w:pPr>
      <w:r w:rsidRPr="001E6BE0">
        <w:rPr>
          <w:rFonts w:ascii="Times New Roman" w:eastAsia="Times New Roman" w:hAnsi="Times New Roman" w:cs="Times New Roman"/>
          <w:b/>
          <w:bCs/>
        </w:rPr>
        <w:t>ERASMUS/UW-EAC Model</w:t>
      </w:r>
    </w:p>
    <w:p w:rsidR="003C6A03" w:rsidRPr="001E6BE0" w:rsidRDefault="003C6A03" w:rsidP="003C6A03">
      <w:pPr>
        <w:spacing w:after="0" w:line="480" w:lineRule="auto"/>
        <w:outlineLvl w:val="2"/>
        <w:rPr>
          <w:rFonts w:ascii="Times New Roman" w:eastAsia="Times New Roman" w:hAnsi="Times New Roman" w:cs="Times New Roman"/>
          <w:bCs/>
        </w:rPr>
      </w:pPr>
      <w:r w:rsidRPr="001E6BE0">
        <w:rPr>
          <w:rFonts w:ascii="Times New Roman" w:eastAsia="Times New Roman" w:hAnsi="Times New Roman" w:cs="Times New Roman"/>
          <w:bCs/>
        </w:rPr>
        <w:t xml:space="preserve">The basic assumptions and model profile of the ERASMUS/UW-EAC model can be found on the CISNET website. Additional modules for modeling the characteristics of endoscopic ablation were inserted to the model.  For endoscopic ablation, the outcome of the initial two-year endoscopic treatment for each individual patient is randomly drawn at the start of the treatment. In case of treatment failure, the patient remains in endoscopic surveillance at an interval in accordance to their pre-ablative dysplastic grade. In case of treatment success, the patient will be in complete eradication of dysplasia with persistent metaplasia (CE-D) or complete eradication of dysplasia and intestinal metaplasia (CE-IM) after two years. In the first case, we assume that the patient is in the BE non-dysplastic (ND) phase having the same assumptions as our natural </w:t>
      </w:r>
      <w:r w:rsidRPr="001E6BE0">
        <w:rPr>
          <w:rFonts w:ascii="Times New Roman" w:eastAsia="Times New Roman" w:hAnsi="Times New Roman" w:cs="Times New Roman"/>
          <w:bCs/>
        </w:rPr>
        <w:lastRenderedPageBreak/>
        <w:t>history model. In the latter case, the patient stays in the CE-IM state for sojourn time randomly selected from an exponential distribution. If the patient transits to the next state (recurrence/progression), they will immediately transit to the state of histological recurrence</w:t>
      </w:r>
      <w:r w:rsidRPr="001E6BE0">
        <w:t xml:space="preserve">. </w:t>
      </w:r>
      <w:r w:rsidRPr="001E6BE0">
        <w:rPr>
          <w:rFonts w:ascii="Times New Roman" w:eastAsia="Times New Roman" w:hAnsi="Times New Roman" w:cs="Times New Roman"/>
          <w:bCs/>
        </w:rPr>
        <w:t>Furthermore, the patient will have a higher probability of recurrence in a higher state if the patient would have developed EAC in the natural history model. After generating this new life-history for this individual, the model simulated the surveillance according to the inputs after RFA. Surveillance can detect recurrent stages of BE and dysplasia and EAC. In the case of recurrent stages of BE, a new endoscopic ablation sequence is inserted, and the process as described is started again; generating new life histories for the patient. In this new life history the durations and probability of developing EAC are set. After determining this new life history, surveillance is inserted in the model according to post-RFA surveillance intervals described in the common input parameters. A maximum number of three touch ups is allowed.</w:t>
      </w:r>
    </w:p>
    <w:p w:rsidR="003C6A03" w:rsidRPr="001E6BE0" w:rsidRDefault="003C6A03" w:rsidP="003C6A03">
      <w:pPr>
        <w:spacing w:after="0" w:line="480" w:lineRule="auto"/>
        <w:rPr>
          <w:rFonts w:ascii="Times New Roman" w:hAnsi="Times New Roman" w:cs="Times New Roman"/>
        </w:rPr>
      </w:pPr>
    </w:p>
    <w:p w:rsidR="003C6A03" w:rsidRPr="001E6BE0" w:rsidRDefault="003C6A03" w:rsidP="003C6A03">
      <w:pPr>
        <w:spacing w:after="0" w:line="480" w:lineRule="auto"/>
        <w:rPr>
          <w:rFonts w:ascii="Times New Roman" w:hAnsi="Times New Roman" w:cs="Times New Roman"/>
        </w:rPr>
      </w:pPr>
    </w:p>
    <w:p w:rsidR="003C6A03" w:rsidRPr="001E6BE0" w:rsidRDefault="003C6A03" w:rsidP="003C6A03">
      <w:pPr>
        <w:spacing w:after="0" w:line="480" w:lineRule="auto"/>
        <w:rPr>
          <w:rFonts w:ascii="Times New Roman" w:hAnsi="Times New Roman" w:cs="Times New Roman"/>
          <w:b/>
        </w:rPr>
      </w:pPr>
      <w:r w:rsidRPr="001E6BE0">
        <w:rPr>
          <w:rFonts w:ascii="Times New Roman" w:hAnsi="Times New Roman" w:cs="Times New Roman"/>
          <w:b/>
        </w:rPr>
        <w:t xml:space="preserve">FHCRC: MSCE-EAC Multiscale Screening Model </w:t>
      </w:r>
    </w:p>
    <w:p w:rsidR="003C6A03" w:rsidRPr="001E6BE0" w:rsidRDefault="003C6A03" w:rsidP="003C6A03">
      <w:pPr>
        <w:spacing w:after="0" w:line="480" w:lineRule="auto"/>
        <w:rPr>
          <w:rFonts w:ascii="Times New Roman" w:hAnsi="Times New Roman" w:cs="Times New Roman"/>
        </w:rPr>
      </w:pPr>
      <w:r w:rsidRPr="001E6BE0">
        <w:rPr>
          <w:rFonts w:ascii="Times New Roman" w:hAnsi="Times New Roman" w:cs="Times New Roman"/>
        </w:rPr>
        <w:t xml:space="preserve">The multistage clonal expansion (MSCE) model for EAC includes an initial stochastic transition rate to convert a section of the normal squamous epithelium in the esophagus to generate a BE segment, with separate transition rates for individuals with or without gastroesophageal reflux disease (GERD). Cells within the BE segment are assumed to be at risk for progression through a multistage clonal expansion process to develop EAC. The MSCE-EAC model includes two rate-limiting mutations to transform BE cells to premalignant cells that undergo a slow clonal expansion process, followed by a third rate-limiting mutation to generate malignant cells that also undergo clonal expansion, but at a faster rate. In contrast to earlier multistage clonal expansion (MSCE) formulations of the EAC incidence model </w:t>
      </w:r>
      <w:r w:rsidRPr="001E6BE0">
        <w:rPr>
          <w:rFonts w:ascii="Times New Roman" w:hAnsi="Times New Roman" w:cs="Times New Roman"/>
        </w:rPr>
        <w:fldChar w:fldCharType="begin">
          <w:fldData xml:space="preserve">PEVuZE5vdGU+PENpdGU+PEF1dGhvcj5KZW9uPC9BdXRob3I+PFllYXI+MjAwNjwvWWVhcj48UmVj
TnVtPjM3PC9SZWNOdW0+PERpc3BsYXlUZXh0Pig0NiwgNDcpPC9EaXNwbGF5VGV4dD48cmVjb3Jk
PjxyZWMtbnVtYmVyPjM3PC9yZWMtbnVtYmVyPjxmb3JlaWduLWtleXM+PGtleSBhcHA9IkVOIiBk
Yi1pZD0ieHgwYXZyYTBuNXpkZWJldHZ0eDVhdzU3YTByYWFhMjJ4NXIwIj4zNzwva2V5PjwvZm9y
ZWlnbi1rZXlzPjxyZWYtdHlwZSBuYW1lPSJKb3VybmFsIEFydGljbGUiPjE3PC9yZWYtdHlwZT48
Y29udHJpYnV0b3JzPjxhdXRob3JzPjxhdXRob3I+SmVvbiwgSi48L2F1dGhvcj48YXV0aG9yPkx1
ZWJlY2ssIEUuIEcuPC9hdXRob3I+PGF1dGhvcj5Nb29sZ2F2a2FyLCBTLiBILjwvYXV0aG9yPjwv
YXV0aG9ycz48L2NvbnRyaWJ1dG9ycz48YXV0aC1hZGRyZXNzPkRlcGFydG1lbnQgb2YgQXBwbGll
ZCBNYXRoZW1hdGljcywgVW5pdmVyc2l0eSBvZiBXYXNoaW5ndG9uLCBTZWF0dGxlLCBXQSA5ODE5
NSwgVVNBLjwvYXV0aC1hZGRyZXNzPjx0aXRsZXM+PHRpdGxlPkFnZSBlZmZlY3RzIGFuZCB0ZW1w
b3JhbCB0cmVuZHMgaW4gYWRlbm9jYXJjaW5vbWEgb2YgdGhlIGVzb3BoYWd1cyBhbmQgZ2FzdHJp
YyBjYXJkaWEgKFVuaXRlZCBTdGF0ZXMpPC90aXRsZT48c2Vjb25kYXJ5LXRpdGxlPkNhbmNlciBD
YXVzZXMgQ29udHJvbDwvc2Vjb25kYXJ5LXRpdGxlPjwvdGl0bGVzPjxwZXJpb2RpY2FsPjxmdWxs
LXRpdGxlPkNhbmNlciBDYXVzZXMgQ29udHJvbDwvZnVsbC10aXRsZT48L3BlcmlvZGljYWw+PHBh
Z2VzPjk3MS04MTwvcGFnZXM+PHZvbHVtZT4xNzwvdm9sdW1lPjxudW1iZXI+NzwvbnVtYmVyPjxl
ZGl0aW9uPjIwMDYvMDcvMTU8L2VkaXRpb24+PGtleXdvcmRzPjxrZXl3b3JkPkFkZW5vY2FyY2lu
b21hLyplcGlkZW1pb2xvZ3k8L2tleXdvcmQ+PGtleXdvcmQ+QWRvbGVzY2VudDwva2V5d29yZD48
a2V5d29yZD5BZHVsdDwva2V5d29yZD48a2V5d29yZD5BZ2VkPC9rZXl3b3JkPjxrZXl3b3JkPkFn
ZWQsIDgwIGFuZCBvdmVyPC9rZXl3b3JkPjxrZXl3b3JkPkNhcmNpbm9tYSwgU3F1YW1vdXMgQ2Vs
bC9lcGlkZW1pb2xvZ3k8L2tleXdvcmQ+PGtleXdvcmQ+KkNhcmRpYTwva2V5d29yZD48a2V5d29y
ZD5DaGlsZDwva2V5d29yZD48a2V5d29yZD5DaGlsZCwgUHJlc2Nob29sPC9rZXl3b3JkPjxrZXl3
b3JkPkVzb3BoYWdlYWwgTmVvcGxhc21zLyplcGlkZW1pb2xvZ3k8L2tleXdvcmQ+PGtleXdvcmQ+
RmVtYWxlPC9rZXl3b3JkPjxrZXl3b3JkPkh1bWFuczwva2V5d29yZD48a2V5d29yZD5JbmNpZGVu
Y2U8L2tleXdvcmQ+PGtleXdvcmQ+SW5mYW50PC9rZXl3b3JkPjxrZXl3b3JkPkluZmFudCwgTmV3
Ym9ybjwva2V5d29yZD48a2V5d29yZD5NYWxlPC9rZXl3b3JkPjxrZXl3b3JkPk1pZGRsZSBBZ2Vk
PC9rZXl3b3JkPjxrZXl3b3JkPk5lb3BsYXNtIFN0YWdpbmc8L2tleXdvcmQ+PGtleXdvcmQ+U0VF
UiBQcm9ncmFtPC9rZXl3b3JkPjxrZXl3b3JkPlN0b21hY2ggTmVvcGxhc21zLyplcGlkZW1pb2xv
Z3k8L2tleXdvcmQ+PGtleXdvcmQ+VGltZSBGYWN0b3JzPC9rZXl3b3JkPjxrZXl3b3JkPlVuaXRl
ZCBTdGF0ZXMvZXBpZGVtaW9sb2d5PC9rZXl3b3JkPjwva2V5d29yZHM+PGRhdGVzPjx5ZWFyPjIw
MDY8L3llYXI+PHB1Yi1kYXRlcz48ZGF0ZT5TZXA8L2RhdGU+PC9wdWItZGF0ZXM+PC9kYXRlcz48
aXNibj4wOTU3LTUyNDMgKFByaW50KSYjeEQ7MDk1Ny01MjQzIChMaW5raW5nKTwvaXNibj48YWNj
ZXNzaW9uLW51bT4xNjg0MTI2NDwvYWNjZXNzaW9uLW51bT48dXJscz48cmVsYXRlZC11cmxzPjx1
cmw+aHR0cDovL3d3dy5uY2JpLm5sbS5uaWguZ292L2VudHJlei9xdWVyeS5mY2dpP2NtZD1SZXRy
aWV2ZSZhbXA7ZGI9UHViTWVkJmFtcDtkb3B0PUNpdGF0aW9uJmFtcDtsaXN0X3VpZHM9MTY4NDEy
NjQ8L3VybD48L3JlbGF0ZWQtdXJscz48L3VybHM+PGVsZWN0cm9uaWMtcmVzb3VyY2UtbnVtPjEw
LjEwMDcvczEwNTUyLTAwNi0wMDM3LTM8L2VsZWN0cm9uaWMtcmVzb3VyY2UtbnVtPjxsYW5ndWFn
ZT5lbmc8L2xhbmd1YWdlPjwvcmVjb3JkPjwvQ2l0ZT48Q2l0ZT48QXV0aG9yPkx1ZWJlY2s8L0F1
dGhvcj48WWVhcj4yMDEzPC9ZZWFyPjxSZWNOdW0+Mzg8L1JlY051bT48cmVjb3JkPjxyZWMtbnVt
YmVyPjM4PC9yZWMtbnVtYmVyPjxmb3JlaWduLWtleXM+PGtleSBhcHA9IkVOIiBkYi1pZD0ieHgw
YXZyYTBuNXpkZWJldHZ0eDVhdzU3YTByYWFhMjJ4NXIwIj4zODwva2V5PjwvZm9yZWlnbi1rZXlz
PjxyZWYtdHlwZSBuYW1lPSJKb3VybmFsIEFydGljbGUiPjE3PC9yZWYtdHlwZT48Y29udHJpYnV0
b3JzPjxhdXRob3JzPjxhdXRob3I+THVlYmVjaywgRS4gRy48L2F1dGhvcj48YXV0aG9yPkN1cnRp
dXMsIEsuPC9hdXRob3I+PGF1dGhvcj5KZW9uLCBKLjwvYXV0aG9yPjxhdXRob3I+SGF6ZWx0b24s
IFcuIEQuPC9hdXRob3I+PC9hdXRob3JzPjwvY29udHJpYnV0b3JzPjxhdXRoLWFkZHJlc3M+QXV0
aG9ycyZhcG9zOyBBZmZpbGlhdGlvbnM6IFByb2dyYW1zIGluIENvbXB1dGF0aW9uYWwgQmlvbG9n
eSBhbmQgQmlvc3RhdGlzdGljcyBhbmQgQmlvbWF0aGVtYXRpY3MsIEZyZWQgSHV0Y2hpbnNvbiBD
YW5jZXIgUmVzZWFyY2ggQ2VudGVyOyBhbmQgRGVwYXJ0bWVudCBvZiBBcHBsaWVkIE1hdGhlbWF0
aWNzLCBVbml2ZXJzaXR5IG9mIFdhc2hpbmd0b24sIFNlYXR0bGUsIFdhc2hpbmd0b24uPC9hdXRo
LWFkZHJlc3M+PHRpdGxlcz48dGl0bGU+SW1wYWN0IG9mIHR1bW9yIHByb2dyZXNzaW9uIG9uIGNh
bmNlciBpbmNpZGVuY2UgY3VydmVzPC90aXRsZT48c2Vjb25kYXJ5LXRpdGxlPkNhbmNlciBSZXM8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Y2g8L2FiYnItMT48L2FsdC1wZXJpb2RpY2FsPjxwYWdlcz4xMDg2LTk2PC9wYWdlcz48dm9sdW1l
PjczPC92b2x1bWU+PG51bWJlcj4zPC9udW1iZXI+PGVkaXRpb24+MjAxMi8xMC8xMjwvZWRpdGlv
bj48ZGF0ZXM+PHllYXI+MjAxMzwveWVhcj48cHViLWRhdGVzPjxkYXRlPkZlYiAxPC9kYXRlPjwv
cHViLWRhdGVzPjwvZGF0ZXM+PGlzYm4+MTUzOC03NDQ1IChFbGVjdHJvbmljKSYjeEQ7MDAwOC01
NDcyIChMaW5raW5nKTwvaXNibj48YWNjZXNzaW9uLW51bT4yMzA1NDM5NzwvYWNjZXNzaW9uLW51
bT48dXJscz48cmVsYXRlZC11cmxzPjx1cmw+aHR0cDovL3d3dy5uY2JpLm5sbS5uaWguZ292L3B1
Ym1lZC8yMzA1NDM5NzwvdXJsPjwvcmVsYXRlZC11cmxzPjwvdXJscz48ZWxlY3Ryb25pYy1yZXNv
dXJjZS1udW0+MTAuMTE1OC8wMDA4LTU0NzIuQ0FOLTEyLTIxOTg8L2VsZWN0cm9uaWMtcmVzb3Vy
Y2UtbnVtPjxsYW5ndWFnZT5lbmc8L2xhbmd1YWdlPjwvcmVjb3JkPjwvQ2l0ZT48L0VuZE5vdGU+
AG==
</w:fldData>
        </w:fldChar>
      </w:r>
      <w:r w:rsidR="009F176D">
        <w:rPr>
          <w:rFonts w:ascii="Times New Roman" w:hAnsi="Times New Roman" w:cs="Times New Roman"/>
        </w:rPr>
        <w:instrText xml:space="preserve"> ADDIN EN.CITE </w:instrText>
      </w:r>
      <w:r w:rsidR="009F176D">
        <w:rPr>
          <w:rFonts w:ascii="Times New Roman" w:hAnsi="Times New Roman" w:cs="Times New Roman"/>
        </w:rPr>
        <w:fldChar w:fldCharType="begin">
          <w:fldData xml:space="preserve">PEVuZE5vdGU+PENpdGU+PEF1dGhvcj5KZW9uPC9BdXRob3I+PFllYXI+MjAwNjwvWWVhcj48UmVj
TnVtPjM3PC9SZWNOdW0+PERpc3BsYXlUZXh0Pig0NiwgNDcpPC9EaXNwbGF5VGV4dD48cmVjb3Jk
PjxyZWMtbnVtYmVyPjM3PC9yZWMtbnVtYmVyPjxmb3JlaWduLWtleXM+PGtleSBhcHA9IkVOIiBk
Yi1pZD0ieHgwYXZyYTBuNXpkZWJldHZ0eDVhdzU3YTByYWFhMjJ4NXIwIj4zNzwva2V5PjwvZm9y
ZWlnbi1rZXlzPjxyZWYtdHlwZSBuYW1lPSJKb3VybmFsIEFydGljbGUiPjE3PC9yZWYtdHlwZT48
Y29udHJpYnV0b3JzPjxhdXRob3JzPjxhdXRob3I+SmVvbiwgSi48L2F1dGhvcj48YXV0aG9yPkx1
ZWJlY2ssIEUuIEcuPC9hdXRob3I+PGF1dGhvcj5Nb29sZ2F2a2FyLCBTLiBILjwvYXV0aG9yPjwv
YXV0aG9ycz48L2NvbnRyaWJ1dG9ycz48YXV0aC1hZGRyZXNzPkRlcGFydG1lbnQgb2YgQXBwbGll
ZCBNYXRoZW1hdGljcywgVW5pdmVyc2l0eSBvZiBXYXNoaW5ndG9uLCBTZWF0dGxlLCBXQSA5ODE5
NSwgVVNBLjwvYXV0aC1hZGRyZXNzPjx0aXRsZXM+PHRpdGxlPkFnZSBlZmZlY3RzIGFuZCB0ZW1w
b3JhbCB0cmVuZHMgaW4gYWRlbm9jYXJjaW5vbWEgb2YgdGhlIGVzb3BoYWd1cyBhbmQgZ2FzdHJp
YyBjYXJkaWEgKFVuaXRlZCBTdGF0ZXMpPC90aXRsZT48c2Vjb25kYXJ5LXRpdGxlPkNhbmNlciBD
YXVzZXMgQ29udHJvbDwvc2Vjb25kYXJ5LXRpdGxlPjwvdGl0bGVzPjxwZXJpb2RpY2FsPjxmdWxs
LXRpdGxlPkNhbmNlciBDYXVzZXMgQ29udHJvbDwvZnVsbC10aXRsZT48L3BlcmlvZGljYWw+PHBh
Z2VzPjk3MS04MTwvcGFnZXM+PHZvbHVtZT4xNzwvdm9sdW1lPjxudW1iZXI+NzwvbnVtYmVyPjxl
ZGl0aW9uPjIwMDYvMDcvMTU8L2VkaXRpb24+PGtleXdvcmRzPjxrZXl3b3JkPkFkZW5vY2FyY2lu
b21hLyplcGlkZW1pb2xvZ3k8L2tleXdvcmQ+PGtleXdvcmQ+QWRvbGVzY2VudDwva2V5d29yZD48
a2V5d29yZD5BZHVsdDwva2V5d29yZD48a2V5d29yZD5BZ2VkPC9rZXl3b3JkPjxrZXl3b3JkPkFn
ZWQsIDgwIGFuZCBvdmVyPC9rZXl3b3JkPjxrZXl3b3JkPkNhcmNpbm9tYSwgU3F1YW1vdXMgQ2Vs
bC9lcGlkZW1pb2xvZ3k8L2tleXdvcmQ+PGtleXdvcmQ+KkNhcmRpYTwva2V5d29yZD48a2V5d29y
ZD5DaGlsZDwva2V5d29yZD48a2V5d29yZD5DaGlsZCwgUHJlc2Nob29sPC9rZXl3b3JkPjxrZXl3
b3JkPkVzb3BoYWdlYWwgTmVvcGxhc21zLyplcGlkZW1pb2xvZ3k8L2tleXdvcmQ+PGtleXdvcmQ+
RmVtYWxlPC9rZXl3b3JkPjxrZXl3b3JkPkh1bWFuczwva2V5d29yZD48a2V5d29yZD5JbmNpZGVu
Y2U8L2tleXdvcmQ+PGtleXdvcmQ+SW5mYW50PC9rZXl3b3JkPjxrZXl3b3JkPkluZmFudCwgTmV3
Ym9ybjwva2V5d29yZD48a2V5d29yZD5NYWxlPC9rZXl3b3JkPjxrZXl3b3JkPk1pZGRsZSBBZ2Vk
PC9rZXl3b3JkPjxrZXl3b3JkPk5lb3BsYXNtIFN0YWdpbmc8L2tleXdvcmQ+PGtleXdvcmQ+U0VF
UiBQcm9ncmFtPC9rZXl3b3JkPjxrZXl3b3JkPlN0b21hY2ggTmVvcGxhc21zLyplcGlkZW1pb2xv
Z3k8L2tleXdvcmQ+PGtleXdvcmQ+VGltZSBGYWN0b3JzPC9rZXl3b3JkPjxrZXl3b3JkPlVuaXRl
ZCBTdGF0ZXMvZXBpZGVtaW9sb2d5PC9rZXl3b3JkPjwva2V5d29yZHM+PGRhdGVzPjx5ZWFyPjIw
MDY8L3llYXI+PHB1Yi1kYXRlcz48ZGF0ZT5TZXA8L2RhdGU+PC9wdWItZGF0ZXM+PC9kYXRlcz48
aXNibj4wOTU3LTUyNDMgKFByaW50KSYjeEQ7MDk1Ny01MjQzIChMaW5raW5nKTwvaXNibj48YWNj
ZXNzaW9uLW51bT4xNjg0MTI2NDwvYWNjZXNzaW9uLW51bT48dXJscz48cmVsYXRlZC11cmxzPjx1
cmw+aHR0cDovL3d3dy5uY2JpLm5sbS5uaWguZ292L2VudHJlei9xdWVyeS5mY2dpP2NtZD1SZXRy
aWV2ZSZhbXA7ZGI9UHViTWVkJmFtcDtkb3B0PUNpdGF0aW9uJmFtcDtsaXN0X3VpZHM9MTY4NDEy
NjQ8L3VybD48L3JlbGF0ZWQtdXJscz48L3VybHM+PGVsZWN0cm9uaWMtcmVzb3VyY2UtbnVtPjEw
LjEwMDcvczEwNTUyLTAwNi0wMDM3LTM8L2VsZWN0cm9uaWMtcmVzb3VyY2UtbnVtPjxsYW5ndWFn
ZT5lbmc8L2xhbmd1YWdlPjwvcmVjb3JkPjwvQ2l0ZT48Q2l0ZT48QXV0aG9yPkx1ZWJlY2s8L0F1
dGhvcj48WWVhcj4yMDEzPC9ZZWFyPjxSZWNOdW0+Mzg8L1JlY051bT48cmVjb3JkPjxyZWMtbnVt
YmVyPjM4PC9yZWMtbnVtYmVyPjxmb3JlaWduLWtleXM+PGtleSBhcHA9IkVOIiBkYi1pZD0ieHgw
YXZyYTBuNXpkZWJldHZ0eDVhdzU3YTByYWFhMjJ4NXIwIj4zODwva2V5PjwvZm9yZWlnbi1rZXlz
PjxyZWYtdHlwZSBuYW1lPSJKb3VybmFsIEFydGljbGUiPjE3PC9yZWYtdHlwZT48Y29udHJpYnV0
b3JzPjxhdXRob3JzPjxhdXRob3I+THVlYmVjaywgRS4gRy48L2F1dGhvcj48YXV0aG9yPkN1cnRp
dXMsIEsuPC9hdXRob3I+PGF1dGhvcj5KZW9uLCBKLjwvYXV0aG9yPjxhdXRob3I+SGF6ZWx0b24s
IFcuIEQuPC9hdXRob3I+PC9hdXRob3JzPjwvY29udHJpYnV0b3JzPjxhdXRoLWFkZHJlc3M+QXV0
aG9ycyZhcG9zOyBBZmZpbGlhdGlvbnM6IFByb2dyYW1zIGluIENvbXB1dGF0aW9uYWwgQmlvbG9n
eSBhbmQgQmlvc3RhdGlzdGljcyBhbmQgQmlvbWF0aGVtYXRpY3MsIEZyZWQgSHV0Y2hpbnNvbiBD
YW5jZXIgUmVzZWFyY2ggQ2VudGVyOyBhbmQgRGVwYXJ0bWVudCBvZiBBcHBsaWVkIE1hdGhlbWF0
aWNzLCBVbml2ZXJzaXR5IG9mIFdhc2hpbmd0b24sIFNlYXR0bGUsIFdhc2hpbmd0b24uPC9hdXRo
LWFkZHJlc3M+PHRpdGxlcz48dGl0bGU+SW1wYWN0IG9mIHR1bW9yIHByb2dyZXNzaW9uIG9uIGNh
bmNlciBpbmNpZGVuY2UgY3VydmVzPC90aXRsZT48c2Vjb25kYXJ5LXRpdGxlPkNhbmNlciBSZXM8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Y2g8L2FiYnItMT48L2FsdC1wZXJpb2RpY2FsPjxwYWdlcz4xMDg2LTk2PC9wYWdlcz48dm9sdW1l
PjczPC92b2x1bWU+PG51bWJlcj4zPC9udW1iZXI+PGVkaXRpb24+MjAxMi8xMC8xMjwvZWRpdGlv
bj48ZGF0ZXM+PHllYXI+MjAxMzwveWVhcj48cHViLWRhdGVzPjxkYXRlPkZlYiAxPC9kYXRlPjwv
cHViLWRhdGVzPjwvZGF0ZXM+PGlzYm4+MTUzOC03NDQ1IChFbGVjdHJvbmljKSYjeEQ7MDAwOC01
NDcyIChMaW5raW5nKTwvaXNibj48YWNjZXNzaW9uLW51bT4yMzA1NDM5NzwvYWNjZXNzaW9uLW51
bT48dXJscz48cmVsYXRlZC11cmxzPjx1cmw+aHR0cDovL3d3dy5uY2JpLm5sbS5uaWguZ292L3B1
Ym1lZC8yMzA1NDM5NzwvdXJsPjwvcmVsYXRlZC11cmxzPjwvdXJscz48ZWxlY3Ryb25pYy1yZXNv
dXJjZS1udW0+MTAuMTE1OC8wMDA4LTU0NzIuQ0FOLTEyLTIxOTg8L2VsZWN0cm9uaWMtcmVzb3Vy
Y2UtbnVtPjxsYW5ndWFnZT5lbmc8L2xhbmd1YWdlPjwvcmVjb3JkPjwvQ2l0ZT48L0VuZE5vdGU+
AG==
</w:fldData>
        </w:fldChar>
      </w:r>
      <w:r w:rsidR="009F176D">
        <w:rPr>
          <w:rFonts w:ascii="Times New Roman" w:hAnsi="Times New Roman" w:cs="Times New Roman"/>
        </w:rPr>
        <w:instrText xml:space="preserve"> ADDIN EN.CITE.DATA </w:instrText>
      </w:r>
      <w:r w:rsidR="009F176D">
        <w:rPr>
          <w:rFonts w:ascii="Times New Roman" w:hAnsi="Times New Roman" w:cs="Times New Roman"/>
        </w:rPr>
      </w:r>
      <w:r w:rsidR="009F176D">
        <w:rPr>
          <w:rFonts w:ascii="Times New Roman" w:hAnsi="Times New Roman" w:cs="Times New Roman"/>
        </w:rPr>
        <w:fldChar w:fldCharType="end"/>
      </w:r>
      <w:r w:rsidRPr="001E6BE0">
        <w:rPr>
          <w:rFonts w:ascii="Times New Roman" w:hAnsi="Times New Roman" w:cs="Times New Roman"/>
        </w:rPr>
      </w:r>
      <w:r w:rsidRPr="001E6BE0">
        <w:rPr>
          <w:rFonts w:ascii="Times New Roman" w:hAnsi="Times New Roman" w:cs="Times New Roman"/>
        </w:rPr>
        <w:fldChar w:fldCharType="separate"/>
      </w:r>
      <w:r>
        <w:rPr>
          <w:rFonts w:ascii="Times New Roman" w:hAnsi="Times New Roman" w:cs="Times New Roman"/>
          <w:noProof/>
        </w:rPr>
        <w:t>(</w:t>
      </w:r>
      <w:hyperlink w:anchor="_ENREF_46" w:tooltip="Jeon, 2006 #37" w:history="1">
        <w:r>
          <w:rPr>
            <w:rFonts w:ascii="Times New Roman" w:hAnsi="Times New Roman" w:cs="Times New Roman"/>
            <w:noProof/>
          </w:rPr>
          <w:t>46</w:t>
        </w:r>
      </w:hyperlink>
      <w:r>
        <w:rPr>
          <w:rFonts w:ascii="Times New Roman" w:hAnsi="Times New Roman" w:cs="Times New Roman"/>
          <w:noProof/>
        </w:rPr>
        <w:t xml:space="preserve">, </w:t>
      </w:r>
      <w:hyperlink w:anchor="_ENREF_47" w:tooltip="Luebeck, 2013 #38" w:history="1">
        <w:r>
          <w:rPr>
            <w:rFonts w:ascii="Times New Roman" w:hAnsi="Times New Roman" w:cs="Times New Roman"/>
            <w:noProof/>
          </w:rPr>
          <w:t>47</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 xml:space="preserve"> the MSCE-EAC multiscale screening model includes the explicit computation of the number and sizes of premalignant (HGD) clones and their spatial appearance within an idealized crypt-structured BE segment as a function of how long a patient had BE.</w:t>
      </w:r>
      <w:r w:rsidRPr="001E6BE0">
        <w:rPr>
          <w:rFonts w:ascii="Times New Roman" w:hAnsi="Times New Roman" w:cs="Times New Roman"/>
        </w:rPr>
        <w:fldChar w:fldCharType="begin"/>
      </w:r>
      <w:r w:rsidR="009F176D">
        <w:rPr>
          <w:rFonts w:ascii="Times New Roman" w:hAnsi="Times New Roman" w:cs="Times New Roman"/>
        </w:rPr>
        <w:instrText xml:space="preserve"> ADDIN EN.CITE &lt;EndNote&gt;&lt;Cite&gt;&lt;Author&gt;Curtius&lt;/Author&gt;&lt;Year&gt;2014&lt;/Year&gt;&lt;RecNum&gt;39&lt;/RecNum&gt;&lt;DisplayText&gt;(48)&lt;/DisplayText&gt;&lt;record&gt;&lt;rec-number&gt;39&lt;/rec-number&gt;&lt;foreign-keys&gt;&lt;key app="EN" db-id="xx0avra0n5zdebetvtx5aw57a0raaa22x5r0"&gt;39&lt;/key&gt;&lt;/foreign-keys&gt;&lt;ref-type name="Unpublished Work"&gt;34&lt;/ref-type&gt;&lt;contributors&gt;&lt;authors&gt;&lt;author&gt;Curtius, K.&lt;/author&gt;&lt;author&gt;Hazelton, W.&lt;/author&gt;&lt;author&gt;Jeon, J.&lt;/author&gt;&lt;author&gt;Luebeck, E.G.&lt;/author&gt;&lt;/authors&gt;&lt;/contributors&gt;&lt;titles&gt;&lt;title&gt;Screening for Neoplasia in Barrett&amp;apos;s Esophagus: a Stochastic, Multiscale Approach&lt;/title&gt;&lt;/titles&gt;&lt;dates&gt;&lt;year&gt;2014&lt;/year&gt;&lt;/dates&gt;&lt;urls&gt;&lt;/urls&gt;&lt;/record&gt;&lt;/Cite&gt;&lt;/EndNote&gt;</w:instrText>
      </w:r>
      <w:r w:rsidRPr="001E6BE0">
        <w:rPr>
          <w:rFonts w:ascii="Times New Roman" w:hAnsi="Times New Roman" w:cs="Times New Roman"/>
        </w:rPr>
        <w:fldChar w:fldCharType="separate"/>
      </w:r>
      <w:r>
        <w:rPr>
          <w:rFonts w:ascii="Times New Roman" w:hAnsi="Times New Roman" w:cs="Times New Roman"/>
          <w:noProof/>
        </w:rPr>
        <w:t>(</w:t>
      </w:r>
      <w:hyperlink w:anchor="_ENREF_48" w:tooltip="Curtius, 2014 #39" w:history="1">
        <w:r>
          <w:rPr>
            <w:rFonts w:ascii="Times New Roman" w:hAnsi="Times New Roman" w:cs="Times New Roman"/>
            <w:noProof/>
          </w:rPr>
          <w:t>48</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 xml:space="preserve"> This description also includes the stochastic development of malignant clones representing preclinical cancer, which may be detected on a biopsy as a screen-detected cancer case. </w:t>
      </w:r>
      <w:r w:rsidRPr="001E6BE0">
        <w:rPr>
          <w:rFonts w:ascii="Times New Roman" w:hAnsi="Times New Roman" w:cs="Times New Roman"/>
        </w:rPr>
        <w:lastRenderedPageBreak/>
        <w:t xml:space="preserve">Symptomatic, incident cancers occur by a stochastic detection process. Biological parameters were estimated via likelihood maximization fitting EAC incidence data </w:t>
      </w:r>
      <w:r w:rsidRPr="001E6BE0">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PSJ4eDBhdnJhMG41emRlYmV0dnR4NWF3NTdhMHJhYWEyMng1cjAiPjE3PC9rZXk+PC9mb3JlaWdu
LWtleXM+PHJlZi10eXBlIG5hbWU9IkpvdXJuYWwgQXJ0aWNsZSI+MTc8L3JlZi10eXBlPjxjb250
cmlidXRvcnM+PGF1dGhvcnM+PGF1dGhvcj5Lb25nLCBDLiBZLjwvYXV0aG9yPjxhdXRob3I+S3Jv
ZXAsIFMuPC9hdXRob3I+PGF1dGhvcj5DdXJ0aXVzLCBLLjwvYXV0aG9yPjxhdXRob3I+SGF6ZWx0
b24sIFcuIEQuPC9hdXRob3I+PGF1dGhvcj5KZW9uLCBKLjwvYXV0aG9yPjxhdXRob3I+TWV6YSwg
Ui48L2F1dGhvcj48YXV0aG9yPkhlYmVybGUsIEMuIFIuPC9hdXRob3I+PGF1dGhvcj5NaWxsZXIs
IE0uIEMuPC9hdXRob3I+PGF1dGhvcj5DaG9pLCBTLiBFLjwvYXV0aG9yPjxhdXRob3I+TGFuc2Rv
cnAtVm9nZWxhYXIsIEkuPC9hdXRob3I+PGF1dGhvcj52YW4gQmFsbGVnb29pamVuLCBNLjwvYXV0
aG9yPjxhdXRob3I+RmV1ZXIsIEUuIEouPC9hdXRob3I+PGF1dGhvcj5JbmFkb21pLCBKLiBNLjwv
YXV0aG9yPjxhdXRob3I+SHVyLCBDLjwvYXV0aG9yPjxhdXRob3I+THVlYmVjaywgRS4gRy48L2F1
dGhvcj48L2F1dGhvcnM+PC9jb250cmlidXRvcnM+PGF1dGgtYWRkcmVzcz5BdXRob3JzJmFwb3M7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bmRzIGpvZXlAbWdoLWl0YS5vcmcuJiN4RDtBdXRob3JzJmFwb3M7IEFmZmlsaWF0aW9uczogSW5z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bXVzIE1DLCBSb3R0ZXJkYW0sIHRoZSBOZXRoZXJsYW5kcy4mI3hEO0F1dGhvcnMmYXBvczsgQWZm
aWxpYXRpb25zOiBJbnN0aXR1dGUgZm9yIFRlY2hub2xvZ3kgQXNzZXNzbWVudDsgR2FzdHJvaW50
ZXN0aW5hbCBVbml0LCBNYXNzYWNodXNldHRzIEdlbmVyYWwgSG9zcGl0YWw7IEhhcnZhcmQgTWVk
aWNhbCBTY2hvb2wsIEJvc3RvbiwgTWFzc2FjaHVzZXR0czsgRGVwYXJ0bWVudCBvZiBBcHBsaWVk
IE1hdGhlbWF0aWNzOyBEaXZpc2lvbiBvZiBHYXN0cm9lbnRlcm9sb2d5LCBTY2hvb2wgb2YgTWVk
aWNpbmUsIFVuaXZlcnNpdHkgb2YgV2FzaGluZ3RvbjsgUHJvZ3JhbSBpbiBCaW9zdGF0aXN0aWNz
IGFuZCBCaW9tYXRoZW1hdGljczsgUHJvZ3JhbSBpbiBDb21wdXRhdGlvbmFsIEJpb2xvZ3ksIEZy
ZWQgSHV0Y2hpbnNvbiBDYW5jZXIgUmVzZWFyY2ggQ2VudGVyLCBTZWF0dGxlLCBXYXNoaW5ndG9u
OyBEZXBhcnRtZW50IG9mIEVwaWRlbWlvbG9neSwgVW5pdmVyc2l0eSBvZiBNaWNoaWdhbiwgQW5u
IEFyYm9yLCBNaWNoaWdhbjsgU3VydmVpbGxhbmNlIFJlc2VhcmNoIFByb2dyYW0sIERpdmlzaW9u
IG9mIENhbmNlciBDb250cm9sIGFuZCBQb3B1bGF0aW9uIFNjaWVuY2VzLCBOYXRpb25hbCBDYW5j
ZXIgSW5zdGl0dXRlLCBCZXRoZXNkYSwgTWFyeWxhbmQ7IGFuZCBEZXBhcnRtZW50IG9mIFB1Ymxp
YyBIZWFsdGgsIEVyYXNtdXMgTUMsIFJvdHRlcmRhbSwgdGhlIE5ldGhlcmxhbmRzQXV0aG9ycyZh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b2YgUHVibGljIEhlYWx0aCwgRXJhc211cyBNQywgUm90dGVyZGFtLCB0aGUgTmV0aGVybGFuZHMu
JiN4RDtBdXRob3JzJmFwb3M7IEFmZmlsaWF0aW9uczogSW5zdGl0dXRlIGZvciBUZWNobm9sb2d5
IEFzc2Vzc21lbnQ7IEdhc3Ryb2ludGVzdGluYWwgVW5pdCwgTWFzc2FjaHVzZXR0cyBHZW5lcmFs
IEhvc3BpdGFsOyBIYXJ2YXJkIE1lZGljYWwgU2Nob29sLCBCb3N0b24sIE1hc3NhY2h1c2V0dHM7
IERlcGFydG1lbnQgb2YgQXBwbGllZCBNYXRoZW1hdGljczsgRGl2aXNpb24gb2YgR2FzdHJvZW50
ZXJvbG9neSwgU2Nob29sIG9mIE1lZGljaW5lLCBVbml2ZXJzaXR5IG9mIFdhc2hpbmd0b247IFBy
b2dyYW0gaW4gQmlvc3RhdGlzdGljcyBhbmQgQmlvbWF0aGVtYXRpY3M7IFByb2dyYW0gaW4gQ29t
cHV0YXRpb25hbCBCaW9sb2d5LCBGcmVkIEh1dGNoaW5zb24gQ2FuY2VyIFJlc2VhcmNoIENlbnRl
ciwgU2VhdHRsZSwgV2FzaGluZ3RvbjsgRGVwYXJ0bWVudCBvZiBFcGlkZW1pb2xvZ3ksIFVuaXZl
cnNpdHkgb2YgTWljaGlnYW4sIEFubiBBcmJvciwgTWljaGlnYW47IFN1cnZlaWxsYW5jZSBSZXNl
YXJjaCBQcm9ncmFtLCBEaXZpc2lvbiBvZiBDYW5jZXIgQ29udHJvbCBhbmQgUG9wdWxhdGlvbiBT
Y2llbmNlcywgTmF0aW9uYWwgQ2FuY2VyIEluc3RpdHV0ZSwgQmV0aGVzZGEsIE1hcnlsYW5kOyBh
bmQgRGVwYXJ0bWVudCBvZiBQdWJsaWMgSGVhbHRoLCBFcmFzbXVzIE1DLCBSb3R0ZXJkYW0sIHRo
ZSBOZXRoZXJsYW5kc0F1dGhvcnMmYXBvczsgQWZmaWxpYXRpb25zOiBJbnN0aXR1dGUgZm9yIFRl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c2RhLCBNYXJ5bGFuZDsgYW5kIERlcGFydDwvYXV0aC1hZGRyZXNzPjx0aXRsZXM+PHRpdGxlPkV4
cGxvcmluZyB0aGUgcmVjZW50IHRyZW5kIGluIGVzb3BoYWdlYWwgYWRlbm9jYXJjaW5vbWEgaW5j
aWRlbmNlIGFuZCBtb3J0YWxpdHkgdXNpbmcgY29tcGFyYXRpdmUgc2ltdWxhdGlvbiBtb2RlbGlu
ZzwvdGl0bGU+PHNlY29uZGFyeS10aXRsZT5DYW5jZXIgRXBpZGVtaW9sIEJpb21hcmtlcnMgUHJl
djwvc2Vjb25kYXJ5LXRpdGxlPjwvdGl0bGVzPjxwZXJpb2RpY2FsPjxmdWxsLXRpdGxlPkNhbmNl
ciBFcGlkZW1pb2wgQmlvbWFya2VycyBQcmV2PC9mdWxsLXRpdGxlPjwvcGVyaW9kaWNhbD48cGFn
ZXM+OTk3LTEwMDY8L3BhZ2VzPjx2b2x1bWU+MjM8L3ZvbHVtZT48bnVtYmVyPjY8L251bWJlcj48
ZWRpdGlvbj4yMDE0LzA0LzAzPC9lZGl0aW9uPjxkYXRlcz48eWVhcj4yMDE0PC95ZWFyPjxwdWIt
ZGF0ZXM+PGRhdGU+SnVuPC9kYXRlPjwvcHViLWRhdGVzPjwvZGF0ZXM+PGlzYm4+MTUzOC03NzU1
IChFbGVjdHJvbmljKSYjeEQ7MTA1NS05OTY1IChMaW5raW5nKTwvaXNibj48YWNjZXNzaW9uLW51
bT4yNDY5MjUwMDwvYWNjZXNzaW9uLW51bT48dXJscz48cmVsYXRlZC11cmxzPjx1cmw+aHR0cDov
L3d3dy5uY2JpLm5sbS5uaWguZ292L3B1Ym1lZC8yNDY5MjUwMDwvdXJsPjwvcmVsYXRlZC11cmxz
PjwvdXJscz48Y3VzdG9tMj40MDQ4NzM4PC9jdXN0b20yPjxlbGVjdHJvbmljLXJlc291cmNlLW51
bT4xMDU1LTk5NjUuRVBJLTEzLTEyMzMgW3BpaV0mI3hEOzEwLjExNTgvMTA1NS05OTY1LkVQSS0x
My0xMjMzPC9lbGVjdHJvbmljLXJlc291cmNlLW51bT48bGFuZ3VhZ2U+ZW5nPC9sYW5ndWFnZT48
L3JlY29yZD48L0NpdGU+PC9FbmROb3RlPn==
</w:fldData>
        </w:fldChar>
      </w:r>
      <w:r w:rsidR="009F176D">
        <w:rPr>
          <w:rFonts w:ascii="Times New Roman" w:hAnsi="Times New Roman" w:cs="Times New Roman"/>
        </w:rPr>
        <w:instrText xml:space="preserve"> ADDIN EN.CITE </w:instrText>
      </w:r>
      <w:r w:rsidR="009F176D">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PSJ4eDBhdnJhMG41emRlYmV0dnR4NWF3NTdhMHJhYWEyMng1cjAiPjE3PC9rZXk+PC9mb3JlaWdu
LWtleXM+PHJlZi10eXBlIG5hbWU9IkpvdXJuYWwgQXJ0aWNsZSI+MTc8L3JlZi10eXBlPjxjb250
cmlidXRvcnM+PGF1dGhvcnM+PGF1dGhvcj5Lb25nLCBDLiBZLjwvYXV0aG9yPjxhdXRob3I+S3Jv
ZXAsIFMuPC9hdXRob3I+PGF1dGhvcj5DdXJ0aXVzLCBLLjwvYXV0aG9yPjxhdXRob3I+SGF6ZWx0
b24sIFcuIEQuPC9hdXRob3I+PGF1dGhvcj5KZW9uLCBKLjwvYXV0aG9yPjxhdXRob3I+TWV6YSwg
Ui48L2F1dGhvcj48YXV0aG9yPkhlYmVybGUsIEMuIFIuPC9hdXRob3I+PGF1dGhvcj5NaWxsZXIs
IE0uIEMuPC9hdXRob3I+PGF1dGhvcj5DaG9pLCBTLiBFLjwvYXV0aG9yPjxhdXRob3I+TGFuc2Rv
cnAtVm9nZWxhYXIsIEkuPC9hdXRob3I+PGF1dGhvcj52YW4gQmFsbGVnb29pamVuLCBNLjwvYXV0
aG9yPjxhdXRob3I+RmV1ZXIsIEUuIEouPC9hdXRob3I+PGF1dGhvcj5JbmFkb21pLCBKLiBNLjwv
YXV0aG9yPjxhdXRob3I+SHVyLCBDLjwvYXV0aG9yPjxhdXRob3I+THVlYmVjaywgRS4gRy48L2F1
dGhvcj48L2F1dGhvcnM+PC9jb250cmlidXRvcnM+PGF1dGgtYWRkcmVzcz5BdXRob3JzJmFwb3M7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bmRzIGpvZXlAbWdoLWl0YS5vcmcuJiN4RDtBdXRob3JzJmFwb3M7IEFmZmlsaWF0aW9uczogSW5z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bXVzIE1DLCBSb3R0ZXJkYW0sIHRoZSBOZXRoZXJsYW5kcy4mI3hEO0F1dGhvcnMmYXBvczsgQWZm
aWxpYXRpb25zOiBJbnN0aXR1dGUgZm9yIFRlY2hub2xvZ3kgQXNzZXNzbWVudDsgR2FzdHJvaW50
ZXN0aW5hbCBVbml0LCBNYXNzYWNodXNldHRzIEdlbmVyYWwgSG9zcGl0YWw7IEhhcnZhcmQgTWVk
aWNhbCBTY2hvb2wsIEJvc3RvbiwgTWFzc2FjaHVzZXR0czsgRGVwYXJ0bWVudCBvZiBBcHBsaWVk
IE1hdGhlbWF0aWNzOyBEaXZpc2lvbiBvZiBHYXN0cm9lbnRlcm9sb2d5LCBTY2hvb2wgb2YgTWVk
aWNpbmUsIFVuaXZlcnNpdHkgb2YgV2FzaGluZ3RvbjsgUHJvZ3JhbSBpbiBCaW9zdGF0aXN0aWNz
IGFuZCBCaW9tYXRoZW1hdGljczsgUHJvZ3JhbSBpbiBDb21wdXRhdGlvbmFsIEJpb2xvZ3ksIEZy
ZWQgSHV0Y2hpbnNvbiBDYW5jZXIgUmVzZWFyY2ggQ2VudGVyLCBTZWF0dGxlLCBXYXNoaW5ndG9u
OyBEZXBhcnRtZW50IG9mIEVwaWRlbWlvbG9neSwgVW5pdmVyc2l0eSBvZiBNaWNoaWdhbiwgQW5u
IEFyYm9yLCBNaWNoaWdhbjsgU3VydmVpbGxhbmNlIFJlc2VhcmNoIFByb2dyYW0sIERpdmlzaW9u
IG9mIENhbmNlciBDb250cm9sIGFuZCBQb3B1bGF0aW9uIFNjaWVuY2VzLCBOYXRpb25hbCBDYW5j
ZXIgSW5zdGl0dXRlLCBCZXRoZXNkYSwgTWFyeWxhbmQ7IGFuZCBEZXBhcnRtZW50IG9mIFB1Ymxp
YyBIZWFsdGgsIEVyYXNtdXMgTUMsIFJvdHRlcmRhbSwgdGhlIE5ldGhlcmxhbmRzQXV0aG9ycyZh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b2YgUHVibGljIEhlYWx0aCwgRXJhc211cyBNQywgUm90dGVyZGFtLCB0aGUgTmV0aGVybGFuZHMu
JiN4RDtBdXRob3JzJmFwb3M7IEFmZmlsaWF0aW9uczogSW5zdGl0dXRlIGZvciBUZWNobm9sb2d5
IEFzc2Vzc21lbnQ7IEdhc3Ryb2ludGVzdGluYWwgVW5pdCwgTWFzc2FjaHVzZXR0cyBHZW5lcmFs
IEhvc3BpdGFsOyBIYXJ2YXJkIE1lZGljYWwgU2Nob29sLCBCb3N0b24sIE1hc3NhY2h1c2V0dHM7
IERlcGFydG1lbnQgb2YgQXBwbGllZCBNYXRoZW1hdGljczsgRGl2aXNpb24gb2YgR2FzdHJvZW50
ZXJvbG9neSwgU2Nob29sIG9mIE1lZGljaW5lLCBVbml2ZXJzaXR5IG9mIFdhc2hpbmd0b247IFBy
b2dyYW0gaW4gQmlvc3RhdGlzdGljcyBhbmQgQmlvbWF0aGVtYXRpY3M7IFByb2dyYW0gaW4gQ29t
cHV0YXRpb25hbCBCaW9sb2d5LCBGcmVkIEh1dGNoaW5zb24gQ2FuY2VyIFJlc2VhcmNoIENlbnRl
ciwgU2VhdHRsZSwgV2FzaGluZ3RvbjsgRGVwYXJ0bWVudCBvZiBFcGlkZW1pb2xvZ3ksIFVuaXZl
cnNpdHkgb2YgTWljaGlnYW4sIEFubiBBcmJvciwgTWljaGlnYW47IFN1cnZlaWxsYW5jZSBSZXNl
YXJjaCBQcm9ncmFtLCBEaXZpc2lvbiBvZiBDYW5jZXIgQ29udHJvbCBhbmQgUG9wdWxhdGlvbiBT
Y2llbmNlcywgTmF0aW9uYWwgQ2FuY2VyIEluc3RpdHV0ZSwgQmV0aGVzZGEsIE1hcnlsYW5kOyBh
bmQgRGVwYXJ0bWVudCBvZiBQdWJsaWMgSGVhbHRoLCBFcmFzbXVzIE1DLCBSb3R0ZXJkYW0sIHRo
ZSBOZXRoZXJsYW5kc0F1dGhvcnMmYXBvczsgQWZmaWxpYXRpb25zOiBJbnN0aXR1dGUgZm9yIFRl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c2RhLCBNYXJ5bGFuZDsgYW5kIERlcGFydDwvYXV0aC1hZGRyZXNzPjx0aXRsZXM+PHRpdGxlPkV4
cGxvcmluZyB0aGUgcmVjZW50IHRyZW5kIGluIGVzb3BoYWdlYWwgYWRlbm9jYXJjaW5vbWEgaW5j
aWRlbmNlIGFuZCBtb3J0YWxpdHkgdXNpbmcgY29tcGFyYXRpdmUgc2ltdWxhdGlvbiBtb2RlbGlu
ZzwvdGl0bGU+PHNlY29uZGFyeS10aXRsZT5DYW5jZXIgRXBpZGVtaW9sIEJpb21hcmtlcnMgUHJl
djwvc2Vjb25kYXJ5LXRpdGxlPjwvdGl0bGVzPjxwZXJpb2RpY2FsPjxmdWxsLXRpdGxlPkNhbmNl
ciBFcGlkZW1pb2wgQmlvbWFya2VycyBQcmV2PC9mdWxsLXRpdGxlPjwvcGVyaW9kaWNhbD48cGFn
ZXM+OTk3LTEwMDY8L3BhZ2VzPjx2b2x1bWU+MjM8L3ZvbHVtZT48bnVtYmVyPjY8L251bWJlcj48
ZWRpdGlvbj4yMDE0LzA0LzAzPC9lZGl0aW9uPjxkYXRlcz48eWVhcj4yMDE0PC95ZWFyPjxwdWIt
ZGF0ZXM+PGRhdGU+SnVuPC9kYXRlPjwvcHViLWRhdGVzPjwvZGF0ZXM+PGlzYm4+MTUzOC03NzU1
IChFbGVjdHJvbmljKSYjeEQ7MTA1NS05OTY1IChMaW5raW5nKTwvaXNibj48YWNjZXNzaW9uLW51
bT4yNDY5MjUwMDwvYWNjZXNzaW9uLW51bT48dXJscz48cmVsYXRlZC11cmxzPjx1cmw+aHR0cDov
L3d3dy5uY2JpLm5sbS5uaWguZ292L3B1Ym1lZC8yNDY5MjUwMDwvdXJsPjwvcmVsYXRlZC11cmxz
PjwvdXJscz48Y3VzdG9tMj40MDQ4NzM4PC9jdXN0b20yPjxlbGVjdHJvbmljLXJlc291cmNlLW51
bT4xMDU1LTk5NjUuRVBJLTEzLTEyMzMgW3BpaV0mI3hEOzEwLjExNTgvMTA1NS05OTY1LkVQSS0x
My0xMjMzPC9lbGVjdHJvbmljLXJlc291cmNlLW51bT48bGFuZ3VhZ2U+ZW5nPC9sYW5ndWFnZT48
L3JlY29yZD48L0NpdGU+PC9FbmROb3RlPn==
</w:fldData>
        </w:fldChar>
      </w:r>
      <w:r w:rsidR="009F176D">
        <w:rPr>
          <w:rFonts w:ascii="Times New Roman" w:hAnsi="Times New Roman" w:cs="Times New Roman"/>
        </w:rPr>
        <w:instrText xml:space="preserve"> ADDIN EN.CITE.DATA </w:instrText>
      </w:r>
      <w:r w:rsidR="009F176D">
        <w:rPr>
          <w:rFonts w:ascii="Times New Roman" w:hAnsi="Times New Roman" w:cs="Times New Roman"/>
        </w:rPr>
      </w:r>
      <w:r w:rsidR="009F176D">
        <w:rPr>
          <w:rFonts w:ascii="Times New Roman" w:hAnsi="Times New Roman" w:cs="Times New Roman"/>
        </w:rPr>
        <w:fldChar w:fldCharType="end"/>
      </w:r>
      <w:r w:rsidRPr="001E6BE0">
        <w:rPr>
          <w:rFonts w:ascii="Times New Roman" w:hAnsi="Times New Roman" w:cs="Times New Roman"/>
        </w:rPr>
      </w:r>
      <w:r w:rsidRPr="001E6BE0">
        <w:rPr>
          <w:rFonts w:ascii="Times New Roman" w:hAnsi="Times New Roman" w:cs="Times New Roman"/>
        </w:rPr>
        <w:fldChar w:fldCharType="separate"/>
      </w:r>
      <w:r>
        <w:rPr>
          <w:rFonts w:ascii="Times New Roman" w:hAnsi="Times New Roman" w:cs="Times New Roman"/>
          <w:noProof/>
        </w:rPr>
        <w:t>(</w:t>
      </w:r>
      <w:hyperlink w:anchor="_ENREF_17" w:tooltip="Kong, 2014 #17" w:history="1">
        <w:r>
          <w:rPr>
            <w:rFonts w:ascii="Times New Roman" w:hAnsi="Times New Roman" w:cs="Times New Roman"/>
            <w:noProof/>
          </w:rPr>
          <w:t>17</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w:t>
      </w:r>
    </w:p>
    <w:p w:rsidR="003C6A03" w:rsidRPr="001E6BE0" w:rsidRDefault="003C6A03" w:rsidP="003C6A03">
      <w:pPr>
        <w:spacing w:line="480" w:lineRule="auto"/>
        <w:rPr>
          <w:rFonts w:ascii="Times New Roman" w:hAnsi="Times New Roman" w:cs="Times New Roman"/>
        </w:rPr>
      </w:pP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 xml:space="preserve">The MSCE-EAC model simulates the joint distribution of premalignant and malignant clones sizes before cancer is detected in a symptomatic patient. Thus, we are able to predict the potential presence (or absence) of malignant cells in biopsies that harbor a sufficiently large number of dysplastic crypts to be subjected to closer examination for the presence of malignant cancer. The results presented in the main text are based on use of the standard (Seattle) biopsy protocol which requires quadrant biopsies every 1-2 cm along the BE segment. Factors contributing to the sensitivity for detection of HGD or cancerous lesions include the minimum aberrant tissue fraction in the biopsy necessary for diagnosis, the spacing between biopsy samples, and the size of biopsy forceps. The general efficacy of biopsy sampling remains highly uncertain due to variability in biopsy sampling between practitioners and due to considerable uncertainties in the histological assessment of the biopsied tissues. For the Results in the main text, we employed a biopsy detection sensitivity of 40% (see </w:t>
      </w:r>
      <w:r w:rsidRPr="001E6BE0">
        <w:rPr>
          <w:rFonts w:ascii="Times New Roman" w:hAnsi="Times New Roman" w:cs="Times New Roman"/>
        </w:rPr>
        <w:fldChar w:fldCharType="begin"/>
      </w:r>
      <w:r w:rsidR="009F176D">
        <w:rPr>
          <w:rFonts w:ascii="Times New Roman" w:hAnsi="Times New Roman" w:cs="Times New Roman"/>
        </w:rPr>
        <w:instrText xml:space="preserve"> ADDIN EN.CITE &lt;EndNote&gt;&lt;Cite ExcludeAuth="1"&gt;&lt;Author&gt;Curtius&lt;/Author&gt;&lt;Year&gt;2014&lt;/Year&gt;&lt;RecNum&gt;39&lt;/RecNum&gt;&lt;DisplayText&gt;(48)&lt;/DisplayText&gt;&lt;record&gt;&lt;rec-number&gt;39&lt;/rec-number&gt;&lt;foreign-keys&gt;&lt;key app="EN" db-id="xx0avra0n5zdebetvtx5aw57a0raaa22x5r0"&gt;39&lt;/key&gt;&lt;/foreign-keys&gt;&lt;ref-type name="Unpublished Work"&gt;34&lt;/ref-type&gt;&lt;contributors&gt;&lt;authors&gt;&lt;author&gt;Curtius, K.&lt;/author&gt;&lt;author&gt;Hazelton, W.&lt;/author&gt;&lt;author&gt;Jeon, J.&lt;/author&gt;&lt;author&gt;Luebeck, E.G.&lt;/author&gt;&lt;/authors&gt;&lt;/contributors&gt;&lt;titles&gt;&lt;title&gt;Screening for Neoplasia in Barrett&amp;apos;s Esophagus: a Stochastic, Multiscale Approach&lt;/title&gt;&lt;/titles&gt;&lt;dates&gt;&lt;year&gt;2014&lt;/year&gt;&lt;/dates&gt;&lt;urls&gt;&lt;/urls&gt;&lt;/record&gt;&lt;/Cite&gt;&lt;/EndNote&gt;</w:instrText>
      </w:r>
      <w:r w:rsidRPr="001E6BE0">
        <w:rPr>
          <w:rFonts w:ascii="Times New Roman" w:hAnsi="Times New Roman" w:cs="Times New Roman"/>
        </w:rPr>
        <w:fldChar w:fldCharType="separate"/>
      </w:r>
      <w:r>
        <w:rPr>
          <w:rFonts w:ascii="Times New Roman" w:hAnsi="Times New Roman" w:cs="Times New Roman"/>
          <w:noProof/>
        </w:rPr>
        <w:t>(</w:t>
      </w:r>
      <w:hyperlink w:anchor="_ENREF_48" w:tooltip="Curtius, 2014 #39" w:history="1">
        <w:r>
          <w:rPr>
            <w:rFonts w:ascii="Times New Roman" w:hAnsi="Times New Roman" w:cs="Times New Roman"/>
            <w:noProof/>
          </w:rPr>
          <w:t>48</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 xml:space="preserve"> for details on the definition of diagnostic sensitivity). For the 60 year old screened males with BE, this assumption yields a prevalence of 2.8% for initial screen-detected cancers and 4.7% for initial HGD cases.</w:t>
      </w: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FHCRC: Surveillance and RFA Treatment</w:t>
      </w:r>
    </w:p>
    <w:p w:rsidR="003C6A03" w:rsidRPr="001E6BE0" w:rsidRDefault="003C6A03" w:rsidP="003C6A03">
      <w:pPr>
        <w:spacing w:line="480" w:lineRule="auto"/>
        <w:ind w:firstLine="720"/>
        <w:rPr>
          <w:rFonts w:ascii="Times New Roman" w:hAnsi="Times New Roman" w:cs="Times New Roman"/>
          <w:i/>
        </w:rPr>
      </w:pPr>
      <w:r w:rsidRPr="001E6BE0">
        <w:rPr>
          <w:rFonts w:ascii="Times New Roman" w:hAnsi="Times New Roman" w:cs="Times New Roman"/>
        </w:rPr>
        <w:t xml:space="preserve">During surveillance, the MSCE-EAC model explicitly simulates the growth (in numbers) of any and all BE crypts, HGD crypts, and malignant crypts as a BE patient ages.  For each patient, given a randomly generated size of the BE segment and simulated number and sizes of the neoplastic lesions at any given time, we also simulate the biopsy procedure at every surveillance screen to determine a possibly different diagnosis based on the highest grade of tissue found on biopsy. After a simulated screen of a BE patient for detection of HGD and preclinical EAC at a specified screening age, the MSCE-EAC model also allows the explicit modeling of an ablative treatment, such as radio frequency ablation (RFA). Specifically, assuming that ablation decimates the number of BE, dysplastic, and malignant crypts by specific fractions, the simulation modifies the size of a patient’s BE segment along with any concurrent HGD and/or malignant </w:t>
      </w:r>
      <w:r w:rsidRPr="001E6BE0">
        <w:rPr>
          <w:rFonts w:ascii="Times New Roman" w:hAnsi="Times New Roman" w:cs="Times New Roman"/>
        </w:rPr>
        <w:lastRenderedPageBreak/>
        <w:t xml:space="preserve">lesions during ablative treatment. For the results shown in the main text, we assumed an efficacy of 70% removal of all cell types during an RFA treatment or touch-up based on calibration to published recurrence rates during surveillance </w:t>
      </w:r>
      <w:r w:rsidRPr="001E6BE0">
        <w:rPr>
          <w:rFonts w:ascii="Times New Roman" w:hAnsi="Times New Roman" w:cs="Times New Roman"/>
        </w:rPr>
        <w:fldChar w:fldCharType="begin">
          <w:fldData xml:space="preserve">PEVuZE5vdGU+PENpdGU+PEF1dGhvcj5Pcm1hbjwvQXV0aG9yPjxZZWFyPjIwMTM8L1llYXI+PFJl
Y051bT4xMzwvUmVjTnVtPjxEaXNwbGF5VGV4dD4oMTMsIDE5KTwvRGlzcGxheVRleHQ+PHJlY29y
ZD48cmVjLW51bWJlcj4xMzwvcmVjLW51bWJlcj48Zm9yZWlnbi1rZXlzPjxrZXkgYXBwPSJFTiIg
ZGItaWQ9Inh4MGF2cmEwbjV6ZGViZXR2dHg1YXc1N2EwcmFhYTIyeDVyMCI+MTM8L2tleT48L2Zv
cmVpZ24ta2V5cz48cmVmLXR5cGUgbmFtZT0iSm91cm5hbCBBcnRpY2xlIj4xNzwvcmVmLXR5cGU+
PGNvbnRyaWJ1dG9ycz48YXV0aG9ycz48YXV0aG9yPk9ybWFuLCBFLiBTLjwvYXV0aG9yPjxhdXRo
b3I+TGksIE4uPC9hdXRob3I+PGF1dGhvcj5TaGFoZWVuLCBOLiBKLjwvYXV0aG9yPjwvYXV0aG9y
cz48L2NvbnRyaWJ1dG9ycz48YXV0aC1hZGRyZXNzPkNlbnRlciBmb3IgRXNvcGhhZ2VhbCBEaXNl
YXNlcyBhbmQgU3dhbGxvd2luZywgRGl2aXNpb24gb2YgR2FzdHJvZW50ZXJvbG9neSBhbmQgSGVw
YXRvbG9neSwgRGVwYXJ0bWVudCBvZiBNZWRpY2luZSwgVW5pdmVyc2l0eSBvZiBOb3J0aCBDYXJv
bGluYSwgQ2hhcGVsIEhpbGwsIE5vcnRoIENhcm9saW5hLjwvYXV0aC1hZGRyZXNzPjx0aXRsZXM+
PHRpdGxlPkVmZmljYWN5IGFuZCBkdXJhYmlsaXR5IG9mIHJhZGlvZnJlcXVlbmN5IGFibGF0aW9u
IGZvciBCYXJyZXR0JmFwb3M7cyBFc29waGFndXM6IHN5c3RlbWF0aWMgcmV2aWV3IGFuZCBtZXRh
LWFuYWx5c2lzPC90aXRsZT48c2Vjb25kYXJ5LXRpdGxlPkNsaW4gR2FzdHJvZW50ZXJvbCBIZXBh
dG9sPC9zZWNvbmRhcnktdGl0bGU+PC90aXRsZXM+PHBlcmlvZGljYWw+PGZ1bGwtdGl0bGU+Q2xp
biBHYXN0cm9lbnRlcm9sIEhlcGF0b2w8L2Z1bGwtdGl0bGU+PC9wZXJpb2RpY2FsPjxwYWdlcz4x
MjQ1LTU1PC9wYWdlcz48dm9sdW1lPjExPC92b2x1bWU+PG51bWJlcj4xMDwvbnVtYmVyPjxlZGl0
aW9uPjIwMTMvMDUvMDc8L2VkaXRpb24+PGtleXdvcmRzPjxrZXl3b3JkPkJhcnJldHQgRXNvcGhh
Z3VzLypzdXJnZXJ5PC9rZXl3b3JkPjxrZXl3b3JkPkNhdGhldGVyIEFibGF0aW9uL2FkdmVyc2Ug
ZWZmZWN0cy8qbWV0aG9kczwva2V5d29yZD48a2V5d29yZD5IdW1hbnM8L2tleXdvcmQ+PGtleXdv
cmQ+UmVjdXJyZW5jZTwva2V5d29yZD48a2V5d29yZD5UcmVhdG1lbnQgT3V0Y29tZTwva2V5d29y
ZD48L2tleXdvcmRzPjxkYXRlcz48eWVhcj4yMDEzPC95ZWFyPjxwdWItZGF0ZXM+PGRhdGU+T2N0
PC9kYXRlPjwvcHViLWRhdGVzPjwvZGF0ZXM+PGlzYm4+MTU0Mi03NzE0IChFbGVjdHJvbmljKSYj
eEQ7MTU0Mi0zNTY1IChMaW5raW5nKTwvaXNibj48YWNjZXNzaW9uLW51bT4yMzY0NDM4NTwvYWNj
ZXNzaW9uLW51bT48dXJscz48cmVsYXRlZC11cmxzPjx1cmw+aHR0cDovL3d3dy5uY2JpLm5sbS5u
aWguZ292L3B1Ym1lZC8yMzY0NDM4NTwvdXJsPjwvcmVsYXRlZC11cmxzPjwvdXJscz48Y3VzdG9t
Mj4zODcwMTUwPC9jdXN0b20yPjxlbGVjdHJvbmljLXJlc291cmNlLW51bT5TMTU0Mi0zNTY1KDEz
KTAwNjAzLTQgW3BpaV0mI3hEOzEwLjEwMTYvai5jZ2guMjAxMy4wMy4wMzk8L2VsZWN0cm9uaWMt
cmVzb3VyY2UtbnVtPjxsYW5ndWFnZT5lbmc8L2xhbmd1YWdlPjwvcmVjb3JkPjwvQ2l0ZT48Q2l0
ZT48QXV0aG9yPlNoYWhlZW48L0F1dGhvcj48WWVhcj4yMDExPC9ZZWFyPjxSZWNOdW0+MTg8L1Jl
Y051bT48cmVjb3JkPjxyZWMtbnVtYmVyPjE4PC9yZWMtbnVtYmVyPjxmb3JlaWduLWtleXM+PGtl
eSBhcHA9IkVOIiBkYi1pZD0ieHgwYXZyYTBuNXpkZWJldHZ0eDVhdzU3YTByYWFhMjJ4NXIwIj4x
ODwva2V5PjwvZm9yZWlnbi1rZXlzPjxyZWYtdHlwZSBuYW1lPSJKb3VybmFsIEFydGljbGUiPjE3
PC9yZWYtdHlwZT48Y29udHJpYnV0b3JzPjxhdXRob3JzPjxhdXRob3I+U2hhaGVlbiwgTi4gSi48
L2F1dGhvcj48YXV0aG9yPk92ZXJob2x0LCBCLiBGLjwvYXV0aG9yPjxhdXRob3I+U2FtcGxpbmVy
LCBSLiBFLjwvYXV0aG9yPjxhdXRob3I+V29sZnNlbiwgSC4gQy48L2F1dGhvcj48YXV0aG9yPldh
bmcsIEsuIEsuPC9hdXRob3I+PGF1dGhvcj5GbGVpc2NoZXIsIEQuIEUuPC9hdXRob3I+PGF1dGhv
cj5TaGFybWEsIFYuIEsuPC9hdXRob3I+PGF1dGhvcj5FaXNlbiwgRy4gTS48L2F1dGhvcj48YXV0
aG9yPkZlbm5lcnR5LCBNLiBCLjwvYXV0aG9yPjxhdXRob3I+SHVudGVyLCBKLiBHLjwvYXV0aG9y
PjxhdXRob3I+QnJvbm5lciwgTS4gUC48L2F1dGhvcj48YXV0aG9yPkdvbGRibHVtLCBKLiBSLjwv
YXV0aG9yPjxhdXRob3I+QmVubmV0dCwgQS4gRS48L2F1dGhvcj48YXV0aG9yPk1hc2hpbW8sIEgu
PC9hdXRob3I+PGF1dGhvcj5Sb3Roc3RlaW4sIFIuIEkuPC9hdXRob3I+PGF1dGhvcj5Hb3Jkb24s
IFMuIFIuPC9hdXRob3I+PGF1dGhvcj5FZG11bmRvd2ljeiwgUy4gQS48L2F1dGhvcj48YXV0aG9y
Pk1hZGFuaWNrLCBSLiBELjwvYXV0aG9yPjxhdXRob3I+UGVlcnksIEEuIEYuPC9hdXRob3I+PGF1
dGhvcj5NdXRodXNhbXksIFYuIFIuPC9hdXRob3I+PGF1dGhvcj5DaGFuZywgSy4gSi48L2F1dGhv
cj48YXV0aG9yPktpbW1leSwgTS4gQi48L2F1dGhvcj48YXV0aG9yPlNwZWNobGVyLCBTLiBKLjwv
YXV0aG9yPjxhdXRob3I+U2lkZGlxdWksIEEuIEEuPC9hdXRob3I+PGF1dGhvcj5Tb3V6YSwgUi4g
Ri48L2F1dGhvcj48YXV0aG9yPkluZmFudG9saW5vLCBBLjwvYXV0aG9yPjxhdXRob3I+RHVtb3Qs
IEouIEEuPC9hdXRob3I+PGF1dGhvcj5GYWxrLCBHLiBXLjwvYXV0aG9yPjxhdXRob3I+R2FsYW5r
bywgSi4gQS48L2F1dGhvcj48YXV0aG9yPkpvYmUsIEIuIEEuPC9hdXRob3I+PGF1dGhvcj5IYXdl
cywgUi4gSC48L2F1dGhvcj48YXV0aG9yPkhvZmZtYW4sIEIuIEouPC9hdXRob3I+PGF1dGhvcj5T
aGFybWEsIFAuPC9hdXRob3I+PGF1dGhvcj5DaGFrLCBBLjwvYXV0aG9yPjxhdXRob3I+TGlnaHRk
YWxlLCBDLiBKLjwvYXV0aG9yPjwvYXV0aG9ycz48L2NvbnRyaWJ1dG9ycz48YXV0aC1hZGRyZXNz
PkNlbnRlciBmb3IgRXNvcGhhZ2VhbCBEaXNlYXNlcyBhbmQgU3dhbGxvd2luZywgVW5pdmVyc2l0
eSBvZiBOb3J0aCBDYXJvbGluYSBhdCBDaGFwZWwgSGlsbCwgQ2hhcGVsIEhpbGwsIE5DIDI3NTk5
LTcwODAsIFVTQS4gbnNoYWhlZW5AbWVkLnVuYy5lZHU8L2F1dGgtYWRkcmVzcz48dGl0bGVzPjx0
aXRsZT5EdXJhYmlsaXR5IG9mIHJhZGlvZnJlcXVlbmN5IGFibGF0aW9uIGluIEJhcnJldHQmYXBv
cztzIGVzb3BoYWd1cyB3aXRoIGR5c3BsYXNpYTwvdGl0bGU+PHNlY29uZGFyeS10aXRsZT5HYXN0
cm9lbnRlcm9sb2d5PC9zZWNvbmRhcnktdGl0bGU+PGFsdC10aXRsZT5HYXN0cm9lbnRlcm9sb2d5
PC9hbHQtdGl0bGU+PC90aXRsZXM+PHBlcmlvZGljYWw+PGZ1bGwtdGl0bGU+R2FzdHJvZW50ZXJv
bG9neTwvZnVsbC10aXRsZT48L3BlcmlvZGljYWw+PGFsdC1wZXJpb2RpY2FsPjxmdWxsLXRpdGxl
Pkdhc3Ryb2VudGVyb2xvZ3k8L2Z1bGwtdGl0bGU+PC9hbHQtcGVyaW9kaWNhbD48cGFnZXM+NDYw
LTg8L3BhZ2VzPjx2b2x1bWU+MTQxPC92b2x1bWU+PG51bWJlcj4yPC9udW1iZXI+PGVkaXRpb24+
MjAxMS8wNi8xODwvZWRpdGlvbj48a2V5d29yZHM+PGtleXdvcmQ+QWRlbm9jYXJjaW5vbWEvKnBh
dGhvbG9neTwva2V5d29yZD48a2V5d29yZD5BZ2VkPC9rZXl3b3JkPjxrZXl3b3JkPkJhcnJldHQg
RXNvcGhhZ3VzLypwYXRob2xvZ3kvKnN1cmdlcnk8L2tleXdvcmQ+PGtleXdvcmQ+Q2F0aGV0ZXIg
QWJsYXRpb24vYWR2ZXJzZSBlZmZlY3RzLyptZXRob2RzPC9rZXl3b3JkPjxrZXl3b3JkPkRpc2Vh
c2UgUHJvZ3Jlc3Npb248L2tleXdvcmQ+PGtleXdvcmQ+RXBpdGhlbGl1bS9wYXRob2xvZ3k8L2tl
eXdvcmQ+PGtleXdvcmQ+RXNvcGhhZ2VhbCBOZW9wbGFzbXMvKnBhdGhvbG9neTwva2V5d29yZD48
a2V5d29yZD5Fc29waGFnb3Njb3B5PC9rZXl3b3JkPjxrZXl3b3JkPkVzb3BoYWd1cy8qcGF0aG9s
b2d5PC9rZXl3b3JkPjxrZXl3b3JkPkZlbWFsZTwva2V5d29yZD48a2V5d29yZD5IdW1hbnM8L2tl
eXdvcmQ+PGtleXdvcmQ+S2FwbGFuLU1laWVyIEVzdGltYXRlPC9rZXl3b3JkPjxrZXl3b3JkPkxv
bmdpdHVkaW5hbCBTdHVkaWVzPC9rZXl3b3JkPjxrZXl3b3JkPk1hbGU8L2tleXdvcmQ+PGtleXdv
cmQ+TWV0YXBsYXNpYTwva2V5d29yZD48a2V5d29yZD5NaWRkbGUgQWdlZDwva2V5d29yZD48a2V5
d29yZD5QcmVjYW5jZXJvdXMgQ29uZGl0aW9ucy8qcGF0aG9sb2d5LypzdXJnZXJ5PC9rZXl3b3Jk
PjxrZXl3b3JkPlRyZWF0bWVudCBPdXRjb21lPC9rZXl3b3JkPjxrZXl3b3JkPipXYXRjaGZ1bCBX
YWl0aW5nPC9rZXl3b3JkPjwva2V5d29yZHM+PGRhdGVzPjx5ZWFyPjIwMTE8L3llYXI+PHB1Yi1k
YXRlcz48ZGF0ZT5BdWc8L2RhdGU+PC9wdWItZGF0ZXM+PC9kYXRlcz48aXNibj4xNTI4LTAwMTIg
KEVsZWN0cm9uaWMpJiN4RDswMDE2LTUwODUgKExpbmtpbmcpPC9pc2JuPjxhY2Nlc3Npb24tbnVt
PjIxNjc5NzEyPC9hY2Nlc3Npb24tbnVtPjx3b3JrLXR5cGU+TXVsdGljZW50ZXIgU3R1ZHkmI3hE
O1JhbmRvbWl6ZWQgQ29udHJvbGxlZCBUcmlhbCYjeEQ7UmVzZWFyY2ggU3VwcG9ydCwgTi5JLkgu
LCBFeHRyYW11cmFsJiN4RDtSZXNlYXJjaCBTdXBwb3J0LCBOb24tVS5TLiBHb3YmYXBvczt0PC93
b3JrLXR5cGU+PHVybHM+PHJlbGF0ZWQtdXJscz48dXJsPmh0dHA6Ly93d3cubmNiaS5ubG0ubmlo
Lmdvdi9wdWJtZWQvMjE2Nzk3MTI8L3VybD48L3JlbGF0ZWQtdXJscz48L3VybHM+PGN1c3RvbTI+
MzE1MjY1ODwvY3VzdG9tMj48ZWxlY3Ryb25pYy1yZXNvdXJjZS1udW0+MTAuMTA1My9qLmdhc3Ry
by4yMDExLjA0LjA2MTwvZWxlY3Ryb25pYy1yZXNvdXJjZS1udW0+PGxhbmd1YWdlPmVuZzwvbGFu
Z3VhZ2U+PC9yZWNvcmQ+PC9DaXRlPjwvRW5kTm90ZT5=
</w:fldData>
        </w:fldChar>
      </w:r>
      <w:r w:rsidR="009F176D">
        <w:rPr>
          <w:rFonts w:ascii="Times New Roman" w:hAnsi="Times New Roman" w:cs="Times New Roman"/>
        </w:rPr>
        <w:instrText xml:space="preserve"> ADDIN EN.CITE </w:instrText>
      </w:r>
      <w:r w:rsidR="009F176D">
        <w:rPr>
          <w:rFonts w:ascii="Times New Roman" w:hAnsi="Times New Roman" w:cs="Times New Roman"/>
        </w:rPr>
        <w:fldChar w:fldCharType="begin">
          <w:fldData xml:space="preserve">PEVuZE5vdGU+PENpdGU+PEF1dGhvcj5Pcm1hbjwvQXV0aG9yPjxZZWFyPjIwMTM8L1llYXI+PFJl
Y051bT4xMzwvUmVjTnVtPjxEaXNwbGF5VGV4dD4oMTMsIDE5KTwvRGlzcGxheVRleHQ+PHJlY29y
ZD48cmVjLW51bWJlcj4xMzwvcmVjLW51bWJlcj48Zm9yZWlnbi1rZXlzPjxrZXkgYXBwPSJFTiIg
ZGItaWQ9Inh4MGF2cmEwbjV6ZGViZXR2dHg1YXc1N2EwcmFhYTIyeDVyMCI+MTM8L2tleT48L2Zv
cmVpZ24ta2V5cz48cmVmLXR5cGUgbmFtZT0iSm91cm5hbCBBcnRpY2xlIj4xNzwvcmVmLXR5cGU+
PGNvbnRyaWJ1dG9ycz48YXV0aG9ycz48YXV0aG9yPk9ybWFuLCBFLiBTLjwvYXV0aG9yPjxhdXRo
b3I+TGksIE4uPC9hdXRob3I+PGF1dGhvcj5TaGFoZWVuLCBOLiBKLjwvYXV0aG9yPjwvYXV0aG9y
cz48L2NvbnRyaWJ1dG9ycz48YXV0aC1hZGRyZXNzPkNlbnRlciBmb3IgRXNvcGhhZ2VhbCBEaXNl
YXNlcyBhbmQgU3dhbGxvd2luZywgRGl2aXNpb24gb2YgR2FzdHJvZW50ZXJvbG9neSBhbmQgSGVw
YXRvbG9neSwgRGVwYXJ0bWVudCBvZiBNZWRpY2luZSwgVW5pdmVyc2l0eSBvZiBOb3J0aCBDYXJv
bGluYSwgQ2hhcGVsIEhpbGwsIE5vcnRoIENhcm9saW5hLjwvYXV0aC1hZGRyZXNzPjx0aXRsZXM+
PHRpdGxlPkVmZmljYWN5IGFuZCBkdXJhYmlsaXR5IG9mIHJhZGlvZnJlcXVlbmN5IGFibGF0aW9u
IGZvciBCYXJyZXR0JmFwb3M7cyBFc29waGFndXM6IHN5c3RlbWF0aWMgcmV2aWV3IGFuZCBtZXRh
LWFuYWx5c2lzPC90aXRsZT48c2Vjb25kYXJ5LXRpdGxlPkNsaW4gR2FzdHJvZW50ZXJvbCBIZXBh
dG9sPC9zZWNvbmRhcnktdGl0bGU+PC90aXRsZXM+PHBlcmlvZGljYWw+PGZ1bGwtdGl0bGU+Q2xp
biBHYXN0cm9lbnRlcm9sIEhlcGF0b2w8L2Z1bGwtdGl0bGU+PC9wZXJpb2RpY2FsPjxwYWdlcz4x
MjQ1LTU1PC9wYWdlcz48dm9sdW1lPjExPC92b2x1bWU+PG51bWJlcj4xMDwvbnVtYmVyPjxlZGl0
aW9uPjIwMTMvMDUvMDc8L2VkaXRpb24+PGtleXdvcmRzPjxrZXl3b3JkPkJhcnJldHQgRXNvcGhh
Z3VzLypzdXJnZXJ5PC9rZXl3b3JkPjxrZXl3b3JkPkNhdGhldGVyIEFibGF0aW9uL2FkdmVyc2Ug
ZWZmZWN0cy8qbWV0aG9kczwva2V5d29yZD48a2V5d29yZD5IdW1hbnM8L2tleXdvcmQ+PGtleXdv
cmQ+UmVjdXJyZW5jZTwva2V5d29yZD48a2V5d29yZD5UcmVhdG1lbnQgT3V0Y29tZTwva2V5d29y
ZD48L2tleXdvcmRzPjxkYXRlcz48eWVhcj4yMDEzPC95ZWFyPjxwdWItZGF0ZXM+PGRhdGU+T2N0
PC9kYXRlPjwvcHViLWRhdGVzPjwvZGF0ZXM+PGlzYm4+MTU0Mi03NzE0IChFbGVjdHJvbmljKSYj
eEQ7MTU0Mi0zNTY1IChMaW5raW5nKTwvaXNibj48YWNjZXNzaW9uLW51bT4yMzY0NDM4NTwvYWNj
ZXNzaW9uLW51bT48dXJscz48cmVsYXRlZC11cmxzPjx1cmw+aHR0cDovL3d3dy5uY2JpLm5sbS5u
aWguZ292L3B1Ym1lZC8yMzY0NDM4NTwvdXJsPjwvcmVsYXRlZC11cmxzPjwvdXJscz48Y3VzdG9t
Mj4zODcwMTUwPC9jdXN0b20yPjxlbGVjdHJvbmljLXJlc291cmNlLW51bT5TMTU0Mi0zNTY1KDEz
KTAwNjAzLTQgW3BpaV0mI3hEOzEwLjEwMTYvai5jZ2guMjAxMy4wMy4wMzk8L2VsZWN0cm9uaWMt
cmVzb3VyY2UtbnVtPjxsYW5ndWFnZT5lbmc8L2xhbmd1YWdlPjwvcmVjb3JkPjwvQ2l0ZT48Q2l0
ZT48QXV0aG9yPlNoYWhlZW48L0F1dGhvcj48WWVhcj4yMDExPC9ZZWFyPjxSZWNOdW0+MTg8L1Jl
Y051bT48cmVjb3JkPjxyZWMtbnVtYmVyPjE4PC9yZWMtbnVtYmVyPjxmb3JlaWduLWtleXM+PGtl
eSBhcHA9IkVOIiBkYi1pZD0ieHgwYXZyYTBuNXpkZWJldHZ0eDVhdzU3YTByYWFhMjJ4NXIwIj4x
ODwva2V5PjwvZm9yZWlnbi1rZXlzPjxyZWYtdHlwZSBuYW1lPSJKb3VybmFsIEFydGljbGUiPjE3
PC9yZWYtdHlwZT48Y29udHJpYnV0b3JzPjxhdXRob3JzPjxhdXRob3I+U2hhaGVlbiwgTi4gSi48
L2F1dGhvcj48YXV0aG9yPk92ZXJob2x0LCBCLiBGLjwvYXV0aG9yPjxhdXRob3I+U2FtcGxpbmVy
LCBSLiBFLjwvYXV0aG9yPjxhdXRob3I+V29sZnNlbiwgSC4gQy48L2F1dGhvcj48YXV0aG9yPldh
bmcsIEsuIEsuPC9hdXRob3I+PGF1dGhvcj5GbGVpc2NoZXIsIEQuIEUuPC9hdXRob3I+PGF1dGhv
cj5TaGFybWEsIFYuIEsuPC9hdXRob3I+PGF1dGhvcj5FaXNlbiwgRy4gTS48L2F1dGhvcj48YXV0
aG9yPkZlbm5lcnR5LCBNLiBCLjwvYXV0aG9yPjxhdXRob3I+SHVudGVyLCBKLiBHLjwvYXV0aG9y
PjxhdXRob3I+QnJvbm5lciwgTS4gUC48L2F1dGhvcj48YXV0aG9yPkdvbGRibHVtLCBKLiBSLjwv
YXV0aG9yPjxhdXRob3I+QmVubmV0dCwgQS4gRS48L2F1dGhvcj48YXV0aG9yPk1hc2hpbW8sIEgu
PC9hdXRob3I+PGF1dGhvcj5Sb3Roc3RlaW4sIFIuIEkuPC9hdXRob3I+PGF1dGhvcj5Hb3Jkb24s
IFMuIFIuPC9hdXRob3I+PGF1dGhvcj5FZG11bmRvd2ljeiwgUy4gQS48L2F1dGhvcj48YXV0aG9y
Pk1hZGFuaWNrLCBSLiBELjwvYXV0aG9yPjxhdXRob3I+UGVlcnksIEEuIEYuPC9hdXRob3I+PGF1
dGhvcj5NdXRodXNhbXksIFYuIFIuPC9hdXRob3I+PGF1dGhvcj5DaGFuZywgSy4gSi48L2F1dGhv
cj48YXV0aG9yPktpbW1leSwgTS4gQi48L2F1dGhvcj48YXV0aG9yPlNwZWNobGVyLCBTLiBKLjwv
YXV0aG9yPjxhdXRob3I+U2lkZGlxdWksIEEuIEEuPC9hdXRob3I+PGF1dGhvcj5Tb3V6YSwgUi4g
Ri48L2F1dGhvcj48YXV0aG9yPkluZmFudG9saW5vLCBBLjwvYXV0aG9yPjxhdXRob3I+RHVtb3Qs
IEouIEEuPC9hdXRob3I+PGF1dGhvcj5GYWxrLCBHLiBXLjwvYXV0aG9yPjxhdXRob3I+R2FsYW5r
bywgSi4gQS48L2F1dGhvcj48YXV0aG9yPkpvYmUsIEIuIEEuPC9hdXRob3I+PGF1dGhvcj5IYXdl
cywgUi4gSC48L2F1dGhvcj48YXV0aG9yPkhvZmZtYW4sIEIuIEouPC9hdXRob3I+PGF1dGhvcj5T
aGFybWEsIFAuPC9hdXRob3I+PGF1dGhvcj5DaGFrLCBBLjwvYXV0aG9yPjxhdXRob3I+TGlnaHRk
YWxlLCBDLiBKLjwvYXV0aG9yPjwvYXV0aG9ycz48L2NvbnRyaWJ1dG9ycz48YXV0aC1hZGRyZXNz
PkNlbnRlciBmb3IgRXNvcGhhZ2VhbCBEaXNlYXNlcyBhbmQgU3dhbGxvd2luZywgVW5pdmVyc2l0
eSBvZiBOb3J0aCBDYXJvbGluYSBhdCBDaGFwZWwgSGlsbCwgQ2hhcGVsIEhpbGwsIE5DIDI3NTk5
LTcwODAsIFVTQS4gbnNoYWhlZW5AbWVkLnVuYy5lZHU8L2F1dGgtYWRkcmVzcz48dGl0bGVzPjx0
aXRsZT5EdXJhYmlsaXR5IG9mIHJhZGlvZnJlcXVlbmN5IGFibGF0aW9uIGluIEJhcnJldHQmYXBv
cztzIGVzb3BoYWd1cyB3aXRoIGR5c3BsYXNpYTwvdGl0bGU+PHNlY29uZGFyeS10aXRsZT5HYXN0
cm9lbnRlcm9sb2d5PC9zZWNvbmRhcnktdGl0bGU+PGFsdC10aXRsZT5HYXN0cm9lbnRlcm9sb2d5
PC9hbHQtdGl0bGU+PC90aXRsZXM+PHBlcmlvZGljYWw+PGZ1bGwtdGl0bGU+R2FzdHJvZW50ZXJv
bG9neTwvZnVsbC10aXRsZT48L3BlcmlvZGljYWw+PGFsdC1wZXJpb2RpY2FsPjxmdWxsLXRpdGxl
Pkdhc3Ryb2VudGVyb2xvZ3k8L2Z1bGwtdGl0bGU+PC9hbHQtcGVyaW9kaWNhbD48cGFnZXM+NDYw
LTg8L3BhZ2VzPjx2b2x1bWU+MTQxPC92b2x1bWU+PG51bWJlcj4yPC9udW1iZXI+PGVkaXRpb24+
MjAxMS8wNi8xODwvZWRpdGlvbj48a2V5d29yZHM+PGtleXdvcmQ+QWRlbm9jYXJjaW5vbWEvKnBh
dGhvbG9neTwva2V5d29yZD48a2V5d29yZD5BZ2VkPC9rZXl3b3JkPjxrZXl3b3JkPkJhcnJldHQg
RXNvcGhhZ3VzLypwYXRob2xvZ3kvKnN1cmdlcnk8L2tleXdvcmQ+PGtleXdvcmQ+Q2F0aGV0ZXIg
QWJsYXRpb24vYWR2ZXJzZSBlZmZlY3RzLyptZXRob2RzPC9rZXl3b3JkPjxrZXl3b3JkPkRpc2Vh
c2UgUHJvZ3Jlc3Npb248L2tleXdvcmQ+PGtleXdvcmQ+RXBpdGhlbGl1bS9wYXRob2xvZ3k8L2tl
eXdvcmQ+PGtleXdvcmQ+RXNvcGhhZ2VhbCBOZW9wbGFzbXMvKnBhdGhvbG9neTwva2V5d29yZD48
a2V5d29yZD5Fc29waGFnb3Njb3B5PC9rZXl3b3JkPjxrZXl3b3JkPkVzb3BoYWd1cy8qcGF0aG9s
b2d5PC9rZXl3b3JkPjxrZXl3b3JkPkZlbWFsZTwva2V5d29yZD48a2V5d29yZD5IdW1hbnM8L2tl
eXdvcmQ+PGtleXdvcmQ+S2FwbGFuLU1laWVyIEVzdGltYXRlPC9rZXl3b3JkPjxrZXl3b3JkPkxv
bmdpdHVkaW5hbCBTdHVkaWVzPC9rZXl3b3JkPjxrZXl3b3JkPk1hbGU8L2tleXdvcmQ+PGtleXdv
cmQ+TWV0YXBsYXNpYTwva2V5d29yZD48a2V5d29yZD5NaWRkbGUgQWdlZDwva2V5d29yZD48a2V5
d29yZD5QcmVjYW5jZXJvdXMgQ29uZGl0aW9ucy8qcGF0aG9sb2d5LypzdXJnZXJ5PC9rZXl3b3Jk
PjxrZXl3b3JkPlRyZWF0bWVudCBPdXRjb21lPC9rZXl3b3JkPjxrZXl3b3JkPipXYXRjaGZ1bCBX
YWl0aW5nPC9rZXl3b3JkPjwva2V5d29yZHM+PGRhdGVzPjx5ZWFyPjIwMTE8L3llYXI+PHB1Yi1k
YXRlcz48ZGF0ZT5BdWc8L2RhdGU+PC9wdWItZGF0ZXM+PC9kYXRlcz48aXNibj4xNTI4LTAwMTIg
KEVsZWN0cm9uaWMpJiN4RDswMDE2LTUwODUgKExpbmtpbmcpPC9pc2JuPjxhY2Nlc3Npb24tbnVt
PjIxNjc5NzEyPC9hY2Nlc3Npb24tbnVtPjx3b3JrLXR5cGU+TXVsdGljZW50ZXIgU3R1ZHkmI3hE
O1JhbmRvbWl6ZWQgQ29udHJvbGxlZCBUcmlhbCYjeEQ7UmVzZWFyY2ggU3VwcG9ydCwgTi5JLkgu
LCBFeHRyYW11cmFsJiN4RDtSZXNlYXJjaCBTdXBwb3J0LCBOb24tVS5TLiBHb3YmYXBvczt0PC93
b3JrLXR5cGU+PHVybHM+PHJlbGF0ZWQtdXJscz48dXJsPmh0dHA6Ly93d3cubmNiaS5ubG0ubmlo
Lmdvdi9wdWJtZWQvMjE2Nzk3MTI8L3VybD48L3JlbGF0ZWQtdXJscz48L3VybHM+PGN1c3RvbTI+
MzE1MjY1ODwvY3VzdG9tMj48ZWxlY3Ryb25pYy1yZXNvdXJjZS1udW0+MTAuMTA1My9qLmdhc3Ry
by4yMDExLjA0LjA2MTwvZWxlY3Ryb25pYy1yZXNvdXJjZS1udW0+PGxhbmd1YWdlPmVuZzwvbGFu
Z3VhZ2U+PC9yZWNvcmQ+PC9DaXRlPjwvRW5kTm90ZT5=
</w:fldData>
        </w:fldChar>
      </w:r>
      <w:r w:rsidR="009F176D">
        <w:rPr>
          <w:rFonts w:ascii="Times New Roman" w:hAnsi="Times New Roman" w:cs="Times New Roman"/>
        </w:rPr>
        <w:instrText xml:space="preserve"> ADDIN EN.CITE.DATA </w:instrText>
      </w:r>
      <w:r w:rsidR="009F176D">
        <w:rPr>
          <w:rFonts w:ascii="Times New Roman" w:hAnsi="Times New Roman" w:cs="Times New Roman"/>
        </w:rPr>
      </w:r>
      <w:r w:rsidR="009F176D">
        <w:rPr>
          <w:rFonts w:ascii="Times New Roman" w:hAnsi="Times New Roman" w:cs="Times New Roman"/>
        </w:rPr>
        <w:fldChar w:fldCharType="end"/>
      </w:r>
      <w:r w:rsidRPr="001E6BE0">
        <w:rPr>
          <w:rFonts w:ascii="Times New Roman" w:hAnsi="Times New Roman" w:cs="Times New Roman"/>
        </w:rPr>
      </w:r>
      <w:r w:rsidRPr="001E6BE0">
        <w:rPr>
          <w:rFonts w:ascii="Times New Roman" w:hAnsi="Times New Roman" w:cs="Times New Roman"/>
        </w:rPr>
        <w:fldChar w:fldCharType="separate"/>
      </w:r>
      <w:r>
        <w:rPr>
          <w:rFonts w:ascii="Times New Roman" w:hAnsi="Times New Roman" w:cs="Times New Roman"/>
          <w:noProof/>
        </w:rPr>
        <w:t>(</w:t>
      </w:r>
      <w:hyperlink w:anchor="_ENREF_13" w:tooltip="Orman, 2013 #13" w:history="1">
        <w:r>
          <w:rPr>
            <w:rFonts w:ascii="Times New Roman" w:hAnsi="Times New Roman" w:cs="Times New Roman"/>
            <w:noProof/>
          </w:rPr>
          <w:t>13</w:t>
        </w:r>
      </w:hyperlink>
      <w:r>
        <w:rPr>
          <w:rFonts w:ascii="Times New Roman" w:hAnsi="Times New Roman" w:cs="Times New Roman"/>
          <w:noProof/>
        </w:rPr>
        <w:t xml:space="preserve">, </w:t>
      </w:r>
      <w:hyperlink w:anchor="_ENREF_19" w:tooltip="Shaheen, 2011 #18" w:history="1">
        <w:r>
          <w:rPr>
            <w:rFonts w:ascii="Times New Roman" w:hAnsi="Times New Roman" w:cs="Times New Roman"/>
            <w:noProof/>
          </w:rPr>
          <w:t>19</w:t>
        </w:r>
      </w:hyperlink>
      <w:r>
        <w:rPr>
          <w:rFonts w:ascii="Times New Roman" w:hAnsi="Times New Roman" w:cs="Times New Roman"/>
          <w:noProof/>
        </w:rPr>
        <w:t>)</w:t>
      </w:r>
      <w:r w:rsidRPr="001E6BE0">
        <w:rPr>
          <w:rFonts w:ascii="Times New Roman" w:hAnsi="Times New Roman" w:cs="Times New Roman"/>
        </w:rPr>
        <w:fldChar w:fldCharType="end"/>
      </w: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 xml:space="preserve">FHCRC: Survival </w:t>
      </w: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ab/>
        <w:t xml:space="preserve">Once a malignant lesion is screen-detected, a BE patient may undergo surgery, whether endoscopic mucosal resection or </w:t>
      </w:r>
      <w:proofErr w:type="spellStart"/>
      <w:r w:rsidRPr="001E6BE0">
        <w:rPr>
          <w:rFonts w:ascii="Times New Roman" w:hAnsi="Times New Roman" w:cs="Times New Roman"/>
        </w:rPr>
        <w:t>esophagectomy</w:t>
      </w:r>
      <w:proofErr w:type="spellEnd"/>
      <w:r w:rsidRPr="001E6BE0">
        <w:rPr>
          <w:rFonts w:ascii="Times New Roman" w:hAnsi="Times New Roman" w:cs="Times New Roman"/>
        </w:rPr>
        <w:t xml:space="preserve">. We utilized data from the Surveillance and End Results (SEER) registry to model cause-specific EAC survival and cure rate trends by stage and age category (ages 50-59, 60-60, 70-84), using the CANSURV program to fit a lognormal survival model to the data while estimating temporal trends on the shape and cure parameters. </w:t>
      </w:r>
      <w:r w:rsidRPr="001E6BE0">
        <w:rPr>
          <w:rFonts w:ascii="Times New Roman" w:hAnsi="Times New Roman" w:cs="Times New Roman"/>
        </w:rPr>
        <w:fldChar w:fldCharType="begin">
          <w:fldData xml:space="preserve">PEVuZE5vdGU+PENpdGU+PEF1dGhvcj5ZdTwvQXV0aG9yPjxZZWFyPjIwMDU8L1llYXI+PFJlY051
bT40MDwvUmVjTnVtPjxEaXNwbGF5VGV4dD4oNDkpPC9EaXNwbGF5VGV4dD48cmVjb3JkPjxyZWMt
bnVtYmVyPjQwPC9yZWMtbnVtYmVyPjxmb3JlaWduLWtleXM+PGtleSBhcHA9IkVOIiBkYi1pZD0i
eHgwYXZyYTBuNXpkZWJldHZ0eDVhdzU3YTByYWFhMjJ4NXIwIj40MDwva2V5PjwvZm9yZWlnbi1r
ZXlzPjxyZWYtdHlwZSBuYW1lPSJKb3VybmFsIEFydGljbGUiPjE3PC9yZWYtdHlwZT48Y29udHJp
YnV0b3JzPjxhdXRob3JzPjxhdXRob3I+WXUsIEIuPC9hdXRob3I+PGF1dGhvcj5UaXdhcmksIFIu
IEMuPC9hdXRob3I+PGF1dGhvcj5Dcm9uaW4sIEsuIEEuPC9hdXRob3I+PGF1dGhvcj5NY0RvbmFs
ZCwgQy48L2F1dGhvcj48YXV0aG9yPkZldWVyLCBFLiBKLjwvYXV0aG9yPjwvYXV0aG9ycz48L2Nv
bnRyaWJ1dG9ycz48YXV0aC1hZGRyZXNzPkluZm9ybWF0aW9uIE1hbmFnZW1lbnQgU2VydmljZXMs
IEluYy4sIDEyNTAxIFByb3NwZXJpdHkgRHIuIFN1aXRlIDIwMCwgU2lsdmVyIFNwcmluZywgTUQg
MjA5MDQsIFVTQS48L2F1dGgtYWRkcmVzcz48dGl0bGVzPjx0aXRsZT5DQU5TVVJWOiBBIFdpbmRv
d3MgcHJvZ3JhbSBmb3IgcG9wdWxhdGlvbi1iYXNlZCBjYW5jZXIgc3Vydml2YWwgYW5hbHlzaXM8
L3RpdGxlPjxzZWNvbmRhcnktdGl0bGU+Q29tcHV0IE1ldGhvZHMgUHJvZ3JhbXMgQmlvbWVkPC9z
ZWNvbmRhcnktdGl0bGU+PGFsdC10aXRsZT5Db21wdXRlciBtZXRob2RzIGFuZCBwcm9ncmFtcyBp
biBiaW9tZWRpY2luZTwvYWx0LXRpdGxlPjwvdGl0bGVzPjxwZXJpb2RpY2FsPjxmdWxsLXRpdGxl
PkNvbXB1dCBNZXRob2RzIFByb2dyYW1zIEJpb21lZDwvZnVsbC10aXRsZT48YWJici0xPkNvbXB1
dGVyIG1ldGhvZHMgYW5kIHByb2dyYW1zIGluIGJpb21lZGljaW5lPC9hYmJyLTE+PC9wZXJpb2Rp
Y2FsPjxhbHQtcGVyaW9kaWNhbD48ZnVsbC10aXRsZT5Db21wdXQgTWV0aG9kcyBQcm9ncmFtcyBC
aW9tZWQ8L2Z1bGwtdGl0bGU+PGFiYnItMT5Db21wdXRlciBtZXRob2RzIGFuZCBwcm9ncmFtcyBp
biBiaW9tZWRpY2luZTwvYWJici0xPjwvYWx0LXBlcmlvZGljYWw+PHBhZ2VzPjE5NS0yMDM8L3Bh
Z2VzPjx2b2x1bWU+ODA8L3ZvbHVtZT48bnVtYmVyPjM8L251bWJlcj48ZWRpdGlvbj4yMDA1LzEx
LzAxPC9lZGl0aW9uPjxrZXl3b3Jkcz48a2V5d29yZD5Db21wdXRlciBTaW11bGF0aW9uPC9rZXl3
b3JkPjxrZXl3b3JkPkRhdGEgSW50ZXJwcmV0YXRpb24sIFN0YXRpc3RpY2FsPC9rZXl3b3JkPjxr
ZXl3b3JkPkh1bWFuczwva2V5d29yZD48a2V5d29yZD4qTW9kZWxzLCBCaW9sb2dpY2FsPC9rZXl3
b3JkPjxrZXl3b3JkPk1vZGVscywgU3RhdGlzdGljYWw8L2tleXdvcmQ+PGtleXdvcmQ+TmVvcGxh
c21zLyptb3J0YWxpdHk8L2tleXdvcmQ+PGtleXdvcmQ+KlBvcHVsYXRpb24gRHluYW1pY3M8L2tl
eXdvcmQ+PGtleXdvcmQ+KlByb3BvcnRpb25hbCBIYXphcmRzIE1vZGVsczwva2V5d29yZD48a2V5
d29yZD5SaXNrIEFzc2Vzc21lbnQvKm1ldGhvZHM8L2tleXdvcmQ+PGtleXdvcmQ+UmlzayBGYWN0
b3JzPC9rZXl3b3JkPjxrZXl3b3JkPipTb2Z0d2FyZTwva2V5d29yZD48a2V5d29yZD4qU3Vydml2
YWwgQW5hbHlzaXM8L2tleXdvcmQ+PGtleXdvcmQ+U3Vydml2YWwgUmF0ZTwva2V5d29yZD48L2tl
eXdvcmRzPjxkYXRlcz48eWVhcj4yMDA1PC95ZWFyPjxwdWItZGF0ZXM+PGRhdGU+RGVjPC9kYXRl
PjwvcHViLWRhdGVzPjwvZGF0ZXM+PGlzYm4+MDE2OS0yNjA3IChQcmludCkmI3hEOzAxNjktMjYw
NyAoTGlua2luZyk8L2lzYm4+PGFjY2Vzc2lvbi1udW0+MTYyNTcwODA8L2FjY2Vzc2lvbi1udW0+
PHVybHM+PHJlbGF0ZWQtdXJscz48dXJsPmh0dHA6Ly93d3cubmNiaS5ubG0ubmloLmdvdi9wdWJt
ZWQvMTYyNTcwODA8L3VybD48L3JlbGF0ZWQtdXJscz48L3VybHM+PGVsZWN0cm9uaWMtcmVzb3Vy
Y2UtbnVtPjEwLjEwMTYvai5jbXBiLjIwMDUuMDguMDAyPC9lbGVjdHJvbmljLXJlc291cmNlLW51
bT48bGFuZ3VhZ2U+ZW5nPC9sYW5ndWFnZT48L3JlY29yZD48L0NpdGU+PC9FbmROb3RlPn==
</w:fldData>
        </w:fldChar>
      </w:r>
      <w:r w:rsidR="009F176D">
        <w:rPr>
          <w:rFonts w:ascii="Times New Roman" w:hAnsi="Times New Roman" w:cs="Times New Roman"/>
        </w:rPr>
        <w:instrText xml:space="preserve"> ADDIN EN.CITE </w:instrText>
      </w:r>
      <w:r w:rsidR="009F176D">
        <w:rPr>
          <w:rFonts w:ascii="Times New Roman" w:hAnsi="Times New Roman" w:cs="Times New Roman"/>
        </w:rPr>
        <w:fldChar w:fldCharType="begin">
          <w:fldData xml:space="preserve">PEVuZE5vdGU+PENpdGU+PEF1dGhvcj5ZdTwvQXV0aG9yPjxZZWFyPjIwMDU8L1llYXI+PFJlY051
bT40MDwvUmVjTnVtPjxEaXNwbGF5VGV4dD4oNDkpPC9EaXNwbGF5VGV4dD48cmVjb3JkPjxyZWMt
bnVtYmVyPjQwPC9yZWMtbnVtYmVyPjxmb3JlaWduLWtleXM+PGtleSBhcHA9IkVOIiBkYi1pZD0i
eHgwYXZyYTBuNXpkZWJldHZ0eDVhdzU3YTByYWFhMjJ4NXIwIj40MDwva2V5PjwvZm9yZWlnbi1r
ZXlzPjxyZWYtdHlwZSBuYW1lPSJKb3VybmFsIEFydGljbGUiPjE3PC9yZWYtdHlwZT48Y29udHJp
YnV0b3JzPjxhdXRob3JzPjxhdXRob3I+WXUsIEIuPC9hdXRob3I+PGF1dGhvcj5UaXdhcmksIFIu
IEMuPC9hdXRob3I+PGF1dGhvcj5Dcm9uaW4sIEsuIEEuPC9hdXRob3I+PGF1dGhvcj5NY0RvbmFs
ZCwgQy48L2F1dGhvcj48YXV0aG9yPkZldWVyLCBFLiBKLjwvYXV0aG9yPjwvYXV0aG9ycz48L2Nv
bnRyaWJ1dG9ycz48YXV0aC1hZGRyZXNzPkluZm9ybWF0aW9uIE1hbmFnZW1lbnQgU2VydmljZXMs
IEluYy4sIDEyNTAxIFByb3NwZXJpdHkgRHIuIFN1aXRlIDIwMCwgU2lsdmVyIFNwcmluZywgTUQg
MjA5MDQsIFVTQS48L2F1dGgtYWRkcmVzcz48dGl0bGVzPjx0aXRsZT5DQU5TVVJWOiBBIFdpbmRv
d3MgcHJvZ3JhbSBmb3IgcG9wdWxhdGlvbi1iYXNlZCBjYW5jZXIgc3Vydml2YWwgYW5hbHlzaXM8
L3RpdGxlPjxzZWNvbmRhcnktdGl0bGU+Q29tcHV0IE1ldGhvZHMgUHJvZ3JhbXMgQmlvbWVkPC9z
ZWNvbmRhcnktdGl0bGU+PGFsdC10aXRsZT5Db21wdXRlciBtZXRob2RzIGFuZCBwcm9ncmFtcyBp
biBiaW9tZWRpY2luZTwvYWx0LXRpdGxlPjwvdGl0bGVzPjxwZXJpb2RpY2FsPjxmdWxsLXRpdGxl
PkNvbXB1dCBNZXRob2RzIFByb2dyYW1zIEJpb21lZDwvZnVsbC10aXRsZT48YWJici0xPkNvbXB1
dGVyIG1ldGhvZHMgYW5kIHByb2dyYW1zIGluIGJpb21lZGljaW5lPC9hYmJyLTE+PC9wZXJpb2Rp
Y2FsPjxhbHQtcGVyaW9kaWNhbD48ZnVsbC10aXRsZT5Db21wdXQgTWV0aG9kcyBQcm9ncmFtcyBC
aW9tZWQ8L2Z1bGwtdGl0bGU+PGFiYnItMT5Db21wdXRlciBtZXRob2RzIGFuZCBwcm9ncmFtcyBp
biBiaW9tZWRpY2luZTwvYWJici0xPjwvYWx0LXBlcmlvZGljYWw+PHBhZ2VzPjE5NS0yMDM8L3Bh
Z2VzPjx2b2x1bWU+ODA8L3ZvbHVtZT48bnVtYmVyPjM8L251bWJlcj48ZWRpdGlvbj4yMDA1LzEx
LzAxPC9lZGl0aW9uPjxrZXl3b3Jkcz48a2V5d29yZD5Db21wdXRlciBTaW11bGF0aW9uPC9rZXl3
b3JkPjxrZXl3b3JkPkRhdGEgSW50ZXJwcmV0YXRpb24sIFN0YXRpc3RpY2FsPC9rZXl3b3JkPjxr
ZXl3b3JkPkh1bWFuczwva2V5d29yZD48a2V5d29yZD4qTW9kZWxzLCBCaW9sb2dpY2FsPC9rZXl3
b3JkPjxrZXl3b3JkPk1vZGVscywgU3RhdGlzdGljYWw8L2tleXdvcmQ+PGtleXdvcmQ+TmVvcGxh
c21zLyptb3J0YWxpdHk8L2tleXdvcmQ+PGtleXdvcmQ+KlBvcHVsYXRpb24gRHluYW1pY3M8L2tl
eXdvcmQ+PGtleXdvcmQ+KlByb3BvcnRpb25hbCBIYXphcmRzIE1vZGVsczwva2V5d29yZD48a2V5
d29yZD5SaXNrIEFzc2Vzc21lbnQvKm1ldGhvZHM8L2tleXdvcmQ+PGtleXdvcmQ+UmlzayBGYWN0
b3JzPC9rZXl3b3JkPjxrZXl3b3JkPipTb2Z0d2FyZTwva2V5d29yZD48a2V5d29yZD4qU3Vydml2
YWwgQW5hbHlzaXM8L2tleXdvcmQ+PGtleXdvcmQ+U3Vydml2YWwgUmF0ZTwva2V5d29yZD48L2tl
eXdvcmRzPjxkYXRlcz48eWVhcj4yMDA1PC95ZWFyPjxwdWItZGF0ZXM+PGRhdGU+RGVjPC9kYXRl
PjwvcHViLWRhdGVzPjwvZGF0ZXM+PGlzYm4+MDE2OS0yNjA3IChQcmludCkmI3hEOzAxNjktMjYw
NyAoTGlua2luZyk8L2lzYm4+PGFjY2Vzc2lvbi1udW0+MTYyNTcwODA8L2FjY2Vzc2lvbi1udW0+
PHVybHM+PHJlbGF0ZWQtdXJscz48dXJsPmh0dHA6Ly93d3cubmNiaS5ubG0ubmloLmdvdi9wdWJt
ZWQvMTYyNTcwODA8L3VybD48L3JlbGF0ZWQtdXJscz48L3VybHM+PGVsZWN0cm9uaWMtcmVzb3Vy
Y2UtbnVtPjEwLjEwMTYvai5jbXBiLjIwMDUuMDguMDAyPC9lbGVjdHJvbmljLXJlc291cmNlLW51
bT48bGFuZ3VhZ2U+ZW5nPC9sYW5ndWFnZT48L3JlY29yZD48L0NpdGU+PC9FbmROb3RlPn==
</w:fldData>
        </w:fldChar>
      </w:r>
      <w:r w:rsidR="009F176D">
        <w:rPr>
          <w:rFonts w:ascii="Times New Roman" w:hAnsi="Times New Roman" w:cs="Times New Roman"/>
        </w:rPr>
        <w:instrText xml:space="preserve"> ADDIN EN.CITE.DATA </w:instrText>
      </w:r>
      <w:r w:rsidR="009F176D">
        <w:rPr>
          <w:rFonts w:ascii="Times New Roman" w:hAnsi="Times New Roman" w:cs="Times New Roman"/>
        </w:rPr>
      </w:r>
      <w:r w:rsidR="009F176D">
        <w:rPr>
          <w:rFonts w:ascii="Times New Roman" w:hAnsi="Times New Roman" w:cs="Times New Roman"/>
        </w:rPr>
        <w:fldChar w:fldCharType="end"/>
      </w:r>
      <w:r w:rsidRPr="001E6BE0">
        <w:rPr>
          <w:rFonts w:ascii="Times New Roman" w:hAnsi="Times New Roman" w:cs="Times New Roman"/>
        </w:rPr>
      </w:r>
      <w:r w:rsidRPr="001E6BE0">
        <w:rPr>
          <w:rFonts w:ascii="Times New Roman" w:hAnsi="Times New Roman" w:cs="Times New Roman"/>
        </w:rPr>
        <w:fldChar w:fldCharType="separate"/>
      </w:r>
      <w:r>
        <w:rPr>
          <w:rFonts w:ascii="Times New Roman" w:hAnsi="Times New Roman" w:cs="Times New Roman"/>
          <w:noProof/>
        </w:rPr>
        <w:t>(</w:t>
      </w:r>
      <w:hyperlink w:anchor="_ENREF_49" w:tooltip="Yu, 2005 #40" w:history="1">
        <w:r>
          <w:rPr>
            <w:rFonts w:ascii="Times New Roman" w:hAnsi="Times New Roman" w:cs="Times New Roman"/>
            <w:noProof/>
          </w:rPr>
          <w:t>49</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 xml:space="preserve"> After controlling for age and stage, survival for men and women did not differ significantly, but the estimated cure rates for local stage diagnosis were significantly higher than for regional or distant diagnoses. The all-stage EAC survival curves for each age category were adjusted to account for ablation or surgical resection by fitting the cure model parameters based on a study of 430 patients undergoing ablation and 1586 patients undergoing </w:t>
      </w:r>
      <w:proofErr w:type="spellStart"/>
      <w:r w:rsidRPr="001E6BE0">
        <w:rPr>
          <w:rFonts w:ascii="Times New Roman" w:hAnsi="Times New Roman" w:cs="Times New Roman"/>
        </w:rPr>
        <w:t>esophagectomy</w:t>
      </w:r>
      <w:proofErr w:type="spellEnd"/>
      <w:r w:rsidRPr="001E6BE0">
        <w:rPr>
          <w:rFonts w:ascii="Times New Roman" w:hAnsi="Times New Roman" w:cs="Times New Roman"/>
        </w:rPr>
        <w:t xml:space="preserve"> that were identified in SEER between 1998-2009 </w:t>
      </w:r>
      <w:r w:rsidRPr="001E6BE0">
        <w:rPr>
          <w:rFonts w:ascii="Times New Roman" w:hAnsi="Times New Roman" w:cs="Times New Roman"/>
        </w:rPr>
        <w:fldChar w:fldCharType="begin">
          <w:fldData xml:space="preserve">PEVuZE5vdGU+PENpdGU+PEF1dGhvcj5XYW5pPC9BdXRob3I+PFllYXI+MjAxNDwvWWVhcj48UmVj
TnVtPjQxPC9SZWNOdW0+PERpc3BsYXlUZXh0Pig1MCk8L0Rpc3BsYXlUZXh0PjxyZWNvcmQ+PHJl
Yy1udW1iZXI+NDE8L3JlYy1udW1iZXI+PGZvcmVpZ24ta2V5cz48a2V5IGFwcD0iRU4iIGRiLWlk
PSJ4eDBhdnJhMG41emRlYmV0dnR4NWF3NTdhMHJhYWEyMng1cjAiPjQxPC9rZXk+PC9mb3JlaWdu
LWtleXM+PHJlZi10eXBlIG5hbWU9IkpvdXJuYWwgQXJ0aWNsZSI+MTc8L3JlZi10eXBlPjxjb250
cmlidXRvcnM+PGF1dGhvcnM+PGF1dGhvcj5XYW5pLCBTLjwvYXV0aG9yPjxhdXRob3I+RHJhaG9z
LCBKLjwvYXV0aG9yPjxhdXRob3I+Q29vaywgTS4gQi48L2F1dGhvcj48YXV0aG9yPlJhc3RvZ2ks
IEEuPC9hdXRob3I+PGF1dGhvcj5CYW5zYWwsIEEuPC9hdXRob3I+PGF1dGhvcj5ZZW4sIFIuPC9h
dXRob3I+PGF1dGhvcj5TaGFybWEsIFAuPC9hdXRob3I+PGF1dGhvcj5EYXMsIEEuPC9hdXRob3I+
PC9hdXRob3JzPjwvY29udHJpYnV0b3JzPjxhdXRoLWFkZHJlc3M+RGl2aXNpb24gb2YgR2FzdHJv
ZW50ZXJvbG9neSBhbmQgSGVwYXRvbG9neSwgVW5pdmVyc2l0eSBvZiBDb2xvcmFkbyBBbnNjaHV0
eiBNZWRpY2FsIENlbnRlciwgQXVyb3JhLCBDb2xvcmFkbywgVVNBOyBEaXZpc2lvbiBvZiBHYXN0
cm9lbnRlcm9sb2d5IGFuZCBIZXBhdG9sb2d5LCBWZXRlcmFucyBBZmZhaXJzIE1lZGljYWwgQ2Vu
dGVyLCBEZW52ZXIsIENvbG9yYWRvLCBVU0EuJiN4RDtEaXZpc2lvbiBvZiBDYW5jZXIgRXBpZGVt
aW9sb2d5IGFuZCBHZW5ldGljcywgTmF0aW9uYWwgQ2FuY2VyIEluc3RpdHV0ZSwgUm9ja3ZpbGxl
LCBNYXJ5bGFuZCwgVVNBLiYjeEQ7VW5pdmVyc2l0eSBvZiBLYW5zYXMgU2Nob29sIG9mIE1lZGlj
aW5lIGFuZCBWZXRlcmFucyBBZmZhaXJzIE1lZGljYWwgQ2VudGVyLCBLYW5zYXMgQ2l0eSwgTWlz
c291cmksIFVTQS4mI3hEO0RpdmlzaW9uIG9mIEdhc3Ryb2VudGVyb2xvZ3kgYW5kIEhlcGF0b2xv
Z3ksIFVuaXZlcnNpdHkgb2YgQ29sb3JhZG8gQW5zY2h1dHogTWVkaWNhbCBDZW50ZXIsIEF1cm9y
YSwgQ29sb3JhZG8sIFVTQS4mI3hEO0FyaXpvbmEgQ2VudGVyIGZvciBEaWdlc3RpdmUgSGVhbHRo
LCBHaWxiZXJ0LCBBcml6b25hLCBVU0EuPC9hdXRoLWFkZHJlc3M+PHRpdGxlcz48dGl0bGU+Q29t
cGFyaXNvbiBvZiBlbmRvc2NvcGljIHRoZXJhcGllcyBhbmQgc3VyZ2ljYWwgcmVzZWN0aW9uIGlu
IHBhdGllbnRzIHdpdGggZWFybHkgZXNvcGhhZ2VhbCBjYW5jZXI6IGEgcG9wdWxhdGlvbi1iYXNl
ZCBzdHVkeTwvdGl0bGU+PHNlY29uZGFyeS10aXRsZT5HYXN0cm9pbnRlc3QgRW5kb3NjPC9zZWNv
bmRhcnktdGl0bGU+PGFsdC10aXRsZT5HYXN0cm9pbnRlc3RpbmFsIGVuZG9zY29weTwvYWx0LXRp
dGxlPjwvdGl0bGVzPjxwZXJpb2RpY2FsPjxmdWxsLXRpdGxlPkdhc3Ryb2ludGVzdCBFbmRvc2M8
L2Z1bGwtdGl0bGU+PC9wZXJpb2RpY2FsPjxwYWdlcz4yMjQtMjMyIGUxPC9wYWdlcz48dm9sdW1l
Pjc5PC92b2x1bWU+PG51bWJlcj4yPC9udW1iZXI+PGVkaXRpb24+MjAxMy8wOS8yNjwvZWRpdGlv
bj48ZGF0ZXM+PHllYXI+MjAxNDwveWVhcj48cHViLWRhdGVzPjxkYXRlPkZlYjwvZGF0ZT48L3B1
Yi1kYXRlcz48L2RhdGVzPjxpc2JuPjEwOTctNjc3OSAoRWxlY3Ryb25pYykmI3hEOzAwMTYtNTEw
NyAoTGlua2luZyk8L2lzYm4+PGFjY2Vzc2lvbi1udW0+MjQwNjA1MTk8L2FjY2Vzc2lvbi1udW0+
PHdvcmstdHlwZT5SZXNlYXJjaCBTdXBwb3J0LCBOb24tVS5TLiBHb3YmYXBvczt0PC93b3JrLXR5
cGU+PHVybHM+PHJlbGF0ZWQtdXJscz48dXJsPmh0dHA6Ly93d3cubmNiaS5ubG0ubmloLmdvdi9w
dWJtZWQvMjQwNjA1MTk8L3VybD48L3JlbGF0ZWQtdXJscz48L3VybHM+PGN1c3RvbTI+NDA0MjY3
ODwvY3VzdG9tMj48ZWxlY3Ryb25pYy1yZXNvdXJjZS1udW0+MTAuMTAxNi9qLmdpZS4yMDEzLjA4
LjAwMjwvZWxlY3Ryb25pYy1yZXNvdXJjZS1udW0+PGxhbmd1YWdlPmVuZzwvbGFuZ3VhZ2U+PC9y
ZWNvcmQ+PC9DaXRlPjwvRW5kTm90ZT4A
</w:fldData>
        </w:fldChar>
      </w:r>
      <w:r w:rsidR="009F176D">
        <w:rPr>
          <w:rFonts w:ascii="Times New Roman" w:hAnsi="Times New Roman" w:cs="Times New Roman"/>
        </w:rPr>
        <w:instrText xml:space="preserve"> ADDIN EN.CITE </w:instrText>
      </w:r>
      <w:r w:rsidR="009F176D">
        <w:rPr>
          <w:rFonts w:ascii="Times New Roman" w:hAnsi="Times New Roman" w:cs="Times New Roman"/>
        </w:rPr>
        <w:fldChar w:fldCharType="begin">
          <w:fldData xml:space="preserve">PEVuZE5vdGU+PENpdGU+PEF1dGhvcj5XYW5pPC9BdXRob3I+PFllYXI+MjAxNDwvWWVhcj48UmVj
TnVtPjQxPC9SZWNOdW0+PERpc3BsYXlUZXh0Pig1MCk8L0Rpc3BsYXlUZXh0PjxyZWNvcmQ+PHJl
Yy1udW1iZXI+NDE8L3JlYy1udW1iZXI+PGZvcmVpZ24ta2V5cz48a2V5IGFwcD0iRU4iIGRiLWlk
PSJ4eDBhdnJhMG41emRlYmV0dnR4NWF3NTdhMHJhYWEyMng1cjAiPjQxPC9rZXk+PC9mb3JlaWdu
LWtleXM+PHJlZi10eXBlIG5hbWU9IkpvdXJuYWwgQXJ0aWNsZSI+MTc8L3JlZi10eXBlPjxjb250
cmlidXRvcnM+PGF1dGhvcnM+PGF1dGhvcj5XYW5pLCBTLjwvYXV0aG9yPjxhdXRob3I+RHJhaG9z
LCBKLjwvYXV0aG9yPjxhdXRob3I+Q29vaywgTS4gQi48L2F1dGhvcj48YXV0aG9yPlJhc3RvZ2ks
IEEuPC9hdXRob3I+PGF1dGhvcj5CYW5zYWwsIEEuPC9hdXRob3I+PGF1dGhvcj5ZZW4sIFIuPC9h
dXRob3I+PGF1dGhvcj5TaGFybWEsIFAuPC9hdXRob3I+PGF1dGhvcj5EYXMsIEEuPC9hdXRob3I+
PC9hdXRob3JzPjwvY29udHJpYnV0b3JzPjxhdXRoLWFkZHJlc3M+RGl2aXNpb24gb2YgR2FzdHJv
ZW50ZXJvbG9neSBhbmQgSGVwYXRvbG9neSwgVW5pdmVyc2l0eSBvZiBDb2xvcmFkbyBBbnNjaHV0
eiBNZWRpY2FsIENlbnRlciwgQXVyb3JhLCBDb2xvcmFkbywgVVNBOyBEaXZpc2lvbiBvZiBHYXN0
cm9lbnRlcm9sb2d5IGFuZCBIZXBhdG9sb2d5LCBWZXRlcmFucyBBZmZhaXJzIE1lZGljYWwgQ2Vu
dGVyLCBEZW52ZXIsIENvbG9yYWRvLCBVU0EuJiN4RDtEaXZpc2lvbiBvZiBDYW5jZXIgRXBpZGVt
aW9sb2d5IGFuZCBHZW5ldGljcywgTmF0aW9uYWwgQ2FuY2VyIEluc3RpdHV0ZSwgUm9ja3ZpbGxl
LCBNYXJ5bGFuZCwgVVNBLiYjeEQ7VW5pdmVyc2l0eSBvZiBLYW5zYXMgU2Nob29sIG9mIE1lZGlj
aW5lIGFuZCBWZXRlcmFucyBBZmZhaXJzIE1lZGljYWwgQ2VudGVyLCBLYW5zYXMgQ2l0eSwgTWlz
c291cmksIFVTQS4mI3hEO0RpdmlzaW9uIG9mIEdhc3Ryb2VudGVyb2xvZ3kgYW5kIEhlcGF0b2xv
Z3ksIFVuaXZlcnNpdHkgb2YgQ29sb3JhZG8gQW5zY2h1dHogTWVkaWNhbCBDZW50ZXIsIEF1cm9y
YSwgQ29sb3JhZG8sIFVTQS4mI3hEO0FyaXpvbmEgQ2VudGVyIGZvciBEaWdlc3RpdmUgSGVhbHRo
LCBHaWxiZXJ0LCBBcml6b25hLCBVU0EuPC9hdXRoLWFkZHJlc3M+PHRpdGxlcz48dGl0bGU+Q29t
cGFyaXNvbiBvZiBlbmRvc2NvcGljIHRoZXJhcGllcyBhbmQgc3VyZ2ljYWwgcmVzZWN0aW9uIGlu
IHBhdGllbnRzIHdpdGggZWFybHkgZXNvcGhhZ2VhbCBjYW5jZXI6IGEgcG9wdWxhdGlvbi1iYXNl
ZCBzdHVkeTwvdGl0bGU+PHNlY29uZGFyeS10aXRsZT5HYXN0cm9pbnRlc3QgRW5kb3NjPC9zZWNv
bmRhcnktdGl0bGU+PGFsdC10aXRsZT5HYXN0cm9pbnRlc3RpbmFsIGVuZG9zY29weTwvYWx0LXRp
dGxlPjwvdGl0bGVzPjxwZXJpb2RpY2FsPjxmdWxsLXRpdGxlPkdhc3Ryb2ludGVzdCBFbmRvc2M8
L2Z1bGwtdGl0bGU+PC9wZXJpb2RpY2FsPjxwYWdlcz4yMjQtMjMyIGUxPC9wYWdlcz48dm9sdW1l
Pjc5PC92b2x1bWU+PG51bWJlcj4yPC9udW1iZXI+PGVkaXRpb24+MjAxMy8wOS8yNjwvZWRpdGlv
bj48ZGF0ZXM+PHllYXI+MjAxNDwveWVhcj48cHViLWRhdGVzPjxkYXRlPkZlYjwvZGF0ZT48L3B1
Yi1kYXRlcz48L2RhdGVzPjxpc2JuPjEwOTctNjc3OSAoRWxlY3Ryb25pYykmI3hEOzAwMTYtNTEw
NyAoTGlua2luZyk8L2lzYm4+PGFjY2Vzc2lvbi1udW0+MjQwNjA1MTk8L2FjY2Vzc2lvbi1udW0+
PHdvcmstdHlwZT5SZXNlYXJjaCBTdXBwb3J0LCBOb24tVS5TLiBHb3YmYXBvczt0PC93b3JrLXR5
cGU+PHVybHM+PHJlbGF0ZWQtdXJscz48dXJsPmh0dHA6Ly93d3cubmNiaS5ubG0ubmloLmdvdi9w
dWJtZWQvMjQwNjA1MTk8L3VybD48L3JlbGF0ZWQtdXJscz48L3VybHM+PGN1c3RvbTI+NDA0MjY3
ODwvY3VzdG9tMj48ZWxlY3Ryb25pYy1yZXNvdXJjZS1udW0+MTAuMTAxNi9qLmdpZS4yMDEzLjA4
LjAwMjwvZWxlY3Ryb25pYy1yZXNvdXJjZS1udW0+PGxhbmd1YWdlPmVuZzwvbGFuZ3VhZ2U+PC9y
ZWNvcmQ+PC9DaXRlPjwvRW5kTm90ZT4A
</w:fldData>
        </w:fldChar>
      </w:r>
      <w:r w:rsidR="009F176D">
        <w:rPr>
          <w:rFonts w:ascii="Times New Roman" w:hAnsi="Times New Roman" w:cs="Times New Roman"/>
        </w:rPr>
        <w:instrText xml:space="preserve"> ADDIN EN.CITE.DATA </w:instrText>
      </w:r>
      <w:r w:rsidR="009F176D">
        <w:rPr>
          <w:rFonts w:ascii="Times New Roman" w:hAnsi="Times New Roman" w:cs="Times New Roman"/>
        </w:rPr>
      </w:r>
      <w:r w:rsidR="009F176D">
        <w:rPr>
          <w:rFonts w:ascii="Times New Roman" w:hAnsi="Times New Roman" w:cs="Times New Roman"/>
        </w:rPr>
        <w:fldChar w:fldCharType="end"/>
      </w:r>
      <w:r w:rsidRPr="001E6BE0">
        <w:rPr>
          <w:rFonts w:ascii="Times New Roman" w:hAnsi="Times New Roman" w:cs="Times New Roman"/>
        </w:rPr>
      </w:r>
      <w:r w:rsidRPr="001E6BE0">
        <w:rPr>
          <w:rFonts w:ascii="Times New Roman" w:hAnsi="Times New Roman" w:cs="Times New Roman"/>
        </w:rPr>
        <w:fldChar w:fldCharType="separate"/>
      </w:r>
      <w:r>
        <w:rPr>
          <w:rFonts w:ascii="Times New Roman" w:hAnsi="Times New Roman" w:cs="Times New Roman"/>
          <w:noProof/>
        </w:rPr>
        <w:t>(</w:t>
      </w:r>
      <w:hyperlink w:anchor="_ENREF_50" w:tooltip="Wani, 2014 #41" w:history="1">
        <w:r>
          <w:rPr>
            <w:rFonts w:ascii="Times New Roman" w:hAnsi="Times New Roman" w:cs="Times New Roman"/>
            <w:noProof/>
          </w:rPr>
          <w:t>50</w:t>
        </w:r>
      </w:hyperlink>
      <w:r>
        <w:rPr>
          <w:rFonts w:ascii="Times New Roman" w:hAnsi="Times New Roman" w:cs="Times New Roman"/>
          <w:noProof/>
        </w:rPr>
        <w:t>)</w:t>
      </w:r>
      <w:r w:rsidRPr="001E6BE0">
        <w:rPr>
          <w:rFonts w:ascii="Times New Roman" w:hAnsi="Times New Roman" w:cs="Times New Roman"/>
        </w:rPr>
        <w:fldChar w:fldCharType="end"/>
      </w:r>
      <w:r w:rsidRPr="001E6BE0">
        <w:rPr>
          <w:rFonts w:ascii="Times New Roman" w:hAnsi="Times New Roman" w:cs="Times New Roman"/>
        </w:rPr>
        <w:t xml:space="preserve">. Separate models were developed for EAC cause specific survival by age group, with or without ablation or surgical resection, while accounting for censoring and other cause death by matching cure rates at 2003.5 (midpoint of the 1998-2009 SEER follow-up data from </w:t>
      </w:r>
      <w:proofErr w:type="spellStart"/>
      <w:r w:rsidRPr="001E6BE0">
        <w:rPr>
          <w:rFonts w:ascii="Times New Roman" w:hAnsi="Times New Roman" w:cs="Times New Roman"/>
        </w:rPr>
        <w:t>Wani</w:t>
      </w:r>
      <w:proofErr w:type="spellEnd"/>
      <w:r w:rsidRPr="001E6BE0">
        <w:rPr>
          <w:rFonts w:ascii="Times New Roman" w:hAnsi="Times New Roman" w:cs="Times New Roman"/>
        </w:rPr>
        <w:t xml:space="preserve"> et al.) at age 63.4 (mean patient age for surgical resection), or age 70.5 for ablation.</w:t>
      </w:r>
    </w:p>
    <w:p w:rsidR="003C6A03" w:rsidRDefault="003C6A03" w:rsidP="003C6A03">
      <w:pPr>
        <w:pStyle w:val="CommentText"/>
        <w:spacing w:line="480" w:lineRule="auto"/>
        <w:rPr>
          <w:rFonts w:ascii="Times New Roman" w:hAnsi="Times New Roman" w:cs="Times New Roman"/>
          <w:sz w:val="22"/>
          <w:szCs w:val="22"/>
          <w:highlight w:val="yellow"/>
        </w:rPr>
      </w:pPr>
    </w:p>
    <w:p w:rsidR="003C6A03" w:rsidRPr="0042378E" w:rsidRDefault="003C6A03" w:rsidP="003C6A03">
      <w:pPr>
        <w:pStyle w:val="CommentText"/>
        <w:spacing w:line="480" w:lineRule="auto"/>
        <w:rPr>
          <w:rFonts w:ascii="Times New Roman" w:hAnsi="Times New Roman" w:cs="Times New Roman"/>
          <w:b/>
          <w:sz w:val="24"/>
          <w:szCs w:val="24"/>
        </w:rPr>
      </w:pPr>
      <w:r w:rsidRPr="0042378E">
        <w:rPr>
          <w:rFonts w:ascii="Times New Roman" w:hAnsi="Times New Roman" w:cs="Times New Roman"/>
          <w:b/>
          <w:sz w:val="24"/>
          <w:szCs w:val="24"/>
        </w:rPr>
        <w:t>References</w:t>
      </w:r>
    </w:p>
    <w:p w:rsidR="003C6A03" w:rsidRPr="00174C87" w:rsidRDefault="003C6A03" w:rsidP="003C6A03">
      <w:pPr>
        <w:spacing w:after="0" w:line="240" w:lineRule="auto"/>
        <w:rPr>
          <w:rFonts w:ascii="Calibri" w:hAnsi="Calibri" w:cs="Times New Roman"/>
          <w:noProof/>
        </w:rPr>
      </w:pPr>
      <w:r w:rsidRPr="0042378E">
        <w:rPr>
          <w:rFonts w:ascii="Times New Roman" w:hAnsi="Times New Roman" w:cs="Times New Roman"/>
        </w:rPr>
        <w:fldChar w:fldCharType="begin"/>
      </w:r>
      <w:r w:rsidRPr="0042378E">
        <w:rPr>
          <w:rFonts w:ascii="Times New Roman" w:hAnsi="Times New Roman" w:cs="Times New Roman"/>
        </w:rPr>
        <w:instrText xml:space="preserve"> ADDIN EN.REFLIST </w:instrText>
      </w:r>
      <w:r w:rsidRPr="0042378E">
        <w:rPr>
          <w:rFonts w:ascii="Times New Roman" w:hAnsi="Times New Roman" w:cs="Times New Roman"/>
        </w:rPr>
        <w:fldChar w:fldCharType="separate"/>
      </w:r>
      <w:bookmarkStart w:id="0" w:name="_ENREF_1"/>
      <w:r w:rsidRPr="00174C87">
        <w:rPr>
          <w:rFonts w:ascii="Calibri" w:hAnsi="Calibri" w:cs="Times New Roman"/>
          <w:noProof/>
        </w:rPr>
        <w:t>1.</w:t>
      </w:r>
      <w:r w:rsidRPr="00174C87">
        <w:rPr>
          <w:rFonts w:ascii="Calibri" w:hAnsi="Calibri" w:cs="Times New Roman"/>
          <w:noProof/>
        </w:rPr>
        <w:tab/>
        <w:t>Hur C, Miller M, Kong CY, Dowling EC, Nattinger KJ, Dunn M, et al. Trends in esophageal adenocarcinoma incidence and mortality. Cancer. [Research Support, N.I.H., Extramural]. 2013 Mar 15;119(6):1149-58.</w:t>
      </w:r>
      <w:bookmarkEnd w:id="0"/>
    </w:p>
    <w:p w:rsidR="003C6A03" w:rsidRPr="00174C87" w:rsidRDefault="003C6A03" w:rsidP="003C6A03">
      <w:pPr>
        <w:spacing w:after="0" w:line="240" w:lineRule="auto"/>
        <w:rPr>
          <w:rFonts w:ascii="Calibri" w:hAnsi="Calibri" w:cs="Times New Roman"/>
          <w:noProof/>
        </w:rPr>
      </w:pPr>
      <w:bookmarkStart w:id="1" w:name="_ENREF_2"/>
      <w:r w:rsidRPr="00174C87">
        <w:rPr>
          <w:rFonts w:ascii="Calibri" w:hAnsi="Calibri" w:cs="Times New Roman"/>
          <w:noProof/>
        </w:rPr>
        <w:t>2.</w:t>
      </w:r>
      <w:r w:rsidRPr="00174C87">
        <w:rPr>
          <w:rFonts w:ascii="Calibri" w:hAnsi="Calibri" w:cs="Times New Roman"/>
          <w:noProof/>
        </w:rPr>
        <w:tab/>
        <w:t>Sampliner RE. Practice guidelines on the diagnosis, surveillance, and therapy of Barrett's esophagus. The Practice Parameters Committee of the American College of Gastroenterology. Am J Gastroenterol. 1998;93(7):1028-32.</w:t>
      </w:r>
      <w:bookmarkEnd w:id="1"/>
    </w:p>
    <w:p w:rsidR="003C6A03" w:rsidRPr="00174C87" w:rsidRDefault="003C6A03" w:rsidP="003C6A03">
      <w:pPr>
        <w:spacing w:after="0" w:line="240" w:lineRule="auto"/>
        <w:rPr>
          <w:rFonts w:ascii="Calibri" w:hAnsi="Calibri" w:cs="Times New Roman"/>
          <w:noProof/>
        </w:rPr>
      </w:pPr>
      <w:bookmarkStart w:id="2" w:name="_ENREF_3"/>
      <w:r w:rsidRPr="00174C87">
        <w:rPr>
          <w:rFonts w:ascii="Calibri" w:hAnsi="Calibri" w:cs="Times New Roman"/>
          <w:noProof/>
        </w:rPr>
        <w:t>3.</w:t>
      </w:r>
      <w:r w:rsidRPr="00174C87">
        <w:rPr>
          <w:rFonts w:ascii="Calibri" w:hAnsi="Calibri" w:cs="Times New Roman"/>
          <w:noProof/>
        </w:rPr>
        <w:tab/>
        <w:t>Zaninotto G, Bennett C. Surveillance for Low-Grade Dysplastic Barrett's Oesophagus: One Size Fits All? World J Surg. 2014 Jun 12.</w:t>
      </w:r>
      <w:bookmarkEnd w:id="2"/>
    </w:p>
    <w:p w:rsidR="003C6A03" w:rsidRPr="00174C87" w:rsidRDefault="003C6A03" w:rsidP="003C6A03">
      <w:pPr>
        <w:spacing w:after="0" w:line="240" w:lineRule="auto"/>
        <w:rPr>
          <w:rFonts w:ascii="Calibri" w:hAnsi="Calibri" w:cs="Times New Roman"/>
          <w:noProof/>
        </w:rPr>
      </w:pPr>
      <w:bookmarkStart w:id="3" w:name="_ENREF_4"/>
      <w:r w:rsidRPr="00174C87">
        <w:rPr>
          <w:rFonts w:ascii="Calibri" w:hAnsi="Calibri" w:cs="Times New Roman"/>
          <w:noProof/>
        </w:rPr>
        <w:lastRenderedPageBreak/>
        <w:t>4.</w:t>
      </w:r>
      <w:r w:rsidRPr="00174C87">
        <w:rPr>
          <w:rFonts w:ascii="Calibri" w:hAnsi="Calibri" w:cs="Times New Roman"/>
          <w:noProof/>
        </w:rPr>
        <w:tab/>
        <w:t>Fleischer DE, Overholt BF, Sharma VK, Reymunde A, Kimmey MB, Chuttani R, et al. Endoscopic ablation of Barrett's esophagus: a multicenter study with 2.5-year follow-up. Gastrointest Endosc. 2008 Nov;68(5):867-76.</w:t>
      </w:r>
      <w:bookmarkEnd w:id="3"/>
    </w:p>
    <w:p w:rsidR="003C6A03" w:rsidRPr="00174C87" w:rsidRDefault="003C6A03" w:rsidP="003C6A03">
      <w:pPr>
        <w:spacing w:after="0" w:line="240" w:lineRule="auto"/>
        <w:rPr>
          <w:rFonts w:ascii="Calibri" w:hAnsi="Calibri" w:cs="Times New Roman"/>
          <w:noProof/>
        </w:rPr>
      </w:pPr>
      <w:bookmarkStart w:id="4" w:name="_ENREF_5"/>
      <w:r w:rsidRPr="00174C87">
        <w:rPr>
          <w:rFonts w:ascii="Calibri" w:hAnsi="Calibri" w:cs="Times New Roman"/>
          <w:noProof/>
        </w:rPr>
        <w:t>5.</w:t>
      </w:r>
      <w:r w:rsidRPr="00174C87">
        <w:rPr>
          <w:rFonts w:ascii="Calibri" w:hAnsi="Calibri" w:cs="Times New Roman"/>
          <w:noProof/>
        </w:rPr>
        <w:tab/>
        <w:t>Wani S, Puli SR, Shaheen NJ, Westhoff B, Slehria S, Bansal A, et al. Esophageal adenocarcinoma in Barrett's esophagus after endoscopic ablative therapy: a meta-analysis and systematic review. Am J Gastroenterol. 2009 Feb;104(2):502-13.</w:t>
      </w:r>
      <w:bookmarkEnd w:id="4"/>
    </w:p>
    <w:p w:rsidR="003C6A03" w:rsidRPr="00174C87" w:rsidRDefault="003C6A03" w:rsidP="003C6A03">
      <w:pPr>
        <w:spacing w:after="0" w:line="240" w:lineRule="auto"/>
        <w:rPr>
          <w:rFonts w:ascii="Calibri" w:hAnsi="Calibri" w:cs="Times New Roman"/>
          <w:noProof/>
        </w:rPr>
      </w:pPr>
      <w:bookmarkStart w:id="5" w:name="_ENREF_6"/>
      <w:r w:rsidRPr="00174C87">
        <w:rPr>
          <w:rFonts w:ascii="Calibri" w:hAnsi="Calibri" w:cs="Times New Roman"/>
          <w:noProof/>
        </w:rPr>
        <w:t>6.</w:t>
      </w:r>
      <w:r w:rsidRPr="00174C87">
        <w:rPr>
          <w:rFonts w:ascii="Calibri" w:hAnsi="Calibri" w:cs="Times New Roman"/>
          <w:noProof/>
        </w:rPr>
        <w:tab/>
        <w:t>Rastogi A, Puli S, El-Serag HB, Bansal A, Wani S, Sharma P. Incidence of esophageal adenocarcinoma in patients with Barrett's esophagus and high-grade dysplasia: a meta-analysis. Gastrointest Endosc. 2008 Mar;67(3):394-8.</w:t>
      </w:r>
      <w:bookmarkEnd w:id="5"/>
    </w:p>
    <w:p w:rsidR="003C6A03" w:rsidRPr="00E42FDD" w:rsidRDefault="003C6A03" w:rsidP="003C6A03">
      <w:pPr>
        <w:spacing w:after="0" w:line="240" w:lineRule="auto"/>
        <w:rPr>
          <w:rFonts w:ascii="Calibri" w:hAnsi="Calibri" w:cs="Times New Roman"/>
          <w:noProof/>
          <w:lang w:val="nl-NL"/>
        </w:rPr>
      </w:pPr>
      <w:bookmarkStart w:id="6" w:name="_ENREF_7"/>
      <w:r w:rsidRPr="00174C87">
        <w:rPr>
          <w:rFonts w:ascii="Calibri" w:hAnsi="Calibri" w:cs="Times New Roman"/>
          <w:noProof/>
        </w:rPr>
        <w:t>7.</w:t>
      </w:r>
      <w:r w:rsidRPr="00174C87">
        <w:rPr>
          <w:rFonts w:ascii="Calibri" w:hAnsi="Calibri" w:cs="Times New Roman"/>
          <w:noProof/>
        </w:rPr>
        <w:tab/>
        <w:t xml:space="preserve">American Gastroenterological A, Spechler SJ, Sharma P, Souza RF, Inadomi JM, Shaheen NJ. American Gastroenterological Association medical position statement on the management of Barrett's esophagus. </w:t>
      </w:r>
      <w:r w:rsidRPr="00E42FDD">
        <w:rPr>
          <w:rFonts w:ascii="Calibri" w:hAnsi="Calibri" w:cs="Times New Roman"/>
          <w:noProof/>
          <w:lang w:val="nl-NL"/>
        </w:rPr>
        <w:t>Gastroenterology. 2011 Mar;140(3):1084-91.</w:t>
      </w:r>
      <w:bookmarkEnd w:id="6"/>
    </w:p>
    <w:p w:rsidR="003C6A03" w:rsidRPr="00174C87" w:rsidRDefault="003C6A03" w:rsidP="003C6A03">
      <w:pPr>
        <w:spacing w:after="0" w:line="240" w:lineRule="auto"/>
        <w:rPr>
          <w:rFonts w:ascii="Calibri" w:hAnsi="Calibri" w:cs="Times New Roman"/>
          <w:noProof/>
        </w:rPr>
      </w:pPr>
      <w:bookmarkStart w:id="7" w:name="_ENREF_8"/>
      <w:r w:rsidRPr="00E42FDD">
        <w:rPr>
          <w:rFonts w:ascii="Calibri" w:hAnsi="Calibri" w:cs="Times New Roman"/>
          <w:noProof/>
          <w:lang w:val="nl-NL"/>
        </w:rPr>
        <w:t>8.</w:t>
      </w:r>
      <w:r w:rsidRPr="00E42FDD">
        <w:rPr>
          <w:rFonts w:ascii="Calibri" w:hAnsi="Calibri" w:cs="Times New Roman"/>
          <w:noProof/>
          <w:lang w:val="nl-NL"/>
        </w:rPr>
        <w:tab/>
        <w:t xml:space="preserve">Phoa KN, van Vilsteren FG, Weusten BL, Bisschops R, Schoon EJ, Ragunath K, et al. </w:t>
      </w:r>
      <w:r w:rsidRPr="00174C87">
        <w:rPr>
          <w:rFonts w:ascii="Calibri" w:hAnsi="Calibri" w:cs="Times New Roman"/>
          <w:noProof/>
        </w:rPr>
        <w:t>Radiofrequency ablation vs endoscopic surveillance for patients with Barrett esophagus and low-grade dysplasia: a randomized clinical trial. JAMA. 2014 Mar 26;311(12):1209-17.</w:t>
      </w:r>
      <w:bookmarkEnd w:id="7"/>
    </w:p>
    <w:p w:rsidR="003C6A03" w:rsidRPr="00174C87" w:rsidRDefault="003C6A03" w:rsidP="003C6A03">
      <w:pPr>
        <w:spacing w:after="0" w:line="240" w:lineRule="auto"/>
        <w:rPr>
          <w:rFonts w:ascii="Calibri" w:hAnsi="Calibri" w:cs="Times New Roman"/>
          <w:noProof/>
        </w:rPr>
      </w:pPr>
      <w:bookmarkStart w:id="8" w:name="_ENREF_9"/>
      <w:r w:rsidRPr="00174C87">
        <w:rPr>
          <w:rFonts w:ascii="Calibri" w:hAnsi="Calibri" w:cs="Times New Roman"/>
          <w:noProof/>
        </w:rPr>
        <w:t>9.</w:t>
      </w:r>
      <w:r w:rsidRPr="00174C87">
        <w:rPr>
          <w:rFonts w:ascii="Calibri" w:hAnsi="Calibri" w:cs="Times New Roman"/>
          <w:noProof/>
        </w:rPr>
        <w:tab/>
        <w:t>Oliphant Z, Snow A, Knight H, Barr H, Almond LM. Endoscopic resection with or without mucosal ablation of high grade dysplasia and early oesophageal adenocarcinoma - Long term follow UP from a regional UK centre. Int J Surg. 2014 Sep 15.</w:t>
      </w:r>
      <w:bookmarkEnd w:id="8"/>
    </w:p>
    <w:p w:rsidR="003C6A03" w:rsidRPr="00174C87" w:rsidRDefault="003C6A03" w:rsidP="003C6A03">
      <w:pPr>
        <w:spacing w:after="0" w:line="240" w:lineRule="auto"/>
        <w:rPr>
          <w:rFonts w:ascii="Calibri" w:hAnsi="Calibri" w:cs="Times New Roman"/>
          <w:noProof/>
        </w:rPr>
      </w:pPr>
      <w:bookmarkStart w:id="9" w:name="_ENREF_10"/>
      <w:r w:rsidRPr="00174C87">
        <w:rPr>
          <w:rFonts w:ascii="Calibri" w:hAnsi="Calibri" w:cs="Times New Roman"/>
          <w:noProof/>
        </w:rPr>
        <w:t>10.</w:t>
      </w:r>
      <w:r w:rsidRPr="00174C87">
        <w:rPr>
          <w:rFonts w:ascii="Calibri" w:hAnsi="Calibri" w:cs="Times New Roman"/>
          <w:noProof/>
        </w:rPr>
        <w:tab/>
        <w:t>Qumseya B, David W, McCrum M, Dong Y, Raimondo M, Woodward TA, et al. Gender differences in remission of esophageal intestinal metaplasia after radiofrequency ablation. Am J Gastroenterol. 2014 Mar;109(3):369-74.</w:t>
      </w:r>
      <w:bookmarkEnd w:id="9"/>
    </w:p>
    <w:p w:rsidR="003C6A03" w:rsidRPr="00174C87" w:rsidRDefault="003C6A03" w:rsidP="003C6A03">
      <w:pPr>
        <w:spacing w:after="0" w:line="240" w:lineRule="auto"/>
        <w:rPr>
          <w:rFonts w:ascii="Calibri" w:hAnsi="Calibri" w:cs="Times New Roman"/>
          <w:noProof/>
        </w:rPr>
      </w:pPr>
      <w:bookmarkStart w:id="10" w:name="_ENREF_11"/>
      <w:r w:rsidRPr="00174C87">
        <w:rPr>
          <w:rFonts w:ascii="Calibri" w:hAnsi="Calibri" w:cs="Times New Roman"/>
          <w:noProof/>
        </w:rPr>
        <w:t>11.</w:t>
      </w:r>
      <w:r w:rsidRPr="00174C87">
        <w:rPr>
          <w:rFonts w:ascii="Calibri" w:hAnsi="Calibri" w:cs="Times New Roman"/>
          <w:noProof/>
        </w:rPr>
        <w:tab/>
        <w:t>Ertan A, Zaheer I, Correa AM, Thosani N, Blackmon SH. Photodynamic therapy vs radiofrequency ablation for Barrett's dysplasia: efficacy, safety and cost-comparison. World J Gastroenterol. 2013 Nov 7;19(41):7106-13.</w:t>
      </w:r>
      <w:bookmarkEnd w:id="10"/>
    </w:p>
    <w:p w:rsidR="003C6A03" w:rsidRPr="00174C87" w:rsidRDefault="003C6A03" w:rsidP="003C6A03">
      <w:pPr>
        <w:spacing w:after="0" w:line="240" w:lineRule="auto"/>
        <w:rPr>
          <w:rFonts w:ascii="Calibri" w:hAnsi="Calibri" w:cs="Times New Roman"/>
          <w:noProof/>
        </w:rPr>
      </w:pPr>
      <w:bookmarkStart w:id="11" w:name="_ENREF_12"/>
      <w:r w:rsidRPr="00174C87">
        <w:rPr>
          <w:rFonts w:ascii="Calibri" w:hAnsi="Calibri" w:cs="Times New Roman"/>
          <w:noProof/>
        </w:rPr>
        <w:t>12.</w:t>
      </w:r>
      <w:r w:rsidRPr="00174C87">
        <w:rPr>
          <w:rFonts w:ascii="Calibri" w:hAnsi="Calibri" w:cs="Times New Roman"/>
          <w:noProof/>
        </w:rPr>
        <w:tab/>
        <w:t>Anders M, Bahr C, El-Masry MA, Marx AH, Koch M, Seewald S, et al. Long-term recurrence of neoplasia and Barrett's epithelium after complete endoscopic resection. Gut. 2014 Oct;63(10):1535-43.</w:t>
      </w:r>
      <w:bookmarkEnd w:id="11"/>
    </w:p>
    <w:p w:rsidR="003C6A03" w:rsidRPr="00174C87" w:rsidRDefault="003C6A03" w:rsidP="003C6A03">
      <w:pPr>
        <w:spacing w:after="0" w:line="240" w:lineRule="auto"/>
        <w:rPr>
          <w:rFonts w:ascii="Calibri" w:hAnsi="Calibri" w:cs="Times New Roman"/>
          <w:noProof/>
        </w:rPr>
      </w:pPr>
      <w:bookmarkStart w:id="12" w:name="_ENREF_13"/>
      <w:r w:rsidRPr="00174C87">
        <w:rPr>
          <w:rFonts w:ascii="Calibri" w:hAnsi="Calibri" w:cs="Times New Roman"/>
          <w:noProof/>
        </w:rPr>
        <w:t>13.</w:t>
      </w:r>
      <w:r w:rsidRPr="00174C87">
        <w:rPr>
          <w:rFonts w:ascii="Calibri" w:hAnsi="Calibri" w:cs="Times New Roman"/>
          <w:noProof/>
        </w:rPr>
        <w:tab/>
        <w:t>Orman ES, Li N, Shaheen NJ. Efficacy and durability of radiofrequency ablation for Barrett's Esophagus: systematic review and meta-analysis. Clin Gastroenterol Hepatol. 2013 Oct;11(10):1245-55.</w:t>
      </w:r>
      <w:bookmarkEnd w:id="12"/>
    </w:p>
    <w:p w:rsidR="003C6A03" w:rsidRPr="00174C87" w:rsidRDefault="003C6A03" w:rsidP="003C6A03">
      <w:pPr>
        <w:spacing w:after="0" w:line="240" w:lineRule="auto"/>
        <w:rPr>
          <w:rFonts w:ascii="Calibri" w:hAnsi="Calibri" w:cs="Times New Roman"/>
          <w:noProof/>
        </w:rPr>
      </w:pPr>
      <w:bookmarkStart w:id="13" w:name="_ENREF_14"/>
      <w:r w:rsidRPr="00174C87">
        <w:rPr>
          <w:rFonts w:ascii="Calibri" w:hAnsi="Calibri" w:cs="Times New Roman"/>
          <w:noProof/>
        </w:rPr>
        <w:t>14.</w:t>
      </w:r>
      <w:r w:rsidRPr="00174C87">
        <w:rPr>
          <w:rFonts w:ascii="Calibri" w:hAnsi="Calibri" w:cs="Times New Roman"/>
          <w:noProof/>
        </w:rPr>
        <w:tab/>
        <w:t>Haidry RJ, Dunn JM, Butt MA, Burnell MG, Gupta A, Green S, et al. Radiofrequency ablation and endoscopic mucosal resection for dysplastic barrett's esophagus and early esophageal adenocarcinoma: outcomes of the UK National Halo RFA Registry. Gastroenterology. 2013 Jul;145(1):87-95.</w:t>
      </w:r>
      <w:bookmarkEnd w:id="13"/>
    </w:p>
    <w:p w:rsidR="003C6A03" w:rsidRPr="00174C87" w:rsidRDefault="003C6A03" w:rsidP="003C6A03">
      <w:pPr>
        <w:spacing w:after="0" w:line="240" w:lineRule="auto"/>
        <w:rPr>
          <w:rFonts w:ascii="Calibri" w:hAnsi="Calibri" w:cs="Times New Roman"/>
          <w:noProof/>
        </w:rPr>
      </w:pPr>
      <w:bookmarkStart w:id="14" w:name="_ENREF_15"/>
      <w:r w:rsidRPr="00174C87">
        <w:rPr>
          <w:rFonts w:ascii="Calibri" w:hAnsi="Calibri" w:cs="Times New Roman"/>
          <w:noProof/>
        </w:rPr>
        <w:t>15.</w:t>
      </w:r>
      <w:r w:rsidRPr="00174C87">
        <w:rPr>
          <w:rFonts w:ascii="Calibri" w:hAnsi="Calibri" w:cs="Times New Roman"/>
          <w:noProof/>
        </w:rPr>
        <w:tab/>
        <w:t>Gupta M, Iyer PG, Lutzke L, Gorospe EC, Abrams JA, Falk GW, et al. Recurrence of esophageal intestinal metaplasia after endoscopic mucosal resection and radiofrequency ablation of Barrett's esophagus: results from a US Multicenter Consortium. Gastroenterology. 2013 Jul;145(1):79-86 e1.</w:t>
      </w:r>
      <w:bookmarkEnd w:id="14"/>
    </w:p>
    <w:p w:rsidR="003C6A03" w:rsidRPr="00E42FDD" w:rsidRDefault="003C6A03" w:rsidP="003C6A03">
      <w:pPr>
        <w:spacing w:after="0" w:line="240" w:lineRule="auto"/>
        <w:rPr>
          <w:rFonts w:ascii="Calibri" w:hAnsi="Calibri" w:cs="Times New Roman"/>
          <w:noProof/>
          <w:lang w:val="nl-NL"/>
        </w:rPr>
      </w:pPr>
      <w:bookmarkStart w:id="15" w:name="_ENREF_16"/>
      <w:r w:rsidRPr="00174C87">
        <w:rPr>
          <w:rFonts w:ascii="Calibri" w:hAnsi="Calibri" w:cs="Times New Roman"/>
          <w:noProof/>
        </w:rPr>
        <w:t>16.</w:t>
      </w:r>
      <w:r w:rsidRPr="00174C87">
        <w:rPr>
          <w:rFonts w:ascii="Calibri" w:hAnsi="Calibri" w:cs="Times New Roman"/>
          <w:noProof/>
        </w:rPr>
        <w:tab/>
        <w:t xml:space="preserve">Cooper GS, Kou TD, Chak A. Receipt of previous diagnoses and endoscopy and outcome from esophageal adenocarcinoma: a population-based study with temporal trends. </w:t>
      </w:r>
      <w:r w:rsidRPr="00E42FDD">
        <w:rPr>
          <w:rFonts w:ascii="Calibri" w:hAnsi="Calibri" w:cs="Times New Roman"/>
          <w:noProof/>
          <w:lang w:val="nl-NL"/>
        </w:rPr>
        <w:t>Am J Gastroenterol. 2009 Jun;104(6):1356-62.</w:t>
      </w:r>
      <w:bookmarkEnd w:id="15"/>
    </w:p>
    <w:p w:rsidR="003C6A03" w:rsidRPr="00E42FDD" w:rsidRDefault="003C6A03" w:rsidP="003C6A03">
      <w:pPr>
        <w:spacing w:after="0" w:line="240" w:lineRule="auto"/>
        <w:rPr>
          <w:rFonts w:ascii="Calibri" w:hAnsi="Calibri" w:cs="Times New Roman"/>
          <w:noProof/>
          <w:lang w:val="nl-NL"/>
        </w:rPr>
      </w:pPr>
      <w:bookmarkStart w:id="16" w:name="_ENREF_17"/>
      <w:r w:rsidRPr="00E42FDD">
        <w:rPr>
          <w:rFonts w:ascii="Calibri" w:hAnsi="Calibri" w:cs="Times New Roman"/>
          <w:noProof/>
          <w:lang w:val="nl-NL"/>
        </w:rPr>
        <w:t>17.</w:t>
      </w:r>
      <w:r w:rsidRPr="00E42FDD">
        <w:rPr>
          <w:rFonts w:ascii="Calibri" w:hAnsi="Calibri" w:cs="Times New Roman"/>
          <w:noProof/>
          <w:lang w:val="nl-NL"/>
        </w:rPr>
        <w:tab/>
        <w:t xml:space="preserve">Kong CY, Kroep S, Curtius K, Hazelton WD, Jeon J, Meza R, et al. </w:t>
      </w:r>
      <w:r w:rsidRPr="00174C87">
        <w:rPr>
          <w:rFonts w:ascii="Calibri" w:hAnsi="Calibri" w:cs="Times New Roman"/>
          <w:noProof/>
        </w:rPr>
        <w:t xml:space="preserve">Exploring the recent trend in esophageal adenocarcinoma incidence and mortality using comparative simulation modeling. </w:t>
      </w:r>
      <w:r w:rsidRPr="00E42FDD">
        <w:rPr>
          <w:rFonts w:ascii="Calibri" w:hAnsi="Calibri" w:cs="Times New Roman"/>
          <w:noProof/>
          <w:lang w:val="nl-NL"/>
        </w:rPr>
        <w:t>Cancer Epidemiol Biomarkers Prev. 2014 Jun;23(6):997-1006.</w:t>
      </w:r>
      <w:bookmarkEnd w:id="16"/>
    </w:p>
    <w:p w:rsidR="003C6A03" w:rsidRPr="00E42FDD" w:rsidRDefault="003C6A03" w:rsidP="003C6A03">
      <w:pPr>
        <w:spacing w:after="0" w:line="240" w:lineRule="auto"/>
        <w:rPr>
          <w:rFonts w:ascii="Calibri" w:hAnsi="Calibri" w:cs="Times New Roman"/>
          <w:noProof/>
          <w:lang w:val="nl-NL"/>
        </w:rPr>
      </w:pPr>
      <w:bookmarkStart w:id="17" w:name="_ENREF_18"/>
      <w:r w:rsidRPr="00E42FDD">
        <w:rPr>
          <w:rFonts w:ascii="Calibri" w:hAnsi="Calibri" w:cs="Times New Roman"/>
          <w:noProof/>
          <w:lang w:val="nl-NL"/>
        </w:rPr>
        <w:t>18.</w:t>
      </w:r>
      <w:r w:rsidRPr="00E42FDD">
        <w:rPr>
          <w:rFonts w:ascii="Calibri" w:hAnsi="Calibri" w:cs="Times New Roman"/>
          <w:noProof/>
          <w:lang w:val="nl-NL"/>
        </w:rPr>
        <w:tab/>
      </w:r>
      <w:r>
        <w:fldChar w:fldCharType="begin"/>
      </w:r>
      <w:r w:rsidRPr="004F7F11">
        <w:rPr>
          <w:lang w:val="nl-NL"/>
          <w:rPrChange w:id="18" w:author="S. Kroep" w:date="2015-09-29T15:39:00Z">
            <w:rPr/>
          </w:rPrChange>
        </w:rPr>
        <w:instrText xml:space="preserve"> HYPERLINK "http://cisnet.cancer.gov/" </w:instrText>
      </w:r>
      <w:r>
        <w:fldChar w:fldCharType="separate"/>
      </w:r>
      <w:r w:rsidRPr="00E42FDD">
        <w:rPr>
          <w:rStyle w:val="Hyperlink"/>
          <w:rFonts w:ascii="Calibri" w:hAnsi="Calibri" w:cs="Times New Roman"/>
          <w:noProof/>
          <w:lang w:val="nl-NL"/>
        </w:rPr>
        <w:t>http://cisnet.cancer.gov/</w:t>
      </w:r>
      <w:bookmarkEnd w:id="17"/>
      <w:r>
        <w:rPr>
          <w:rStyle w:val="Hyperlink"/>
          <w:rFonts w:ascii="Calibri" w:hAnsi="Calibri" w:cs="Times New Roman"/>
          <w:noProof/>
          <w:lang w:val="nl-NL"/>
        </w:rPr>
        <w:fldChar w:fldCharType="end"/>
      </w:r>
    </w:p>
    <w:p w:rsidR="003C6A03" w:rsidRPr="00174C87" w:rsidRDefault="003C6A03" w:rsidP="003C6A03">
      <w:pPr>
        <w:spacing w:line="240" w:lineRule="auto"/>
        <w:rPr>
          <w:rFonts w:ascii="Calibri" w:hAnsi="Calibri" w:cs="Times New Roman"/>
          <w:noProof/>
        </w:rPr>
      </w:pPr>
      <w:bookmarkStart w:id="19" w:name="_ENREF_19"/>
      <w:r w:rsidRPr="00E42FDD">
        <w:rPr>
          <w:rFonts w:ascii="Calibri" w:hAnsi="Calibri" w:cs="Times New Roman"/>
          <w:noProof/>
          <w:lang w:val="nl-NL"/>
        </w:rPr>
        <w:t>19.</w:t>
      </w:r>
      <w:r w:rsidRPr="00E42FDD">
        <w:rPr>
          <w:rFonts w:ascii="Calibri" w:hAnsi="Calibri" w:cs="Times New Roman"/>
          <w:noProof/>
          <w:lang w:val="nl-NL"/>
        </w:rPr>
        <w:tab/>
        <w:t xml:space="preserve">Shaheen NJ, Overholt BF, Sampliner RE, Wolfsen HC, Wang KK, Fleischer DE, et al. </w:t>
      </w:r>
      <w:r w:rsidRPr="00174C87">
        <w:rPr>
          <w:rFonts w:ascii="Calibri" w:hAnsi="Calibri" w:cs="Times New Roman"/>
          <w:noProof/>
        </w:rPr>
        <w:t>Durability of radiofrequency ablation in Barrett's esophagus with dysplasia. Gastroenterology. [Multicenter Study</w:t>
      </w:r>
    </w:p>
    <w:p w:rsidR="003C6A03" w:rsidRPr="00174C87" w:rsidRDefault="003C6A03" w:rsidP="003C6A03">
      <w:pPr>
        <w:spacing w:line="240" w:lineRule="auto"/>
        <w:rPr>
          <w:rFonts w:ascii="Calibri" w:hAnsi="Calibri" w:cs="Times New Roman"/>
          <w:noProof/>
        </w:rPr>
      </w:pPr>
      <w:r w:rsidRPr="00174C87">
        <w:rPr>
          <w:rFonts w:ascii="Calibri" w:hAnsi="Calibri" w:cs="Times New Roman"/>
          <w:noProof/>
        </w:rPr>
        <w:t>Randomized Controlled Trial</w:t>
      </w:r>
    </w:p>
    <w:p w:rsidR="003C6A03" w:rsidRPr="00174C87" w:rsidRDefault="003C6A03" w:rsidP="003C6A03">
      <w:pPr>
        <w:spacing w:line="240" w:lineRule="auto"/>
        <w:rPr>
          <w:rFonts w:ascii="Calibri" w:hAnsi="Calibri" w:cs="Times New Roman"/>
          <w:noProof/>
        </w:rPr>
      </w:pPr>
      <w:r w:rsidRPr="00174C87">
        <w:rPr>
          <w:rFonts w:ascii="Calibri" w:hAnsi="Calibri" w:cs="Times New Roman"/>
          <w:noProof/>
        </w:rPr>
        <w:t>Research Support, N.I.H., Extramural</w:t>
      </w:r>
    </w:p>
    <w:p w:rsidR="003C6A03" w:rsidRPr="00AD2981" w:rsidRDefault="003C6A03" w:rsidP="003C6A03">
      <w:pPr>
        <w:spacing w:after="0" w:line="240" w:lineRule="auto"/>
        <w:rPr>
          <w:rFonts w:ascii="Calibri" w:hAnsi="Calibri" w:cs="Times New Roman"/>
          <w:noProof/>
        </w:rPr>
      </w:pPr>
      <w:r w:rsidRPr="00174C87">
        <w:rPr>
          <w:rFonts w:ascii="Calibri" w:hAnsi="Calibri" w:cs="Times New Roman"/>
          <w:noProof/>
        </w:rPr>
        <w:t xml:space="preserve">Research Support, Non-U.S. Gov't]. </w:t>
      </w:r>
      <w:r w:rsidRPr="00AD2981">
        <w:rPr>
          <w:rFonts w:ascii="Calibri" w:hAnsi="Calibri" w:cs="Times New Roman"/>
          <w:noProof/>
        </w:rPr>
        <w:t>2011 Aug;141(2):460-8.</w:t>
      </w:r>
      <w:bookmarkEnd w:id="19"/>
    </w:p>
    <w:p w:rsidR="003C6A03" w:rsidRPr="00174C87" w:rsidRDefault="003C6A03" w:rsidP="003C6A03">
      <w:pPr>
        <w:spacing w:after="0" w:line="240" w:lineRule="auto"/>
        <w:rPr>
          <w:rFonts w:ascii="Calibri" w:hAnsi="Calibri" w:cs="Times New Roman"/>
          <w:noProof/>
        </w:rPr>
      </w:pPr>
      <w:bookmarkStart w:id="20" w:name="_ENREF_20"/>
      <w:r w:rsidRPr="00AD2981">
        <w:rPr>
          <w:rFonts w:ascii="Calibri" w:hAnsi="Calibri" w:cs="Times New Roman"/>
          <w:noProof/>
        </w:rPr>
        <w:lastRenderedPageBreak/>
        <w:t>20.</w:t>
      </w:r>
      <w:r w:rsidRPr="00AD2981">
        <w:rPr>
          <w:rFonts w:ascii="Calibri" w:hAnsi="Calibri" w:cs="Times New Roman"/>
          <w:noProof/>
        </w:rPr>
        <w:tab/>
        <w:t xml:space="preserve">Fleischer DE, Overholt BF, Sharma VK, Reymunde A, Kimmey MB, Chuttani R, et al. </w:t>
      </w:r>
      <w:r w:rsidRPr="00174C87">
        <w:rPr>
          <w:rFonts w:ascii="Calibri" w:hAnsi="Calibri" w:cs="Times New Roman"/>
          <w:noProof/>
        </w:rPr>
        <w:t>Endoscopic radiofrequency ablation for Barrett's esophagus: 5-year outcomes from a prospective multicenter trial. Endoscopy. 2010 Oct;42(10):781-9.</w:t>
      </w:r>
      <w:bookmarkEnd w:id="20"/>
    </w:p>
    <w:p w:rsidR="003C6A03" w:rsidRPr="00174C87" w:rsidRDefault="003C6A03" w:rsidP="003C6A03">
      <w:pPr>
        <w:spacing w:after="0" w:line="240" w:lineRule="auto"/>
        <w:rPr>
          <w:rFonts w:ascii="Calibri" w:hAnsi="Calibri" w:cs="Times New Roman"/>
          <w:noProof/>
        </w:rPr>
      </w:pPr>
      <w:bookmarkStart w:id="21" w:name="_ENREF_21"/>
      <w:r w:rsidRPr="00174C87">
        <w:rPr>
          <w:rFonts w:ascii="Calibri" w:hAnsi="Calibri" w:cs="Times New Roman"/>
          <w:noProof/>
        </w:rPr>
        <w:t>21.</w:t>
      </w:r>
      <w:r w:rsidRPr="00174C87">
        <w:rPr>
          <w:rFonts w:ascii="Calibri" w:hAnsi="Calibri" w:cs="Times New Roman"/>
          <w:noProof/>
        </w:rPr>
        <w:tab/>
        <w:t xml:space="preserve">Statistics BoL. Division of Consumer Prices and Price Indexes. Available from: </w:t>
      </w:r>
      <w:hyperlink r:id="rId4" w:history="1">
        <w:r w:rsidRPr="00174C87">
          <w:rPr>
            <w:rStyle w:val="Hyperlink"/>
            <w:rFonts w:ascii="Calibri" w:hAnsi="Calibri" w:cs="Times New Roman"/>
            <w:noProof/>
          </w:rPr>
          <w:t>http://www.bls.gov/cpi/</w:t>
        </w:r>
      </w:hyperlink>
      <w:r w:rsidRPr="00174C87">
        <w:rPr>
          <w:rFonts w:ascii="Calibri" w:hAnsi="Calibri" w:cs="Times New Roman"/>
          <w:noProof/>
        </w:rPr>
        <w:t>.</w:t>
      </w:r>
      <w:bookmarkEnd w:id="21"/>
    </w:p>
    <w:p w:rsidR="003C6A03" w:rsidRPr="00174C87" w:rsidRDefault="003C6A03" w:rsidP="003C6A03">
      <w:pPr>
        <w:spacing w:line="240" w:lineRule="auto"/>
        <w:rPr>
          <w:rFonts w:ascii="Calibri" w:hAnsi="Calibri" w:cs="Times New Roman"/>
          <w:noProof/>
        </w:rPr>
      </w:pPr>
      <w:bookmarkStart w:id="22" w:name="_ENREF_22"/>
      <w:r w:rsidRPr="00174C87">
        <w:rPr>
          <w:rFonts w:ascii="Calibri" w:hAnsi="Calibri" w:cs="Times New Roman"/>
          <w:noProof/>
        </w:rPr>
        <w:t>22.</w:t>
      </w:r>
      <w:r w:rsidRPr="00174C87">
        <w:rPr>
          <w:rFonts w:ascii="Calibri" w:hAnsi="Calibri" w:cs="Times New Roman"/>
          <w:noProof/>
        </w:rPr>
        <w:tab/>
        <w:t>Siegel JE TG, Russell LB, et al. . Guidelines for pharmacoeconomic studies. Recommendations from the</w:t>
      </w:r>
    </w:p>
    <w:p w:rsidR="003C6A03" w:rsidRPr="00174C87" w:rsidRDefault="003C6A03" w:rsidP="003C6A03">
      <w:pPr>
        <w:spacing w:line="240" w:lineRule="auto"/>
        <w:rPr>
          <w:rFonts w:ascii="Calibri" w:hAnsi="Calibri" w:cs="Times New Roman"/>
          <w:noProof/>
        </w:rPr>
      </w:pPr>
      <w:r w:rsidRPr="00174C87">
        <w:rPr>
          <w:rFonts w:ascii="Calibri" w:hAnsi="Calibri" w:cs="Times New Roman"/>
          <w:noProof/>
        </w:rPr>
        <w:t>panel on cost effectiveness in health and medicine. Panel on cost Effectiveness in Health and Medicine.</w:t>
      </w:r>
    </w:p>
    <w:p w:rsidR="003C6A03" w:rsidRPr="00E42FDD" w:rsidRDefault="003C6A03" w:rsidP="003C6A03">
      <w:pPr>
        <w:spacing w:after="0" w:line="240" w:lineRule="auto"/>
        <w:rPr>
          <w:rFonts w:ascii="Calibri" w:hAnsi="Calibri" w:cs="Times New Roman"/>
          <w:noProof/>
          <w:lang w:val="nl-NL"/>
        </w:rPr>
      </w:pPr>
      <w:r w:rsidRPr="00E42FDD">
        <w:rPr>
          <w:rFonts w:ascii="Calibri" w:hAnsi="Calibri" w:cs="Times New Roman"/>
          <w:noProof/>
          <w:lang w:val="nl-NL"/>
        </w:rPr>
        <w:t>. Pharmacoeconomics. 1997(11):159-68.</w:t>
      </w:r>
      <w:bookmarkEnd w:id="22"/>
    </w:p>
    <w:p w:rsidR="003C6A03" w:rsidRPr="00174C87" w:rsidRDefault="003C6A03" w:rsidP="003C6A03">
      <w:pPr>
        <w:spacing w:after="0" w:line="240" w:lineRule="auto"/>
        <w:rPr>
          <w:rFonts w:ascii="Calibri" w:hAnsi="Calibri" w:cs="Times New Roman"/>
          <w:noProof/>
        </w:rPr>
      </w:pPr>
      <w:bookmarkStart w:id="23" w:name="_ENREF_23"/>
      <w:r w:rsidRPr="00E42FDD">
        <w:rPr>
          <w:rFonts w:ascii="Calibri" w:hAnsi="Calibri" w:cs="Times New Roman"/>
          <w:noProof/>
          <w:lang w:val="nl-NL"/>
        </w:rPr>
        <w:t>23.</w:t>
      </w:r>
      <w:r w:rsidRPr="00E42FDD">
        <w:rPr>
          <w:rFonts w:ascii="Calibri" w:hAnsi="Calibri" w:cs="Times New Roman"/>
          <w:noProof/>
          <w:lang w:val="nl-NL"/>
        </w:rPr>
        <w:tab/>
        <w:t xml:space="preserve">Kastelein F, van Olphen S, Steyerberg EW, Sikkema M, Spaander MC, Looman CW, et al. </w:t>
      </w:r>
      <w:r w:rsidRPr="00174C87">
        <w:rPr>
          <w:rFonts w:ascii="Calibri" w:hAnsi="Calibri" w:cs="Times New Roman"/>
          <w:noProof/>
        </w:rPr>
        <w:t>Surveillance in patients with long-segment Barrett's oesophagus: a cost-effectiveness analysis. Gut. 2014 Jul 18.</w:t>
      </w:r>
      <w:bookmarkEnd w:id="23"/>
    </w:p>
    <w:p w:rsidR="003C6A03" w:rsidRPr="00174C87" w:rsidRDefault="003C6A03" w:rsidP="003C6A03">
      <w:pPr>
        <w:spacing w:after="0" w:line="240" w:lineRule="auto"/>
        <w:rPr>
          <w:rFonts w:ascii="Calibri" w:hAnsi="Calibri" w:cs="Times New Roman"/>
          <w:noProof/>
        </w:rPr>
      </w:pPr>
      <w:bookmarkStart w:id="24" w:name="_ENREF_24"/>
      <w:r w:rsidRPr="00174C87">
        <w:rPr>
          <w:rFonts w:ascii="Calibri" w:hAnsi="Calibri" w:cs="Times New Roman"/>
          <w:noProof/>
        </w:rPr>
        <w:t>24.</w:t>
      </w:r>
      <w:r w:rsidRPr="00174C87">
        <w:rPr>
          <w:rFonts w:ascii="Calibri" w:hAnsi="Calibri" w:cs="Times New Roman"/>
          <w:noProof/>
        </w:rPr>
        <w:tab/>
        <w:t>Gordon LG, Hirst NG, Mayne GC, Watson DI, Bright T, Cai W, et al. Modeling the cost-effectiveness of strategies for treating esophageal adenocarcinoma and high-grade dysplasia. J Gastrointest Surg. 2012 Aug;16(8):1451-61.</w:t>
      </w:r>
      <w:bookmarkEnd w:id="24"/>
    </w:p>
    <w:p w:rsidR="003C6A03" w:rsidRPr="00E42FDD" w:rsidRDefault="003C6A03" w:rsidP="003C6A03">
      <w:pPr>
        <w:spacing w:after="0" w:line="240" w:lineRule="auto"/>
        <w:rPr>
          <w:rFonts w:ascii="Calibri" w:hAnsi="Calibri" w:cs="Times New Roman"/>
          <w:noProof/>
          <w:lang w:val="nl-NL"/>
        </w:rPr>
      </w:pPr>
      <w:bookmarkStart w:id="25" w:name="_ENREF_25"/>
      <w:r w:rsidRPr="00174C87">
        <w:rPr>
          <w:rFonts w:ascii="Calibri" w:hAnsi="Calibri" w:cs="Times New Roman"/>
          <w:noProof/>
        </w:rPr>
        <w:t>25.</w:t>
      </w:r>
      <w:r w:rsidRPr="00174C87">
        <w:rPr>
          <w:rFonts w:ascii="Calibri" w:hAnsi="Calibri" w:cs="Times New Roman"/>
          <w:noProof/>
        </w:rPr>
        <w:tab/>
        <w:t xml:space="preserve">Hur C, Choi SE, Rubenstein JH, Kong CY, Nishioka NS, Provenzale DT, et al. The cost effectiveness of radiofrequency ablation for Barrett's esophagus. </w:t>
      </w:r>
      <w:r w:rsidRPr="00E42FDD">
        <w:rPr>
          <w:rFonts w:ascii="Calibri" w:hAnsi="Calibri" w:cs="Times New Roman"/>
          <w:noProof/>
          <w:lang w:val="nl-NL"/>
        </w:rPr>
        <w:t>Gastroenterology. 2012 Sep;143(3):567-75.</w:t>
      </w:r>
      <w:bookmarkEnd w:id="25"/>
    </w:p>
    <w:p w:rsidR="003C6A03" w:rsidRPr="00E42FDD" w:rsidRDefault="003C6A03" w:rsidP="003C6A03">
      <w:pPr>
        <w:spacing w:after="0" w:line="240" w:lineRule="auto"/>
        <w:rPr>
          <w:rFonts w:ascii="Calibri" w:hAnsi="Calibri" w:cs="Times New Roman"/>
          <w:noProof/>
          <w:lang w:val="nl-NL"/>
        </w:rPr>
      </w:pPr>
      <w:bookmarkStart w:id="26" w:name="_ENREF_26"/>
      <w:r w:rsidRPr="00E42FDD">
        <w:rPr>
          <w:rFonts w:ascii="Calibri" w:hAnsi="Calibri" w:cs="Times New Roman"/>
          <w:noProof/>
          <w:lang w:val="nl-NL"/>
        </w:rPr>
        <w:t>26.</w:t>
      </w:r>
      <w:r w:rsidRPr="00E42FDD">
        <w:rPr>
          <w:rFonts w:ascii="Calibri" w:hAnsi="Calibri" w:cs="Times New Roman"/>
          <w:noProof/>
          <w:lang w:val="nl-NL"/>
        </w:rPr>
        <w:tab/>
        <w:t xml:space="preserve">de Koning HJ, Meza R, Plevritis SK, ten Haaf K, Munshi VN, Jeon J, et al. </w:t>
      </w:r>
      <w:r w:rsidRPr="00174C87">
        <w:rPr>
          <w:rFonts w:ascii="Calibri" w:hAnsi="Calibri" w:cs="Times New Roman"/>
          <w:noProof/>
        </w:rPr>
        <w:t xml:space="preserve">Benefits and harms of computed tomography lung cancer screening strategies: a comparative modeling study for the U.S. Preventive Services Task Force. </w:t>
      </w:r>
      <w:r w:rsidRPr="00E42FDD">
        <w:rPr>
          <w:rFonts w:ascii="Calibri" w:hAnsi="Calibri" w:cs="Times New Roman"/>
          <w:noProof/>
          <w:lang w:val="nl-NL"/>
        </w:rPr>
        <w:t>Ann Intern Med. 2014 Mar 4;160(5):311-20.</w:t>
      </w:r>
      <w:bookmarkEnd w:id="26"/>
    </w:p>
    <w:p w:rsidR="003C6A03" w:rsidRPr="00174C87" w:rsidRDefault="003C6A03" w:rsidP="003C6A03">
      <w:pPr>
        <w:spacing w:after="0" w:line="240" w:lineRule="auto"/>
        <w:rPr>
          <w:rFonts w:ascii="Calibri" w:hAnsi="Calibri" w:cs="Times New Roman"/>
          <w:noProof/>
        </w:rPr>
      </w:pPr>
      <w:bookmarkStart w:id="27" w:name="_ENREF_27"/>
      <w:r w:rsidRPr="00E42FDD">
        <w:rPr>
          <w:rFonts w:ascii="Calibri" w:hAnsi="Calibri" w:cs="Times New Roman"/>
          <w:noProof/>
          <w:lang w:val="nl-NL"/>
        </w:rPr>
        <w:t>27.</w:t>
      </w:r>
      <w:r w:rsidRPr="00E42FDD">
        <w:rPr>
          <w:rFonts w:ascii="Calibri" w:hAnsi="Calibri" w:cs="Times New Roman"/>
          <w:noProof/>
          <w:lang w:val="nl-NL"/>
        </w:rPr>
        <w:tab/>
        <w:t xml:space="preserve">van Ballegooijen M, Rutter CM, Knudsen AB, Zauber AG, Savarino JE, Lansdorp-Vogelaar I, et al. </w:t>
      </w:r>
      <w:r w:rsidRPr="00174C87">
        <w:rPr>
          <w:rFonts w:ascii="Calibri" w:hAnsi="Calibri" w:cs="Times New Roman"/>
          <w:noProof/>
        </w:rPr>
        <w:t>Clarifying differences in natural history between models of screening: the case of colorectal cancer. Med Decis Making. 2011 Jul-Aug;31(4):540-9.</w:t>
      </w:r>
      <w:bookmarkEnd w:id="27"/>
    </w:p>
    <w:p w:rsidR="003C6A03" w:rsidRPr="00174C87" w:rsidRDefault="003C6A03" w:rsidP="003C6A03">
      <w:pPr>
        <w:spacing w:after="0" w:line="240" w:lineRule="auto"/>
        <w:rPr>
          <w:rFonts w:ascii="Calibri" w:hAnsi="Calibri" w:cs="Times New Roman"/>
          <w:noProof/>
        </w:rPr>
      </w:pPr>
      <w:bookmarkStart w:id="28" w:name="_ENREF_28"/>
      <w:r w:rsidRPr="00174C87">
        <w:rPr>
          <w:rFonts w:ascii="Calibri" w:hAnsi="Calibri" w:cs="Times New Roman"/>
          <w:noProof/>
        </w:rPr>
        <w:t>28.</w:t>
      </w:r>
      <w:r w:rsidRPr="00174C87">
        <w:rPr>
          <w:rFonts w:ascii="Calibri" w:hAnsi="Calibri" w:cs="Times New Roman"/>
          <w:noProof/>
        </w:rPr>
        <w:tab/>
        <w:t>Cook MB. Optimization and expansion of predictive models for Barrett's esophagus and esophageal adenocarcinoma: could a life-course exposure history be beneficial? Am J Gastroenterol. 2013 Jun;108(6):923-5.</w:t>
      </w:r>
      <w:bookmarkEnd w:id="28"/>
    </w:p>
    <w:p w:rsidR="003C6A03" w:rsidRPr="00174C87" w:rsidRDefault="003C6A03" w:rsidP="003C6A03">
      <w:pPr>
        <w:spacing w:after="0" w:line="240" w:lineRule="auto"/>
        <w:rPr>
          <w:rFonts w:ascii="Calibri" w:hAnsi="Calibri" w:cs="Times New Roman"/>
          <w:noProof/>
        </w:rPr>
      </w:pPr>
      <w:bookmarkStart w:id="29" w:name="_ENREF_29"/>
      <w:r w:rsidRPr="00174C87">
        <w:rPr>
          <w:rFonts w:ascii="Calibri" w:hAnsi="Calibri" w:cs="Times New Roman"/>
          <w:noProof/>
        </w:rPr>
        <w:t>29.</w:t>
      </w:r>
      <w:r w:rsidRPr="00174C87">
        <w:rPr>
          <w:rFonts w:ascii="Calibri" w:hAnsi="Calibri" w:cs="Times New Roman"/>
          <w:noProof/>
        </w:rPr>
        <w:tab/>
        <w:t>Shaheen NJ. Editorial: Predicting the risk of Barrett's esophagus: does the BERET fit? Am J Gastroenterol. 2013 Mar;108(3):363-5.</w:t>
      </w:r>
      <w:bookmarkEnd w:id="29"/>
    </w:p>
    <w:p w:rsidR="003C6A03" w:rsidRPr="00174C87" w:rsidRDefault="003C6A03" w:rsidP="003C6A03">
      <w:pPr>
        <w:spacing w:after="0" w:line="240" w:lineRule="auto"/>
        <w:rPr>
          <w:rFonts w:ascii="Calibri" w:hAnsi="Calibri" w:cs="Times New Roman"/>
          <w:noProof/>
        </w:rPr>
      </w:pPr>
      <w:bookmarkStart w:id="30" w:name="_ENREF_30"/>
      <w:r w:rsidRPr="00174C87">
        <w:rPr>
          <w:rFonts w:ascii="Calibri" w:hAnsi="Calibri" w:cs="Times New Roman"/>
          <w:noProof/>
        </w:rPr>
        <w:t>30.</w:t>
      </w:r>
      <w:r w:rsidRPr="00174C87">
        <w:rPr>
          <w:rFonts w:ascii="Calibri" w:hAnsi="Calibri" w:cs="Times New Roman"/>
          <w:noProof/>
        </w:rPr>
        <w:tab/>
        <w:t>Durability of Radiofrequency Ablation (RFA) in Barrett's Esophagus With Dysplasia: the AIM Dysplasia Trial At Five Years, W. Asher Wolf, Bergein F. Overholt, Nan Li, Charles J. Lightdale, Cary C. Cotton, Herbert C. Wolfsen, Sarina Pasricha, Kenneth K. Wang, and others, Gastroenterology, Vol. 146, Issue 5, S-131, Published in issue: May, 2014</w:t>
      </w:r>
      <w:bookmarkEnd w:id="30"/>
    </w:p>
    <w:p w:rsidR="003C6A03" w:rsidRPr="00174C87" w:rsidRDefault="003C6A03" w:rsidP="003C6A03">
      <w:pPr>
        <w:spacing w:after="0" w:line="240" w:lineRule="auto"/>
        <w:rPr>
          <w:rFonts w:ascii="Calibri" w:hAnsi="Calibri" w:cs="Times New Roman"/>
          <w:noProof/>
        </w:rPr>
      </w:pPr>
      <w:bookmarkStart w:id="31" w:name="_ENREF_31"/>
      <w:r w:rsidRPr="00174C87">
        <w:rPr>
          <w:rFonts w:ascii="Calibri" w:hAnsi="Calibri" w:cs="Times New Roman"/>
          <w:noProof/>
        </w:rPr>
        <w:t>31.</w:t>
      </w:r>
      <w:r w:rsidRPr="00174C87">
        <w:rPr>
          <w:rFonts w:ascii="Calibri" w:hAnsi="Calibri" w:cs="Times New Roman"/>
          <w:noProof/>
        </w:rPr>
        <w:tab/>
        <w:t>Predictors of Esophageal Adenocarcinoma in Patients With Prior Radiofrequency Ablation (RFA) for Treatment of Barrett's Esophagus: Results From the U.S. RFA Registry, W. Asher Wolf, Ron E. Pruitt, Atilla Ertan, Cary C. Cotton, Srinadh Komanduri, Sarina Pasricha, Anthony Infantolino, Nan Li, and others, Gastrointestinal Endoscopy, Vol. 79, Issue 5, AB217, Published in issue: May, 2014</w:t>
      </w:r>
      <w:bookmarkEnd w:id="31"/>
    </w:p>
    <w:p w:rsidR="003C6A03" w:rsidRPr="00E42FDD" w:rsidRDefault="003C6A03" w:rsidP="003C6A03">
      <w:pPr>
        <w:spacing w:after="0" w:line="240" w:lineRule="auto"/>
        <w:rPr>
          <w:rFonts w:ascii="Calibri" w:hAnsi="Calibri" w:cs="Times New Roman"/>
          <w:noProof/>
          <w:lang w:val="nl-NL"/>
        </w:rPr>
      </w:pPr>
      <w:bookmarkStart w:id="32" w:name="_ENREF_32"/>
      <w:r w:rsidRPr="00174C87">
        <w:rPr>
          <w:rFonts w:ascii="Calibri" w:hAnsi="Calibri" w:cs="Times New Roman"/>
          <w:noProof/>
        </w:rPr>
        <w:t>32.</w:t>
      </w:r>
      <w:r w:rsidRPr="00174C87">
        <w:rPr>
          <w:rFonts w:ascii="Calibri" w:hAnsi="Calibri" w:cs="Times New Roman"/>
          <w:noProof/>
        </w:rPr>
        <w:tab/>
        <w:t xml:space="preserve">Solaymani-Dodaran M, Card TR, West J. Cause-specific mortality of people with Barrett's esophagus compared with the general population: a population-based cohort study. </w:t>
      </w:r>
      <w:r w:rsidRPr="00E42FDD">
        <w:rPr>
          <w:rFonts w:ascii="Calibri" w:hAnsi="Calibri" w:cs="Times New Roman"/>
          <w:noProof/>
          <w:lang w:val="nl-NL"/>
        </w:rPr>
        <w:t>Gastroenterology. 2013 Jun;144(7):1375-83, 83 e1.</w:t>
      </w:r>
      <w:bookmarkEnd w:id="32"/>
    </w:p>
    <w:p w:rsidR="003C6A03" w:rsidRPr="00174C87" w:rsidRDefault="003C6A03" w:rsidP="003C6A03">
      <w:pPr>
        <w:spacing w:after="0" w:line="240" w:lineRule="auto"/>
        <w:rPr>
          <w:rFonts w:ascii="Calibri" w:hAnsi="Calibri" w:cs="Times New Roman"/>
          <w:noProof/>
        </w:rPr>
      </w:pPr>
      <w:bookmarkStart w:id="33" w:name="_ENREF_33"/>
      <w:r w:rsidRPr="00E42FDD">
        <w:rPr>
          <w:rFonts w:ascii="Calibri" w:hAnsi="Calibri" w:cs="Times New Roman"/>
          <w:noProof/>
          <w:lang w:val="nl-NL"/>
        </w:rPr>
        <w:t>33.</w:t>
      </w:r>
      <w:r w:rsidRPr="00E42FDD">
        <w:rPr>
          <w:rFonts w:ascii="Calibri" w:hAnsi="Calibri" w:cs="Times New Roman"/>
          <w:noProof/>
          <w:lang w:val="nl-NL"/>
        </w:rPr>
        <w:tab/>
        <w:t xml:space="preserve">Duits LC, Phoa KN, Curvers WL, Ten Kate FJ, Meijer GA, Seldenrijk CA, et al. </w:t>
      </w:r>
      <w:r w:rsidRPr="00174C87">
        <w:rPr>
          <w:rFonts w:ascii="Calibri" w:hAnsi="Calibri" w:cs="Times New Roman"/>
          <w:noProof/>
        </w:rPr>
        <w:t>Barrett's oesophagus patients with low-grade dysplasia can be accurately risk-stratified after histological review by an expert pathology panel. Gut. 2014 Jul 17.</w:t>
      </w:r>
      <w:bookmarkEnd w:id="33"/>
    </w:p>
    <w:p w:rsidR="003C6A03" w:rsidRPr="00174C87" w:rsidRDefault="003C6A03" w:rsidP="003C6A03">
      <w:pPr>
        <w:spacing w:after="0" w:line="240" w:lineRule="auto"/>
        <w:rPr>
          <w:rFonts w:ascii="Calibri" w:hAnsi="Calibri" w:cs="Times New Roman"/>
          <w:noProof/>
        </w:rPr>
      </w:pPr>
      <w:bookmarkStart w:id="34" w:name="_ENREF_34"/>
      <w:r w:rsidRPr="00174C87">
        <w:rPr>
          <w:rFonts w:ascii="Calibri" w:hAnsi="Calibri" w:cs="Times New Roman"/>
          <w:noProof/>
        </w:rPr>
        <w:t>34.</w:t>
      </w:r>
      <w:r w:rsidRPr="00174C87">
        <w:rPr>
          <w:rFonts w:ascii="Calibri" w:hAnsi="Calibri" w:cs="Times New Roman"/>
          <w:noProof/>
        </w:rPr>
        <w:tab/>
        <w:t>Falk GW, Chittajallu R, Goldblum JR, Biscotti CV, Geisinger KR, Petras RE, et al. Surveillance of patients with Barrett's esophagus for dysplasia and cancer with balloon cytology. Gastroenterology. 1997;112(6):1787-97.</w:t>
      </w:r>
      <w:bookmarkEnd w:id="34"/>
    </w:p>
    <w:p w:rsidR="003C6A03" w:rsidRPr="00174C87" w:rsidRDefault="003C6A03" w:rsidP="003C6A03">
      <w:pPr>
        <w:spacing w:after="0" w:line="240" w:lineRule="auto"/>
        <w:rPr>
          <w:rFonts w:ascii="Calibri" w:hAnsi="Calibri" w:cs="Times New Roman"/>
          <w:noProof/>
        </w:rPr>
      </w:pPr>
      <w:bookmarkStart w:id="35" w:name="_ENREF_35"/>
      <w:r w:rsidRPr="00174C87">
        <w:rPr>
          <w:rFonts w:ascii="Calibri" w:hAnsi="Calibri" w:cs="Times New Roman"/>
          <w:noProof/>
        </w:rPr>
        <w:t>35.</w:t>
      </w:r>
      <w:r w:rsidRPr="00174C87">
        <w:rPr>
          <w:rFonts w:ascii="Calibri" w:hAnsi="Calibri" w:cs="Times New Roman"/>
          <w:noProof/>
        </w:rPr>
        <w:tab/>
        <w:t>Silvis SE, Nebel O, Rogers G, Sugawa C, Mandelstam P. Endoscopic complications. Results of the 1974 American Society for Gastrointestinal Endoscopy Survey. Jama. 1976;235(9):928-30.</w:t>
      </w:r>
      <w:bookmarkEnd w:id="35"/>
    </w:p>
    <w:p w:rsidR="003C6A03" w:rsidRPr="00E42FDD" w:rsidRDefault="003C6A03" w:rsidP="003C6A03">
      <w:pPr>
        <w:spacing w:after="0" w:line="240" w:lineRule="auto"/>
        <w:rPr>
          <w:rFonts w:ascii="Calibri" w:hAnsi="Calibri" w:cs="Times New Roman"/>
          <w:noProof/>
          <w:lang w:val="nl-NL"/>
        </w:rPr>
      </w:pPr>
      <w:bookmarkStart w:id="36" w:name="_ENREF_36"/>
      <w:r w:rsidRPr="00174C87">
        <w:rPr>
          <w:rFonts w:ascii="Calibri" w:hAnsi="Calibri" w:cs="Times New Roman"/>
          <w:noProof/>
        </w:rPr>
        <w:lastRenderedPageBreak/>
        <w:t>36.</w:t>
      </w:r>
      <w:r w:rsidRPr="00174C87">
        <w:rPr>
          <w:rFonts w:ascii="Calibri" w:hAnsi="Calibri" w:cs="Times New Roman"/>
          <w:noProof/>
        </w:rPr>
        <w:tab/>
        <w:t xml:space="preserve">Ofman JJ, Shaheen NJ, Desai AA, Moody B, Bozymski EM, Weinstein WM. The quality of care in Barrett's esophagus: endoscopist and pathologist practices. </w:t>
      </w:r>
      <w:r w:rsidRPr="00E42FDD">
        <w:rPr>
          <w:rFonts w:ascii="Calibri" w:hAnsi="Calibri" w:cs="Times New Roman"/>
          <w:noProof/>
          <w:lang w:val="nl-NL"/>
        </w:rPr>
        <w:t>Am J Gastroenterol. [Evaluation Studies]. 2001 Mar;96(3):876-81.</w:t>
      </w:r>
      <w:bookmarkEnd w:id="36"/>
    </w:p>
    <w:p w:rsidR="003C6A03" w:rsidRPr="00174C87" w:rsidRDefault="003C6A03" w:rsidP="003C6A03">
      <w:pPr>
        <w:spacing w:after="0" w:line="240" w:lineRule="auto"/>
        <w:rPr>
          <w:rFonts w:ascii="Calibri" w:hAnsi="Calibri" w:cs="Times New Roman"/>
          <w:noProof/>
        </w:rPr>
      </w:pPr>
      <w:bookmarkStart w:id="37" w:name="_ENREF_37"/>
      <w:r w:rsidRPr="00E42FDD">
        <w:rPr>
          <w:rFonts w:ascii="Calibri" w:hAnsi="Calibri" w:cs="Times New Roman"/>
          <w:noProof/>
          <w:lang w:val="nl-NL"/>
        </w:rPr>
        <w:t>37.</w:t>
      </w:r>
      <w:r w:rsidRPr="00E42FDD">
        <w:rPr>
          <w:rFonts w:ascii="Calibri" w:hAnsi="Calibri" w:cs="Times New Roman"/>
          <w:noProof/>
          <w:lang w:val="nl-NL"/>
        </w:rPr>
        <w:tab/>
        <w:t xml:space="preserve">Gondrie JJ, Pouw RE, Sondermeijer CM, Peters FP, Curvers WL, Rosmolen WD, et al. </w:t>
      </w:r>
      <w:r w:rsidRPr="00174C87">
        <w:rPr>
          <w:rFonts w:ascii="Calibri" w:hAnsi="Calibri" w:cs="Times New Roman"/>
          <w:noProof/>
        </w:rPr>
        <w:t>Effective treatment of early Barrett's neoplasia with stepwise circumferential and focal ablation using the HALO system. Endoscopy. 2008 May;40(5):370-9.</w:t>
      </w:r>
      <w:bookmarkEnd w:id="37"/>
    </w:p>
    <w:p w:rsidR="003C6A03" w:rsidRPr="00174C87" w:rsidRDefault="003C6A03" w:rsidP="003C6A03">
      <w:pPr>
        <w:spacing w:after="0" w:line="240" w:lineRule="auto"/>
        <w:rPr>
          <w:rFonts w:ascii="Calibri" w:hAnsi="Calibri" w:cs="Times New Roman"/>
          <w:noProof/>
        </w:rPr>
      </w:pPr>
      <w:bookmarkStart w:id="38" w:name="_ENREF_38"/>
      <w:r w:rsidRPr="00174C87">
        <w:rPr>
          <w:rFonts w:ascii="Calibri" w:hAnsi="Calibri" w:cs="Times New Roman"/>
          <w:noProof/>
        </w:rPr>
        <w:t>38.</w:t>
      </w:r>
      <w:r w:rsidRPr="00174C87">
        <w:rPr>
          <w:rFonts w:ascii="Calibri" w:hAnsi="Calibri" w:cs="Times New Roman"/>
          <w:noProof/>
        </w:rPr>
        <w:tab/>
        <w:t>Sharma VK, Kim HJ, Das A, Dean P, DePetris G, Fleischer DE. A prospective pilot trial of ablation of Barrett's esophagus with low-grade dysplasia using stepwise circumferential and focal ablation (HALO system). Endoscopy. 2008 May;40(5):380-7.</w:t>
      </w:r>
      <w:bookmarkEnd w:id="38"/>
    </w:p>
    <w:p w:rsidR="003C6A03" w:rsidRPr="00AD2981" w:rsidRDefault="003C6A03" w:rsidP="003C6A03">
      <w:pPr>
        <w:spacing w:after="0" w:line="240" w:lineRule="auto"/>
        <w:rPr>
          <w:rFonts w:ascii="Calibri" w:hAnsi="Calibri" w:cs="Times New Roman"/>
          <w:noProof/>
        </w:rPr>
      </w:pPr>
      <w:bookmarkStart w:id="39" w:name="_ENREF_39"/>
      <w:r w:rsidRPr="00174C87">
        <w:rPr>
          <w:rFonts w:ascii="Calibri" w:hAnsi="Calibri" w:cs="Times New Roman"/>
          <w:noProof/>
        </w:rPr>
        <w:t>39.</w:t>
      </w:r>
      <w:r w:rsidRPr="00174C87">
        <w:rPr>
          <w:rFonts w:ascii="Calibri" w:hAnsi="Calibri" w:cs="Times New Roman"/>
          <w:noProof/>
        </w:rPr>
        <w:tab/>
        <w:t xml:space="preserve">Roorda AK, Marcus SN, Triadafilopoulos G. Early experience with radiofrequency energy ablation therapy for Barrett's esophagus with and without dysplasia. </w:t>
      </w:r>
      <w:r w:rsidRPr="00AD2981">
        <w:rPr>
          <w:rFonts w:ascii="Calibri" w:hAnsi="Calibri" w:cs="Times New Roman"/>
          <w:noProof/>
        </w:rPr>
        <w:t>Dis Esophagus. 2007;20(6):516-22.</w:t>
      </w:r>
      <w:bookmarkEnd w:id="39"/>
    </w:p>
    <w:p w:rsidR="003C6A03" w:rsidRPr="00174C87" w:rsidRDefault="003C6A03" w:rsidP="003C6A03">
      <w:pPr>
        <w:spacing w:after="0" w:line="240" w:lineRule="auto"/>
        <w:rPr>
          <w:rFonts w:ascii="Calibri" w:hAnsi="Calibri" w:cs="Times New Roman"/>
          <w:noProof/>
        </w:rPr>
      </w:pPr>
      <w:bookmarkStart w:id="40" w:name="_ENREF_40"/>
      <w:r w:rsidRPr="00AD2981">
        <w:rPr>
          <w:rFonts w:ascii="Calibri" w:hAnsi="Calibri" w:cs="Times New Roman"/>
          <w:noProof/>
        </w:rPr>
        <w:t>40.</w:t>
      </w:r>
      <w:r w:rsidRPr="00AD2981">
        <w:rPr>
          <w:rFonts w:ascii="Calibri" w:hAnsi="Calibri" w:cs="Times New Roman"/>
          <w:noProof/>
        </w:rPr>
        <w:tab/>
        <w:t xml:space="preserve">Ganz RA, Overholt BF, Sharma VK, Fleischer DE, Shaheen NJ, Lightdale CJ, et al. </w:t>
      </w:r>
      <w:r w:rsidRPr="00174C87">
        <w:rPr>
          <w:rFonts w:ascii="Calibri" w:hAnsi="Calibri" w:cs="Times New Roman"/>
          <w:noProof/>
        </w:rPr>
        <w:t>Circumferential ablation of Barrett's esophagus that contains high-grade dysplasia: a U.S. Multicenter Registry. Gastrointest Endosc. 2008 Jul;68(1):35-40.</w:t>
      </w:r>
      <w:bookmarkEnd w:id="40"/>
    </w:p>
    <w:p w:rsidR="003C6A03" w:rsidRPr="00174C87" w:rsidRDefault="003C6A03" w:rsidP="003C6A03">
      <w:pPr>
        <w:spacing w:after="0" w:line="240" w:lineRule="auto"/>
        <w:rPr>
          <w:rFonts w:ascii="Calibri" w:hAnsi="Calibri" w:cs="Times New Roman"/>
          <w:noProof/>
        </w:rPr>
      </w:pPr>
      <w:bookmarkStart w:id="41" w:name="_ENREF_41"/>
      <w:r w:rsidRPr="00174C87">
        <w:rPr>
          <w:rFonts w:ascii="Calibri" w:hAnsi="Calibri" w:cs="Times New Roman"/>
          <w:noProof/>
        </w:rPr>
        <w:t>41.</w:t>
      </w:r>
      <w:r w:rsidRPr="00174C87">
        <w:rPr>
          <w:rFonts w:ascii="Calibri" w:hAnsi="Calibri" w:cs="Times New Roman"/>
          <w:noProof/>
        </w:rPr>
        <w:tab/>
        <w:t>Sharma VK, Wang KK, Overholt BF, Lightdale CJ, Fennerty MB, Dean PJ, et al. Balloon-based, circumferential, endoscopic radiofrequency ablation of Barrett's esophagus: 1-year follow-up of 100 patients. Gastrointest Endosc. 2007 Feb;65(2):185-95.</w:t>
      </w:r>
      <w:bookmarkEnd w:id="41"/>
    </w:p>
    <w:p w:rsidR="003C6A03" w:rsidRPr="00174C87" w:rsidRDefault="003C6A03" w:rsidP="003C6A03">
      <w:pPr>
        <w:spacing w:after="0" w:line="240" w:lineRule="auto"/>
        <w:rPr>
          <w:rFonts w:ascii="Calibri" w:hAnsi="Calibri" w:cs="Times New Roman"/>
          <w:noProof/>
        </w:rPr>
      </w:pPr>
      <w:bookmarkStart w:id="42" w:name="_ENREF_42"/>
      <w:r w:rsidRPr="00174C87">
        <w:rPr>
          <w:rFonts w:ascii="Calibri" w:hAnsi="Calibri" w:cs="Times New Roman"/>
          <w:noProof/>
        </w:rPr>
        <w:t>42.</w:t>
      </w:r>
      <w:r w:rsidRPr="00174C87">
        <w:rPr>
          <w:rFonts w:ascii="Calibri" w:hAnsi="Calibri" w:cs="Times New Roman"/>
          <w:noProof/>
        </w:rPr>
        <w:tab/>
        <w:t>Yabroff KR, Lamont EB, Mariotto A, Warren JL, Topor M, Meekins A, et al. Cost of care for elderly cancer patients in the United States. J Natl Cancer Inst. 2008 May 7;100(9):630-41.</w:t>
      </w:r>
      <w:bookmarkEnd w:id="42"/>
    </w:p>
    <w:p w:rsidR="003C6A03" w:rsidRPr="00174C87" w:rsidRDefault="003C6A03" w:rsidP="003C6A03">
      <w:pPr>
        <w:spacing w:after="0" w:line="240" w:lineRule="auto"/>
        <w:rPr>
          <w:rFonts w:ascii="Calibri" w:hAnsi="Calibri" w:cs="Times New Roman"/>
          <w:noProof/>
        </w:rPr>
      </w:pPr>
      <w:bookmarkStart w:id="43" w:name="_ENREF_43"/>
      <w:r w:rsidRPr="00174C87">
        <w:rPr>
          <w:rFonts w:ascii="Calibri" w:hAnsi="Calibri" w:cs="Times New Roman"/>
          <w:noProof/>
        </w:rPr>
        <w:t>43.</w:t>
      </w:r>
      <w:r w:rsidRPr="00174C87">
        <w:rPr>
          <w:rFonts w:ascii="Calibri" w:hAnsi="Calibri" w:cs="Times New Roman"/>
          <w:noProof/>
        </w:rPr>
        <w:tab/>
        <w:t>Hur C, Wittenberg E, Nishioka NS, Gazelle GS. Quality of life in patients with various Barrett's esophagus associated health states. Health Qual Life Outcomes. 2006;4:45.</w:t>
      </w:r>
      <w:bookmarkEnd w:id="43"/>
    </w:p>
    <w:p w:rsidR="003C6A03" w:rsidRPr="00174C87" w:rsidRDefault="003C6A03" w:rsidP="003C6A03">
      <w:pPr>
        <w:spacing w:after="0" w:line="240" w:lineRule="auto"/>
        <w:rPr>
          <w:rFonts w:ascii="Calibri" w:hAnsi="Calibri" w:cs="Times New Roman"/>
          <w:noProof/>
        </w:rPr>
      </w:pPr>
      <w:bookmarkStart w:id="44" w:name="_ENREF_44"/>
      <w:r w:rsidRPr="00174C87">
        <w:rPr>
          <w:rFonts w:ascii="Calibri" w:hAnsi="Calibri" w:cs="Times New Roman"/>
          <w:noProof/>
        </w:rPr>
        <w:t>44.</w:t>
      </w:r>
      <w:r w:rsidRPr="00174C87">
        <w:rPr>
          <w:rFonts w:ascii="Calibri" w:hAnsi="Calibri" w:cs="Times New Roman"/>
          <w:noProof/>
        </w:rPr>
        <w:tab/>
        <w:t>Garside R, Pitt M, Somerville M, Stein K, Price A, Gilbert N. Surveillance of Barrett's oesophagus: exploring the uncertainty through systematic review, expert workshop and economic modelling. Health Technol Assess. 2006 Mar;10(8):1-142, iii-iv.</w:t>
      </w:r>
      <w:bookmarkEnd w:id="44"/>
    </w:p>
    <w:p w:rsidR="003C6A03" w:rsidRPr="00174C87" w:rsidRDefault="003C6A03" w:rsidP="003C6A03">
      <w:pPr>
        <w:spacing w:after="0" w:line="240" w:lineRule="auto"/>
        <w:rPr>
          <w:rFonts w:ascii="Calibri" w:hAnsi="Calibri" w:cs="Times New Roman"/>
          <w:noProof/>
        </w:rPr>
      </w:pPr>
      <w:bookmarkStart w:id="45" w:name="_ENREF_45"/>
      <w:r w:rsidRPr="00174C87">
        <w:rPr>
          <w:rFonts w:ascii="Calibri" w:hAnsi="Calibri" w:cs="Times New Roman"/>
          <w:noProof/>
        </w:rPr>
        <w:t>45.</w:t>
      </w:r>
      <w:r w:rsidRPr="00174C87">
        <w:rPr>
          <w:rFonts w:ascii="Calibri" w:hAnsi="Calibri" w:cs="Times New Roman"/>
          <w:noProof/>
        </w:rPr>
        <w:tab/>
        <w:t>A AG, G TM, S RG, W SA, A ME-S. Molluscicidal Activity of the Methanol Extract of Callistemon viminalis (Sol. ex Gaertner) G.Don ex Loudon Fruits, Bark and Leaves against Biomphalaria alexandrina Snails. Iran J Pharm Res. 2014 Spring;13(2):505-14.</w:t>
      </w:r>
      <w:bookmarkEnd w:id="45"/>
    </w:p>
    <w:p w:rsidR="003C6A03" w:rsidRPr="00174C87" w:rsidRDefault="003C6A03" w:rsidP="003C6A03">
      <w:pPr>
        <w:spacing w:after="0" w:line="240" w:lineRule="auto"/>
        <w:rPr>
          <w:rFonts w:ascii="Calibri" w:hAnsi="Calibri" w:cs="Times New Roman"/>
          <w:noProof/>
        </w:rPr>
      </w:pPr>
      <w:bookmarkStart w:id="46" w:name="_ENREF_46"/>
      <w:r w:rsidRPr="00174C87">
        <w:rPr>
          <w:rFonts w:ascii="Calibri" w:hAnsi="Calibri" w:cs="Times New Roman"/>
          <w:noProof/>
        </w:rPr>
        <w:t>46.</w:t>
      </w:r>
      <w:r w:rsidRPr="00174C87">
        <w:rPr>
          <w:rFonts w:ascii="Calibri" w:hAnsi="Calibri" w:cs="Times New Roman"/>
          <w:noProof/>
        </w:rPr>
        <w:tab/>
        <w:t>Jeon J, Luebeck EG, Moolgavkar SH. Age effects and temporal trends in adenocarcinoma of the esophagus and gastric cardia (United States). Cancer Causes Control. 2006 Sep;17(7):971-81.</w:t>
      </w:r>
      <w:bookmarkEnd w:id="46"/>
    </w:p>
    <w:p w:rsidR="003C6A03" w:rsidRPr="00174C87" w:rsidRDefault="003C6A03" w:rsidP="003C6A03">
      <w:pPr>
        <w:spacing w:after="0" w:line="240" w:lineRule="auto"/>
        <w:rPr>
          <w:rFonts w:ascii="Calibri" w:hAnsi="Calibri" w:cs="Times New Roman"/>
          <w:noProof/>
        </w:rPr>
      </w:pPr>
      <w:bookmarkStart w:id="47" w:name="_ENREF_47"/>
      <w:r w:rsidRPr="00174C87">
        <w:rPr>
          <w:rFonts w:ascii="Calibri" w:hAnsi="Calibri" w:cs="Times New Roman"/>
          <w:noProof/>
        </w:rPr>
        <w:t>47.</w:t>
      </w:r>
      <w:r w:rsidRPr="00174C87">
        <w:rPr>
          <w:rFonts w:ascii="Calibri" w:hAnsi="Calibri" w:cs="Times New Roman"/>
          <w:noProof/>
        </w:rPr>
        <w:tab/>
        <w:t>Luebeck EG, Curtius K, Jeon J, Hazelton WD. Impact of tumor progression on cancer incidence curves. Cancer research. 2013 Feb 1;73(3):1086-96.</w:t>
      </w:r>
      <w:bookmarkEnd w:id="47"/>
    </w:p>
    <w:p w:rsidR="003C6A03" w:rsidRPr="00174C87" w:rsidRDefault="003C6A03" w:rsidP="003C6A03">
      <w:pPr>
        <w:spacing w:after="0" w:line="240" w:lineRule="auto"/>
        <w:rPr>
          <w:rFonts w:ascii="Calibri" w:hAnsi="Calibri" w:cs="Times New Roman"/>
          <w:noProof/>
        </w:rPr>
      </w:pPr>
      <w:bookmarkStart w:id="48" w:name="_ENREF_48"/>
      <w:r w:rsidRPr="00174C87">
        <w:rPr>
          <w:rFonts w:ascii="Calibri" w:hAnsi="Calibri" w:cs="Times New Roman"/>
          <w:noProof/>
        </w:rPr>
        <w:t>48.</w:t>
      </w:r>
      <w:r w:rsidRPr="00174C87">
        <w:rPr>
          <w:rFonts w:ascii="Calibri" w:hAnsi="Calibri" w:cs="Times New Roman"/>
          <w:noProof/>
        </w:rPr>
        <w:tab/>
        <w:t>Curtius K, Hazelton W, Jeon J, Luebeck EG. Screening for Neoplasia in Barrett's Esophagus: a Stochastic, Multiscale Approach. 2014.</w:t>
      </w:r>
      <w:bookmarkEnd w:id="48"/>
    </w:p>
    <w:p w:rsidR="003C6A03" w:rsidRPr="00174C87" w:rsidRDefault="003C6A03" w:rsidP="003C6A03">
      <w:pPr>
        <w:spacing w:after="0" w:line="240" w:lineRule="auto"/>
        <w:rPr>
          <w:rFonts w:ascii="Calibri" w:hAnsi="Calibri" w:cs="Times New Roman"/>
          <w:noProof/>
        </w:rPr>
      </w:pPr>
      <w:bookmarkStart w:id="49" w:name="_ENREF_49"/>
      <w:r w:rsidRPr="00174C87">
        <w:rPr>
          <w:rFonts w:ascii="Calibri" w:hAnsi="Calibri" w:cs="Times New Roman"/>
          <w:noProof/>
        </w:rPr>
        <w:t>49.</w:t>
      </w:r>
      <w:r w:rsidRPr="00174C87">
        <w:rPr>
          <w:rFonts w:ascii="Calibri" w:hAnsi="Calibri" w:cs="Times New Roman"/>
          <w:noProof/>
        </w:rPr>
        <w:tab/>
        <w:t>Yu B, Tiwari RC, Cronin KA, McDonald C, Feuer EJ. CANSURV: A Windows program for population-based cancer survival analysis. Computer methods and programs in biomedicine. 2005 Dec;80(3):195-203.</w:t>
      </w:r>
      <w:bookmarkEnd w:id="49"/>
    </w:p>
    <w:p w:rsidR="003C6A03" w:rsidRPr="00174C87" w:rsidRDefault="003C6A03" w:rsidP="003C6A03">
      <w:pPr>
        <w:spacing w:after="0" w:line="240" w:lineRule="auto"/>
        <w:rPr>
          <w:rFonts w:ascii="Calibri" w:hAnsi="Calibri" w:cs="Times New Roman"/>
          <w:noProof/>
        </w:rPr>
      </w:pPr>
      <w:bookmarkStart w:id="50" w:name="_ENREF_50"/>
      <w:r w:rsidRPr="00174C87">
        <w:rPr>
          <w:rFonts w:ascii="Calibri" w:hAnsi="Calibri" w:cs="Times New Roman"/>
          <w:noProof/>
        </w:rPr>
        <w:t>50.</w:t>
      </w:r>
      <w:r w:rsidRPr="00174C87">
        <w:rPr>
          <w:rFonts w:ascii="Calibri" w:hAnsi="Calibri" w:cs="Times New Roman"/>
          <w:noProof/>
        </w:rPr>
        <w:tab/>
        <w:t>Wani S, Drahos J, Cook MB, Rastogi A, Bansal A, Yen R, et al. Comparison of endoscopic therapies and surgical resection in patients with early esophageal cancer: a population-based study. Gastrointest Endosc. [Research Support, Non-U.S. Gov't]. 2014 Feb;79(2):224-32 e1.</w:t>
      </w:r>
      <w:bookmarkEnd w:id="50"/>
    </w:p>
    <w:p w:rsidR="003C6A03" w:rsidRPr="00174C87" w:rsidRDefault="003C6A03" w:rsidP="003C6A03">
      <w:pPr>
        <w:spacing w:line="240" w:lineRule="auto"/>
        <w:rPr>
          <w:rFonts w:ascii="Calibri" w:hAnsi="Calibri" w:cs="Times New Roman"/>
          <w:noProof/>
        </w:rPr>
      </w:pPr>
      <w:bookmarkStart w:id="51" w:name="_ENREF_51"/>
      <w:r w:rsidRPr="00AD2981">
        <w:rPr>
          <w:rFonts w:ascii="Calibri" w:hAnsi="Calibri" w:cs="Times New Roman"/>
          <w:noProof/>
        </w:rPr>
        <w:t>51.</w:t>
      </w:r>
      <w:r w:rsidRPr="00AD2981">
        <w:rPr>
          <w:rFonts w:ascii="Calibri" w:hAnsi="Calibri" w:cs="Times New Roman"/>
          <w:noProof/>
        </w:rPr>
        <w:tab/>
        <w:t xml:space="preserve">Bedi AO, Kwon RS, Rubenstein JH, Piraka CR, Elta GH, Scheiman JM, et al. </w:t>
      </w:r>
      <w:r w:rsidRPr="00174C87">
        <w:rPr>
          <w:rFonts w:ascii="Calibri" w:hAnsi="Calibri" w:cs="Times New Roman"/>
          <w:noProof/>
        </w:rPr>
        <w:t>A survey of expert follow-up practices after successful endoscopic eradication therapy for Barrett's esophagus with high-grade dysplasia and intramucosal adenocarcinoma. Gastrointest Endosc. 2013 Nov;78(5):696-701.</w:t>
      </w:r>
      <w:bookmarkEnd w:id="51"/>
    </w:p>
    <w:p w:rsidR="003C6A03" w:rsidRDefault="003C6A03" w:rsidP="003C6A03">
      <w:pPr>
        <w:spacing w:line="240" w:lineRule="auto"/>
        <w:rPr>
          <w:rFonts w:ascii="Calibri" w:hAnsi="Calibri" w:cs="Times New Roman"/>
          <w:noProof/>
        </w:rPr>
      </w:pPr>
    </w:p>
    <w:p w:rsidR="003C6A03" w:rsidRDefault="003C6A03" w:rsidP="003C6A03">
      <w:pPr>
        <w:spacing w:line="480" w:lineRule="auto"/>
        <w:rPr>
          <w:rFonts w:ascii="Times New Roman" w:hAnsi="Times New Roman" w:cs="Times New Roman"/>
          <w:b/>
        </w:rPr>
      </w:pPr>
      <w:r w:rsidRPr="0042378E">
        <w:rPr>
          <w:rFonts w:ascii="Times New Roman" w:hAnsi="Times New Roman" w:cs="Times New Roman"/>
        </w:rPr>
        <w:fldChar w:fldCharType="end"/>
      </w:r>
    </w:p>
    <w:p w:rsidR="003C6A03" w:rsidRPr="00CD0E57" w:rsidRDefault="003C6A03" w:rsidP="003C6A03">
      <w:pPr>
        <w:pStyle w:val="Heading1"/>
        <w:spacing w:line="240" w:lineRule="auto"/>
        <w:rPr>
          <w:rFonts w:ascii="Arial" w:hAnsi="Arial" w:cs="Arial"/>
          <w:color w:val="auto"/>
          <w:sz w:val="24"/>
          <w:szCs w:val="24"/>
        </w:rPr>
      </w:pPr>
      <w:r>
        <w:rPr>
          <w:rFonts w:ascii="Arial" w:hAnsi="Arial" w:cs="Arial"/>
          <w:color w:val="auto"/>
          <w:sz w:val="24"/>
          <w:szCs w:val="24"/>
        </w:rPr>
        <w:t>Appendix t</w:t>
      </w:r>
      <w:r w:rsidRPr="00CD0E57">
        <w:rPr>
          <w:rFonts w:ascii="Arial" w:hAnsi="Arial" w:cs="Arial"/>
          <w:color w:val="auto"/>
          <w:sz w:val="24"/>
          <w:szCs w:val="24"/>
        </w:rPr>
        <w:t>able 1.  Input &amp; sensitivity parameters</w:t>
      </w:r>
    </w:p>
    <w:p w:rsidR="003C6A03" w:rsidRPr="00AA7593" w:rsidRDefault="003C6A03" w:rsidP="003C6A03">
      <w:pPr>
        <w:spacing w:after="0" w:line="240" w:lineRule="auto"/>
      </w:pPr>
    </w:p>
    <w:tbl>
      <w:tblPr>
        <w:tblStyle w:val="MediumList1-Accent3"/>
        <w:tblW w:w="10360" w:type="dxa"/>
        <w:jc w:val="center"/>
        <w:tblBorders>
          <w:top w:val="none" w:sz="0" w:space="0" w:color="auto"/>
          <w:bottom w:val="none" w:sz="0" w:space="0" w:color="auto"/>
        </w:tblBorders>
        <w:tblLook w:val="04A0" w:firstRow="1" w:lastRow="0" w:firstColumn="1" w:lastColumn="0" w:noHBand="0" w:noVBand="1"/>
      </w:tblPr>
      <w:tblGrid>
        <w:gridCol w:w="1966"/>
        <w:gridCol w:w="1128"/>
        <w:gridCol w:w="1052"/>
        <w:gridCol w:w="784"/>
        <w:gridCol w:w="772"/>
        <w:gridCol w:w="1028"/>
        <w:gridCol w:w="672"/>
        <w:gridCol w:w="784"/>
        <w:gridCol w:w="1028"/>
        <w:gridCol w:w="1146"/>
      </w:tblGrid>
      <w:tr w:rsidR="003C6A03" w:rsidRPr="0039591C" w:rsidTr="00223E29">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bottom w:val="single" w:sz="4" w:space="0" w:color="auto"/>
            </w:tcBorders>
            <w:noWrap/>
            <w:hideMark/>
          </w:tcPr>
          <w:p w:rsidR="003C6A03" w:rsidRPr="0039591C" w:rsidRDefault="003C6A03" w:rsidP="00223E29">
            <w:pPr>
              <w:rPr>
                <w:rFonts w:ascii="Arial" w:hAnsi="Arial" w:cs="Arial"/>
                <w:sz w:val="20"/>
                <w:szCs w:val="20"/>
              </w:rPr>
            </w:pPr>
          </w:p>
        </w:tc>
        <w:tc>
          <w:tcPr>
            <w:tcW w:w="2964" w:type="dxa"/>
            <w:gridSpan w:val="3"/>
            <w:tcBorders>
              <w:top w:val="none" w:sz="0" w:space="0" w:color="auto"/>
              <w:bottom w:val="single" w:sz="4" w:space="0" w:color="auto"/>
            </w:tcBorders>
            <w:noWrap/>
            <w:hideMark/>
          </w:tcPr>
          <w:p w:rsidR="003C6A03" w:rsidRPr="0039591C" w:rsidRDefault="003C6A03" w:rsidP="00223E29">
            <w:pP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39591C">
              <w:rPr>
                <w:rFonts w:ascii="Arial" w:hAnsi="Arial" w:cs="Arial"/>
                <w:b/>
                <w:bCs/>
                <w:sz w:val="20"/>
                <w:szCs w:val="20"/>
              </w:rPr>
              <w:t>Base values</w:t>
            </w:r>
          </w:p>
        </w:tc>
        <w:tc>
          <w:tcPr>
            <w:tcW w:w="0" w:type="auto"/>
            <w:gridSpan w:val="3"/>
            <w:tcBorders>
              <w:top w:val="none" w:sz="0" w:space="0" w:color="auto"/>
              <w:bottom w:val="single" w:sz="4" w:space="0" w:color="auto"/>
            </w:tcBorders>
            <w:noWrap/>
            <w:hideMark/>
          </w:tcPr>
          <w:p w:rsidR="003C6A03" w:rsidRPr="0039591C" w:rsidRDefault="003C6A03" w:rsidP="00223E29">
            <w:pP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39591C">
              <w:rPr>
                <w:rFonts w:ascii="Arial" w:hAnsi="Arial" w:cs="Arial"/>
                <w:b/>
                <w:bCs/>
                <w:sz w:val="20"/>
                <w:szCs w:val="20"/>
              </w:rPr>
              <w:t>Lower value</w:t>
            </w:r>
          </w:p>
        </w:tc>
        <w:tc>
          <w:tcPr>
            <w:tcW w:w="2958" w:type="dxa"/>
            <w:gridSpan w:val="3"/>
            <w:tcBorders>
              <w:top w:val="none" w:sz="0" w:space="0" w:color="auto"/>
              <w:bottom w:val="single" w:sz="4" w:space="0" w:color="auto"/>
            </w:tcBorders>
            <w:noWrap/>
            <w:hideMark/>
          </w:tcPr>
          <w:p w:rsidR="003C6A03" w:rsidRPr="0039591C" w:rsidRDefault="003C6A03" w:rsidP="00223E29">
            <w:pP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39591C">
              <w:rPr>
                <w:rFonts w:ascii="Arial" w:hAnsi="Arial" w:cs="Arial"/>
                <w:b/>
                <w:bCs/>
                <w:sz w:val="20"/>
                <w:szCs w:val="20"/>
              </w:rPr>
              <w:t>Upper value</w:t>
            </w:r>
          </w:p>
        </w:tc>
      </w:tr>
      <w:tr w:rsidR="003C6A03" w:rsidRPr="0039591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tcBorders>
              <w:top w:val="single" w:sz="4" w:space="0" w:color="auto"/>
            </w:tcBorders>
            <w:noWrap/>
            <w:hideMark/>
          </w:tcPr>
          <w:p w:rsidR="003C6A03" w:rsidRPr="00CD0E57" w:rsidRDefault="003C6A03" w:rsidP="00223E29">
            <w:pPr>
              <w:rPr>
                <w:rFonts w:ascii="Arial" w:hAnsi="Arial" w:cs="Arial"/>
                <w:sz w:val="20"/>
                <w:szCs w:val="20"/>
              </w:rPr>
            </w:pPr>
            <w:r w:rsidRPr="00CD0E57">
              <w:rPr>
                <w:rFonts w:ascii="Arial" w:hAnsi="Arial" w:cs="Arial"/>
                <w:sz w:val="20"/>
                <w:szCs w:val="20"/>
              </w:rPr>
              <w:lastRenderedPageBreak/>
              <w:t>Durability of successful treatment</w:t>
            </w:r>
          </w:p>
        </w:tc>
      </w:tr>
      <w:tr w:rsidR="003C6A03" w:rsidRPr="0039591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tcPr>
          <w:p w:rsidR="003C6A03" w:rsidRPr="0039591C" w:rsidRDefault="003C6A03" w:rsidP="00223E29">
            <w:pPr>
              <w:rPr>
                <w:rFonts w:ascii="Arial" w:hAnsi="Arial" w:cs="Arial"/>
                <w:sz w:val="20"/>
                <w:szCs w:val="20"/>
              </w:rPr>
            </w:pPr>
          </w:p>
        </w:tc>
        <w:tc>
          <w:tcPr>
            <w:tcW w:w="2964" w:type="dxa"/>
            <w:gridSpan w:val="3"/>
            <w:shd w:val="clear" w:color="auto" w:fill="auto"/>
            <w:noWrap/>
          </w:tcPr>
          <w:p w:rsidR="003C6A03" w:rsidRPr="00851EA4"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b/>
                <w:bCs/>
                <w:sz w:val="20"/>
                <w:szCs w:val="20"/>
              </w:rPr>
              <w:t>Pre-</w:t>
            </w:r>
            <w:r>
              <w:rPr>
                <w:rFonts w:ascii="Arial" w:hAnsi="Arial" w:cs="Arial"/>
                <w:b/>
                <w:bCs/>
                <w:sz w:val="20"/>
                <w:szCs w:val="20"/>
              </w:rPr>
              <w:t>treatment</w:t>
            </w:r>
            <w:r w:rsidRPr="0039591C">
              <w:rPr>
                <w:rFonts w:ascii="Arial" w:hAnsi="Arial" w:cs="Arial"/>
                <w:b/>
                <w:bCs/>
                <w:sz w:val="20"/>
                <w:szCs w:val="20"/>
              </w:rPr>
              <w:t xml:space="preserve"> histology</w:t>
            </w:r>
          </w:p>
        </w:tc>
        <w:tc>
          <w:tcPr>
            <w:tcW w:w="0" w:type="auto"/>
            <w:gridSpan w:val="3"/>
            <w:shd w:val="clear" w:color="auto" w:fill="auto"/>
            <w:noWrap/>
          </w:tcPr>
          <w:p w:rsidR="003C6A03" w:rsidRPr="00851EA4"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b/>
                <w:bCs/>
                <w:sz w:val="20"/>
                <w:szCs w:val="20"/>
              </w:rPr>
              <w:t>Pre-</w:t>
            </w:r>
            <w:r>
              <w:rPr>
                <w:rFonts w:ascii="Arial" w:hAnsi="Arial" w:cs="Arial"/>
                <w:b/>
                <w:bCs/>
                <w:sz w:val="20"/>
                <w:szCs w:val="20"/>
              </w:rPr>
              <w:t>treatment</w:t>
            </w:r>
            <w:r w:rsidRPr="0039591C">
              <w:rPr>
                <w:rFonts w:ascii="Arial" w:hAnsi="Arial" w:cs="Arial"/>
                <w:b/>
                <w:bCs/>
                <w:sz w:val="20"/>
                <w:szCs w:val="20"/>
              </w:rPr>
              <w:t xml:space="preserve"> histology</w:t>
            </w:r>
          </w:p>
        </w:tc>
        <w:tc>
          <w:tcPr>
            <w:tcW w:w="2958" w:type="dxa"/>
            <w:gridSpan w:val="3"/>
            <w:shd w:val="clear" w:color="auto" w:fill="auto"/>
            <w:noWrap/>
          </w:tcPr>
          <w:p w:rsidR="003C6A03" w:rsidRPr="00851EA4"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b/>
                <w:bCs/>
                <w:sz w:val="20"/>
                <w:szCs w:val="20"/>
              </w:rPr>
              <w:t>Pre-</w:t>
            </w:r>
            <w:r>
              <w:rPr>
                <w:rFonts w:ascii="Arial" w:hAnsi="Arial" w:cs="Arial"/>
                <w:b/>
                <w:bCs/>
                <w:sz w:val="20"/>
                <w:szCs w:val="20"/>
              </w:rPr>
              <w:t>treatment</w:t>
            </w:r>
            <w:r w:rsidRPr="0039591C">
              <w:rPr>
                <w:rFonts w:ascii="Arial" w:hAnsi="Arial" w:cs="Arial"/>
                <w:b/>
                <w:bCs/>
                <w:sz w:val="20"/>
                <w:szCs w:val="20"/>
              </w:rPr>
              <w:t xml:space="preserve"> histology</w:t>
            </w:r>
          </w:p>
        </w:tc>
      </w:tr>
      <w:tr w:rsidR="003C6A03" w:rsidRPr="0039591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39591C" w:rsidRDefault="003C6A03" w:rsidP="00223E29">
            <w:pPr>
              <w:rPr>
                <w:rFonts w:ascii="Arial" w:hAnsi="Arial" w:cs="Arial"/>
                <w:sz w:val="20"/>
                <w:szCs w:val="20"/>
              </w:rPr>
            </w:pPr>
          </w:p>
        </w:tc>
        <w:tc>
          <w:tcPr>
            <w:tcW w:w="1128" w:type="dxa"/>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NDBE</w:t>
            </w:r>
          </w:p>
        </w:tc>
        <w:tc>
          <w:tcPr>
            <w:tcW w:w="1052" w:type="dxa"/>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IND/LGD</w:t>
            </w:r>
          </w:p>
        </w:tc>
        <w:tc>
          <w:tcPr>
            <w:tcW w:w="784" w:type="dxa"/>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HGD</w:t>
            </w:r>
          </w:p>
        </w:tc>
        <w:tc>
          <w:tcPr>
            <w:tcW w:w="0" w:type="auto"/>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NDBE</w:t>
            </w:r>
          </w:p>
        </w:tc>
        <w:tc>
          <w:tcPr>
            <w:tcW w:w="0" w:type="auto"/>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IND/LGD</w:t>
            </w:r>
          </w:p>
        </w:tc>
        <w:tc>
          <w:tcPr>
            <w:tcW w:w="0" w:type="auto"/>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HGD</w:t>
            </w:r>
          </w:p>
        </w:tc>
        <w:tc>
          <w:tcPr>
            <w:tcW w:w="0" w:type="auto"/>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NDBE</w:t>
            </w:r>
          </w:p>
        </w:tc>
        <w:tc>
          <w:tcPr>
            <w:tcW w:w="0" w:type="auto"/>
            <w:shd w:val="clear" w:color="auto" w:fill="auto"/>
            <w:noWrap/>
            <w:hideMark/>
          </w:tcPr>
          <w:p w:rsidR="003C6A03" w:rsidRPr="00851EA4"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IND/LGD</w:t>
            </w:r>
          </w:p>
        </w:tc>
        <w:tc>
          <w:tcPr>
            <w:tcW w:w="1146" w:type="dxa"/>
            <w:shd w:val="clear" w:color="auto" w:fill="auto"/>
            <w:noWrap/>
            <w:hideMark/>
          </w:tcPr>
          <w:p w:rsidR="003C6A03" w:rsidRPr="0039591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1EA4">
              <w:rPr>
                <w:rFonts w:ascii="Arial" w:hAnsi="Arial" w:cs="Arial"/>
                <w:sz w:val="20"/>
                <w:szCs w:val="20"/>
              </w:rPr>
              <w:t>HGD</w:t>
            </w:r>
          </w:p>
        </w:tc>
      </w:tr>
      <w:tr w:rsidR="003C6A03" w:rsidRPr="0039591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4" w:space="0" w:color="auto"/>
            </w:tcBorders>
            <w:shd w:val="clear" w:color="auto" w:fill="auto"/>
            <w:noWrap/>
            <w:hideMark/>
          </w:tcPr>
          <w:p w:rsidR="003C6A03" w:rsidRPr="0039591C" w:rsidRDefault="003C6A03" w:rsidP="00223E29">
            <w:pPr>
              <w:rPr>
                <w:rFonts w:ascii="Arial" w:hAnsi="Arial" w:cs="Arial"/>
                <w:b w:val="0"/>
                <w:bCs w:val="0"/>
                <w:sz w:val="20"/>
                <w:szCs w:val="20"/>
              </w:rPr>
            </w:pPr>
            <w:r w:rsidRPr="0039591C">
              <w:rPr>
                <w:rFonts w:ascii="Arial" w:hAnsi="Arial" w:cs="Arial"/>
                <w:b w:val="0"/>
                <w:bCs w:val="0"/>
                <w:sz w:val="20"/>
                <w:szCs w:val="20"/>
              </w:rPr>
              <w:t>Annual recurrence probability</w:t>
            </w:r>
          </w:p>
        </w:tc>
        <w:tc>
          <w:tcPr>
            <w:tcW w:w="1128" w:type="dxa"/>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7.0%</w:t>
            </w:r>
          </w:p>
        </w:tc>
        <w:tc>
          <w:tcPr>
            <w:tcW w:w="1052" w:type="dxa"/>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10.7%</w:t>
            </w:r>
          </w:p>
        </w:tc>
        <w:tc>
          <w:tcPr>
            <w:tcW w:w="784" w:type="dxa"/>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10.0%</w:t>
            </w:r>
          </w:p>
        </w:tc>
        <w:tc>
          <w:tcPr>
            <w:tcW w:w="0" w:type="auto"/>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3.5%</w:t>
            </w:r>
          </w:p>
        </w:tc>
        <w:tc>
          <w:tcPr>
            <w:tcW w:w="0" w:type="auto"/>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5.4%</w:t>
            </w:r>
          </w:p>
        </w:tc>
        <w:tc>
          <w:tcPr>
            <w:tcW w:w="0" w:type="auto"/>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5.0%</w:t>
            </w:r>
          </w:p>
        </w:tc>
        <w:tc>
          <w:tcPr>
            <w:tcW w:w="0" w:type="auto"/>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14.0%</w:t>
            </w:r>
          </w:p>
        </w:tc>
        <w:tc>
          <w:tcPr>
            <w:tcW w:w="0" w:type="auto"/>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21.5%</w:t>
            </w:r>
          </w:p>
        </w:tc>
        <w:tc>
          <w:tcPr>
            <w:tcW w:w="1146" w:type="dxa"/>
            <w:tcBorders>
              <w:bottom w:val="single" w:sz="4" w:space="0" w:color="auto"/>
            </w:tcBorders>
            <w:shd w:val="clear" w:color="auto" w:fill="auto"/>
            <w:noWrap/>
            <w:hideMark/>
          </w:tcPr>
          <w:p w:rsidR="003C6A03" w:rsidRPr="0039591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591C">
              <w:rPr>
                <w:rFonts w:ascii="Arial" w:hAnsi="Arial" w:cs="Arial"/>
                <w:sz w:val="20"/>
                <w:szCs w:val="20"/>
              </w:rPr>
              <w:t>20.0%</w:t>
            </w:r>
          </w:p>
        </w:tc>
      </w:tr>
      <w:tr w:rsidR="003C6A03" w:rsidRPr="0039591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tcBorders>
              <w:top w:val="single" w:sz="4" w:space="0" w:color="auto"/>
            </w:tcBorders>
            <w:shd w:val="clear" w:color="auto" w:fill="EAF1DD" w:themeFill="accent3" w:themeFillTint="33"/>
            <w:noWrap/>
            <w:hideMark/>
          </w:tcPr>
          <w:p w:rsidR="003C6A03" w:rsidRPr="00CD0E57" w:rsidRDefault="003C6A03" w:rsidP="00223E29">
            <w:pPr>
              <w:rPr>
                <w:rFonts w:ascii="Arial" w:hAnsi="Arial" w:cs="Arial"/>
                <w:sz w:val="20"/>
                <w:szCs w:val="20"/>
              </w:rPr>
            </w:pPr>
            <w:r w:rsidRPr="00CD0E57">
              <w:rPr>
                <w:rFonts w:ascii="Arial" w:eastAsia="Times New Roman" w:hAnsi="Arial" w:cs="Arial"/>
                <w:sz w:val="20"/>
                <w:szCs w:val="20"/>
              </w:rPr>
              <w:t>Efficacy of the initial treatment</w:t>
            </w:r>
            <w:r w:rsidRPr="00CD0E57">
              <w:rPr>
                <w:rFonts w:ascii="Arial" w:hAnsi="Arial" w:cs="Arial"/>
                <w:b w:val="0"/>
                <w:bCs w:val="0"/>
                <w:sz w:val="20"/>
                <w:szCs w:val="20"/>
                <w:highlight w:val="yellow"/>
              </w:rPr>
              <w:t xml:space="preserve"> </w:t>
            </w:r>
          </w:p>
        </w:tc>
      </w:tr>
      <w:tr w:rsidR="003C6A03" w:rsidRPr="0039591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shd w:val="clear" w:color="auto" w:fill="auto"/>
            <w:noWrap/>
            <w:hideMark/>
          </w:tcPr>
          <w:p w:rsidR="003C6A03" w:rsidRPr="0039591C" w:rsidRDefault="003C6A03" w:rsidP="00223E29">
            <w:pPr>
              <w:rPr>
                <w:rFonts w:ascii="Arial" w:hAnsi="Arial" w:cs="Arial"/>
                <w:sz w:val="20"/>
                <w:szCs w:val="20"/>
              </w:rPr>
            </w:pPr>
            <w:r w:rsidRPr="0039591C">
              <w:rPr>
                <w:rFonts w:ascii="Arial" w:eastAsia="Times New Roman" w:hAnsi="Arial" w:cs="Arial"/>
                <w:b w:val="0"/>
                <w:color w:val="auto"/>
                <w:sz w:val="20"/>
                <w:szCs w:val="20"/>
              </w:rPr>
              <w:t>Success of therapy in pre-</w:t>
            </w:r>
            <w:r>
              <w:rPr>
                <w:rFonts w:ascii="Arial" w:eastAsia="Times New Roman" w:hAnsi="Arial" w:cs="Arial"/>
                <w:b w:val="0"/>
                <w:color w:val="auto"/>
                <w:sz w:val="20"/>
                <w:szCs w:val="20"/>
              </w:rPr>
              <w:t>treatment</w:t>
            </w:r>
            <w:r w:rsidRPr="0039591C">
              <w:rPr>
                <w:rFonts w:ascii="Arial" w:eastAsia="Times New Roman" w:hAnsi="Arial" w:cs="Arial"/>
                <w:b w:val="0"/>
                <w:color w:val="auto"/>
                <w:sz w:val="20"/>
                <w:szCs w:val="20"/>
              </w:rPr>
              <w:t xml:space="preserve"> HGD patients</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r w:rsidRPr="007D7A4C">
              <w:rPr>
                <w:rFonts w:ascii="Arial" w:eastAsia="Times New Roman" w:hAnsi="Arial" w:cs="Arial"/>
                <w:b w:val="0"/>
                <w:i/>
                <w:iCs/>
                <w:color w:val="FF0000"/>
                <w:sz w:val="20"/>
                <w:szCs w:val="20"/>
              </w:rPr>
              <w:t>CE – IM and CE-D</w:t>
            </w:r>
          </w:p>
        </w:tc>
        <w:tc>
          <w:tcPr>
            <w:tcW w:w="2964" w:type="dxa"/>
            <w:gridSpan w:val="3"/>
            <w:vMerge w:val="restart"/>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0.89</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0.04</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0.07</w:t>
            </w:r>
          </w:p>
        </w:tc>
        <w:tc>
          <w:tcPr>
            <w:tcW w:w="0" w:type="auto"/>
            <w:gridSpan w:val="3"/>
            <w:vMerge w:val="restart"/>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0.78</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0.07</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0.15</w:t>
            </w:r>
          </w:p>
        </w:tc>
        <w:tc>
          <w:tcPr>
            <w:tcW w:w="2958" w:type="dxa"/>
            <w:gridSpan w:val="3"/>
            <w:vMerge w:val="restart"/>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0.94</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0.02</w:t>
            </w: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0.04</w:t>
            </w:r>
          </w:p>
        </w:tc>
      </w:tr>
      <w:tr w:rsidR="007D7A4C" w:rsidRPr="007D7A4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r w:rsidRPr="007D7A4C">
              <w:rPr>
                <w:rFonts w:ascii="Arial" w:eastAsia="Times New Roman" w:hAnsi="Arial" w:cs="Arial"/>
                <w:b w:val="0"/>
                <w:i/>
                <w:iCs/>
                <w:color w:val="FF0000"/>
                <w:sz w:val="20"/>
                <w:szCs w:val="20"/>
              </w:rPr>
              <w:t>Non CE-IM, CE-D</w:t>
            </w:r>
          </w:p>
        </w:tc>
        <w:tc>
          <w:tcPr>
            <w:tcW w:w="2964"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958"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r w:rsidRPr="007D7A4C">
              <w:rPr>
                <w:rFonts w:ascii="Arial" w:eastAsia="Times New Roman" w:hAnsi="Arial" w:cs="Arial"/>
                <w:b w:val="0"/>
                <w:i/>
                <w:iCs/>
                <w:color w:val="FF0000"/>
                <w:sz w:val="20"/>
                <w:szCs w:val="20"/>
              </w:rPr>
              <w:t>Non-CE-IM and Non-CE-D</w:t>
            </w:r>
          </w:p>
        </w:tc>
        <w:tc>
          <w:tcPr>
            <w:tcW w:w="2964" w:type="dxa"/>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2958" w:type="dxa"/>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7D7A4C" w:rsidRPr="007D7A4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p>
        </w:tc>
        <w:tc>
          <w:tcPr>
            <w:tcW w:w="2964"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958"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shd w:val="clear" w:color="auto" w:fill="auto"/>
            <w:noWrap/>
            <w:hideMark/>
          </w:tcPr>
          <w:p w:rsidR="003C6A03" w:rsidRPr="007D7A4C" w:rsidRDefault="003C6A03" w:rsidP="00223E29">
            <w:pPr>
              <w:rPr>
                <w:rFonts w:ascii="Arial" w:hAnsi="Arial" w:cs="Arial"/>
                <w:color w:val="FF0000"/>
                <w:sz w:val="20"/>
                <w:szCs w:val="20"/>
              </w:rPr>
            </w:pPr>
            <w:r w:rsidRPr="007D7A4C">
              <w:rPr>
                <w:rFonts w:ascii="Arial" w:eastAsia="Times New Roman" w:hAnsi="Arial" w:cs="Arial"/>
                <w:b w:val="0"/>
                <w:color w:val="FF0000"/>
                <w:sz w:val="20"/>
                <w:szCs w:val="20"/>
              </w:rPr>
              <w:t>Success of therapy in pre- treatment LGD patients</w:t>
            </w:r>
          </w:p>
        </w:tc>
      </w:tr>
      <w:tr w:rsidR="007D7A4C" w:rsidRPr="007D7A4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r w:rsidRPr="007D7A4C">
              <w:rPr>
                <w:rFonts w:ascii="Arial" w:eastAsia="Times New Roman" w:hAnsi="Arial" w:cs="Arial"/>
                <w:b w:val="0"/>
                <w:i/>
                <w:iCs/>
                <w:color w:val="FF0000"/>
                <w:sz w:val="20"/>
                <w:szCs w:val="20"/>
              </w:rPr>
              <w:t>CE – IM and CE-D</w:t>
            </w:r>
          </w:p>
        </w:tc>
        <w:tc>
          <w:tcPr>
            <w:tcW w:w="2964" w:type="dxa"/>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0.98</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0.02</w:t>
            </w:r>
          </w:p>
        </w:tc>
        <w:tc>
          <w:tcPr>
            <w:tcW w:w="0" w:type="auto"/>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0.96</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0.04</w:t>
            </w:r>
          </w:p>
        </w:tc>
        <w:tc>
          <w:tcPr>
            <w:tcW w:w="2958" w:type="dxa"/>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0.99</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lang w:val="nl-NL"/>
              </w:rPr>
            </w:pPr>
            <w:r w:rsidRPr="007D7A4C">
              <w:rPr>
                <w:rFonts w:ascii="Arial" w:hAnsi="Arial" w:cs="Arial"/>
                <w:color w:val="FF0000"/>
                <w:sz w:val="20"/>
                <w:szCs w:val="20"/>
              </w:rPr>
              <w:t>0.01</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eastAsia="Times New Roman" w:hAnsi="Arial" w:cs="Arial"/>
                <w:b w:val="0"/>
                <w:i/>
                <w:iCs/>
                <w:color w:val="FF0000"/>
                <w:sz w:val="20"/>
                <w:szCs w:val="20"/>
              </w:rPr>
            </w:pPr>
            <w:r w:rsidRPr="007D7A4C">
              <w:rPr>
                <w:rFonts w:ascii="Arial" w:eastAsia="Times New Roman" w:hAnsi="Arial" w:cs="Arial"/>
                <w:b w:val="0"/>
                <w:i/>
                <w:iCs/>
                <w:color w:val="FF0000"/>
                <w:sz w:val="20"/>
                <w:szCs w:val="20"/>
              </w:rPr>
              <w:t>Non-CE-IM and Non-CE-D</w:t>
            </w:r>
          </w:p>
        </w:tc>
        <w:tc>
          <w:tcPr>
            <w:tcW w:w="2964" w:type="dxa"/>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2958" w:type="dxa"/>
            <w:gridSpan w:val="3"/>
            <w:vMerge/>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7D7A4C" w:rsidRPr="007D7A4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hAnsi="Arial" w:cs="Arial"/>
                <w:color w:val="FF0000"/>
                <w:sz w:val="20"/>
                <w:szCs w:val="20"/>
              </w:rPr>
            </w:pPr>
          </w:p>
        </w:tc>
        <w:tc>
          <w:tcPr>
            <w:tcW w:w="2964"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958" w:type="dxa"/>
            <w:gridSpan w:val="3"/>
            <w:vMerge/>
            <w:shd w:val="clear" w:color="auto" w:fill="auto"/>
            <w:noWrap/>
            <w:hideMark/>
          </w:tcPr>
          <w:p w:rsidR="003C6A03" w:rsidRPr="007D7A4C" w:rsidRDefault="003C6A03" w:rsidP="00223E29">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shd w:val="clear" w:color="auto" w:fill="auto"/>
            <w:noWrap/>
            <w:hideMark/>
          </w:tcPr>
          <w:p w:rsidR="003C6A03" w:rsidRPr="007D7A4C" w:rsidRDefault="003C6A03" w:rsidP="00223E29">
            <w:pPr>
              <w:rPr>
                <w:rFonts w:ascii="Arial" w:hAnsi="Arial" w:cs="Arial"/>
                <w:color w:val="FF0000"/>
                <w:sz w:val="20"/>
                <w:szCs w:val="20"/>
              </w:rPr>
            </w:pPr>
            <w:r w:rsidRPr="007D7A4C">
              <w:rPr>
                <w:rFonts w:ascii="Arial" w:eastAsia="Times New Roman" w:hAnsi="Arial" w:cs="Arial"/>
                <w:b w:val="0"/>
                <w:color w:val="FF0000"/>
                <w:sz w:val="20"/>
                <w:szCs w:val="20"/>
              </w:rPr>
              <w:t>Success of therapy in pre- treatment n NDD patients</w:t>
            </w:r>
          </w:p>
        </w:tc>
      </w:tr>
      <w:tr w:rsidR="007D7A4C" w:rsidRPr="007D7A4C" w:rsidTr="00223E29">
        <w:trPr>
          <w:trHeight w:val="255"/>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3C6A03" w:rsidRPr="007D7A4C" w:rsidRDefault="003C6A03" w:rsidP="00223E29">
            <w:pPr>
              <w:rPr>
                <w:rFonts w:ascii="Arial" w:hAnsi="Arial" w:cs="Arial"/>
                <w:color w:val="FF0000"/>
                <w:sz w:val="20"/>
                <w:szCs w:val="20"/>
              </w:rPr>
            </w:pPr>
            <w:r w:rsidRPr="007D7A4C">
              <w:rPr>
                <w:rFonts w:ascii="Arial" w:eastAsia="Times New Roman" w:hAnsi="Arial" w:cs="Arial"/>
                <w:b w:val="0"/>
                <w:i/>
                <w:iCs/>
                <w:color w:val="FF0000"/>
                <w:sz w:val="20"/>
                <w:szCs w:val="20"/>
              </w:rPr>
              <w:t>CE – IM</w:t>
            </w:r>
          </w:p>
        </w:tc>
        <w:tc>
          <w:tcPr>
            <w:tcW w:w="2964" w:type="dxa"/>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0.97</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0.03</w:t>
            </w:r>
          </w:p>
        </w:tc>
        <w:tc>
          <w:tcPr>
            <w:tcW w:w="0" w:type="auto"/>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0.94</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0.06</w:t>
            </w:r>
          </w:p>
        </w:tc>
        <w:tc>
          <w:tcPr>
            <w:tcW w:w="2958" w:type="dxa"/>
            <w:gridSpan w:val="3"/>
            <w:vMerge w:val="restart"/>
            <w:shd w:val="clear" w:color="auto" w:fill="auto"/>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0.98</w:t>
            </w: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rFonts w:ascii="Arial" w:hAnsi="Arial" w:cs="Arial"/>
                <w:color w:val="FF0000"/>
                <w:sz w:val="20"/>
                <w:szCs w:val="20"/>
              </w:rPr>
              <w:t>0.02</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4" w:space="0" w:color="auto"/>
            </w:tcBorders>
            <w:shd w:val="clear" w:color="auto" w:fill="auto"/>
            <w:noWrap/>
            <w:hideMark/>
          </w:tcPr>
          <w:p w:rsidR="003C6A03" w:rsidRPr="007D7A4C" w:rsidRDefault="003C6A03" w:rsidP="00223E29">
            <w:pPr>
              <w:rPr>
                <w:rFonts w:ascii="Arial" w:hAnsi="Arial" w:cs="Arial"/>
                <w:color w:val="FF0000"/>
                <w:sz w:val="20"/>
                <w:szCs w:val="20"/>
              </w:rPr>
            </w:pPr>
            <w:r w:rsidRPr="007D7A4C">
              <w:rPr>
                <w:rFonts w:ascii="Arial" w:eastAsia="Times New Roman" w:hAnsi="Arial" w:cs="Arial"/>
                <w:b w:val="0"/>
                <w:i/>
                <w:iCs/>
                <w:color w:val="FF0000"/>
                <w:sz w:val="20"/>
                <w:szCs w:val="20"/>
              </w:rPr>
              <w:t>Non CE-IM</w:t>
            </w:r>
          </w:p>
        </w:tc>
        <w:tc>
          <w:tcPr>
            <w:tcW w:w="2964" w:type="dxa"/>
            <w:gridSpan w:val="3"/>
            <w:vMerge/>
            <w:tcBorders>
              <w:bottom w:val="single" w:sz="4" w:space="0" w:color="auto"/>
            </w:tcBorders>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gridSpan w:val="3"/>
            <w:vMerge/>
            <w:tcBorders>
              <w:bottom w:val="single" w:sz="4" w:space="0" w:color="auto"/>
            </w:tcBorders>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2958" w:type="dxa"/>
            <w:gridSpan w:val="3"/>
            <w:vMerge/>
            <w:tcBorders>
              <w:bottom w:val="single" w:sz="4" w:space="0" w:color="auto"/>
            </w:tcBorders>
            <w:shd w:val="clear" w:color="auto" w:fill="auto"/>
            <w:noWrap/>
            <w:hideMark/>
          </w:tcPr>
          <w:p w:rsidR="003C6A03" w:rsidRPr="007D7A4C" w:rsidRDefault="003C6A03" w:rsidP="00223E29">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B810A2" w:rsidRPr="00851EA4" w:rsidTr="009D6E76">
        <w:trPr>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tcBorders>
              <w:top w:val="single" w:sz="4" w:space="0" w:color="auto"/>
            </w:tcBorders>
            <w:shd w:val="clear" w:color="auto" w:fill="EAF1DD" w:themeFill="accent3" w:themeFillTint="33"/>
            <w:noWrap/>
            <w:hideMark/>
          </w:tcPr>
          <w:p w:rsidR="00B810A2" w:rsidRPr="00CD0E57" w:rsidRDefault="00B810A2" w:rsidP="009D6E76">
            <w:pPr>
              <w:rPr>
                <w:rFonts w:ascii="Arial" w:hAnsi="Arial" w:cs="Arial"/>
                <w:sz w:val="20"/>
                <w:szCs w:val="20"/>
              </w:rPr>
            </w:pPr>
            <w:r w:rsidRPr="00CD0E57">
              <w:rPr>
                <w:rFonts w:ascii="Arial" w:eastAsia="Times New Roman" w:hAnsi="Arial" w:cs="Arial"/>
                <w:sz w:val="20"/>
                <w:szCs w:val="20"/>
              </w:rPr>
              <w:t>Halting surveillance after a period of observed good health post-treatment</w:t>
            </w:r>
          </w:p>
        </w:tc>
      </w:tr>
      <w:tr w:rsidR="00B810A2" w:rsidRPr="0039591C" w:rsidTr="009D6E7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hideMark/>
          </w:tcPr>
          <w:p w:rsidR="00B810A2" w:rsidRPr="0039591C" w:rsidRDefault="00B810A2" w:rsidP="009D6E76">
            <w:pPr>
              <w:rPr>
                <w:rFonts w:ascii="Arial" w:hAnsi="Arial" w:cs="Arial"/>
                <w:sz w:val="20"/>
                <w:szCs w:val="20"/>
              </w:rPr>
            </w:pPr>
          </w:p>
        </w:tc>
        <w:tc>
          <w:tcPr>
            <w:tcW w:w="2964" w:type="dxa"/>
            <w:gridSpan w:val="3"/>
            <w:vMerge w:val="restart"/>
            <w:shd w:val="clear" w:color="auto" w:fill="auto"/>
            <w:hideMark/>
          </w:tcPr>
          <w:p w:rsidR="00B810A2" w:rsidRPr="0039591C" w:rsidRDefault="00B810A2" w:rsidP="009D6E76">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9591C">
              <w:rPr>
                <w:rFonts w:ascii="Arial" w:hAnsi="Arial" w:cs="Arial"/>
                <w:bCs/>
                <w:sz w:val="20"/>
                <w:szCs w:val="20"/>
              </w:rPr>
              <w:t>Until death or age 80 (follow patients up to age 100)</w:t>
            </w:r>
          </w:p>
        </w:tc>
        <w:tc>
          <w:tcPr>
            <w:tcW w:w="0" w:type="auto"/>
            <w:gridSpan w:val="3"/>
            <w:vMerge w:val="restart"/>
            <w:shd w:val="clear" w:color="auto" w:fill="auto"/>
            <w:hideMark/>
          </w:tcPr>
          <w:p w:rsidR="00B810A2" w:rsidRPr="0039591C" w:rsidRDefault="00B810A2" w:rsidP="009D6E7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591C">
              <w:rPr>
                <w:rFonts w:ascii="Arial" w:hAnsi="Arial" w:cs="Arial"/>
                <w:sz w:val="20"/>
                <w:szCs w:val="20"/>
              </w:rPr>
              <w:t>STOP surveillance when 5 year remained CE-IM, after achievement CE-IM of initial endoscopic therapy</w:t>
            </w:r>
          </w:p>
        </w:tc>
        <w:tc>
          <w:tcPr>
            <w:tcW w:w="2958" w:type="dxa"/>
            <w:gridSpan w:val="3"/>
            <w:vMerge w:val="restart"/>
            <w:shd w:val="clear" w:color="auto" w:fill="auto"/>
            <w:hideMark/>
          </w:tcPr>
          <w:p w:rsidR="00B810A2" w:rsidRPr="0039591C" w:rsidRDefault="00B810A2" w:rsidP="009D6E7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591C">
              <w:rPr>
                <w:rFonts w:ascii="Arial" w:hAnsi="Arial" w:cs="Arial"/>
                <w:sz w:val="20"/>
                <w:szCs w:val="20"/>
              </w:rPr>
              <w:t>STOP surveillance when 10 year remained CE-IM, after achievement CE-IM of initial endoscopic therapy</w:t>
            </w:r>
          </w:p>
        </w:tc>
      </w:tr>
      <w:tr w:rsidR="00B810A2" w:rsidRPr="0039591C" w:rsidTr="009D6E76">
        <w:trPr>
          <w:trHeight w:val="1320"/>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4" w:space="0" w:color="auto"/>
            </w:tcBorders>
            <w:shd w:val="clear" w:color="auto" w:fill="auto"/>
            <w:noWrap/>
            <w:hideMark/>
          </w:tcPr>
          <w:p w:rsidR="00B810A2" w:rsidRPr="0039591C" w:rsidRDefault="00B810A2" w:rsidP="009D6E76">
            <w:pPr>
              <w:rPr>
                <w:rFonts w:ascii="Arial" w:hAnsi="Arial" w:cs="Arial"/>
                <w:sz w:val="20"/>
                <w:szCs w:val="20"/>
              </w:rPr>
            </w:pPr>
          </w:p>
        </w:tc>
        <w:tc>
          <w:tcPr>
            <w:tcW w:w="2964" w:type="dxa"/>
            <w:gridSpan w:val="3"/>
            <w:vMerge/>
            <w:tcBorders>
              <w:bottom w:val="single" w:sz="4" w:space="0" w:color="auto"/>
            </w:tcBorders>
            <w:shd w:val="clear" w:color="auto" w:fill="auto"/>
            <w:hideMark/>
          </w:tcPr>
          <w:p w:rsidR="00B810A2" w:rsidRPr="0039591C" w:rsidRDefault="00B810A2" w:rsidP="009D6E76">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0" w:type="auto"/>
            <w:gridSpan w:val="3"/>
            <w:vMerge/>
            <w:tcBorders>
              <w:bottom w:val="single" w:sz="4" w:space="0" w:color="auto"/>
            </w:tcBorders>
            <w:shd w:val="clear" w:color="auto" w:fill="auto"/>
            <w:hideMark/>
          </w:tcPr>
          <w:p w:rsidR="00B810A2" w:rsidRPr="0039591C" w:rsidRDefault="00B810A2" w:rsidP="009D6E7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58" w:type="dxa"/>
            <w:gridSpan w:val="3"/>
            <w:vMerge/>
            <w:tcBorders>
              <w:bottom w:val="single" w:sz="4" w:space="0" w:color="auto"/>
            </w:tcBorders>
            <w:shd w:val="clear" w:color="auto" w:fill="auto"/>
            <w:hideMark/>
          </w:tcPr>
          <w:p w:rsidR="00B810A2" w:rsidRPr="0039591C" w:rsidRDefault="00B810A2" w:rsidP="009D6E7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6A03" w:rsidRPr="00851EA4" w:rsidTr="00B810A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tcBorders>
              <w:top w:val="single" w:sz="4" w:space="0" w:color="auto"/>
            </w:tcBorders>
            <w:shd w:val="clear" w:color="auto" w:fill="EAF1DD" w:themeFill="accent3" w:themeFillTint="33"/>
            <w:noWrap/>
            <w:hideMark/>
          </w:tcPr>
          <w:p w:rsidR="003C6A03" w:rsidRPr="00CD0E57" w:rsidRDefault="00B810A2" w:rsidP="00B810A2">
            <w:pPr>
              <w:rPr>
                <w:rFonts w:ascii="Arial" w:hAnsi="Arial" w:cs="Arial"/>
                <w:sz w:val="20"/>
                <w:szCs w:val="20"/>
              </w:rPr>
            </w:pPr>
            <w:r>
              <w:rPr>
                <w:rFonts w:ascii="Arial" w:eastAsia="Times New Roman" w:hAnsi="Arial" w:cs="Arial"/>
                <w:sz w:val="20"/>
                <w:szCs w:val="20"/>
              </w:rPr>
              <w:t>EET costs</w:t>
            </w:r>
          </w:p>
        </w:tc>
      </w:tr>
      <w:tr w:rsidR="003C6A03" w:rsidRPr="00B810A2" w:rsidTr="00B810A2">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tcPr>
          <w:p w:rsidR="00B810A2" w:rsidRPr="00B810A2" w:rsidRDefault="00B810A2" w:rsidP="00223E29">
            <w:pPr>
              <w:rPr>
                <w:rFonts w:ascii="Arial" w:hAnsi="Arial" w:cs="Arial"/>
                <w:b w:val="0"/>
                <w:sz w:val="20"/>
                <w:szCs w:val="20"/>
              </w:rPr>
            </w:pPr>
            <w:r w:rsidRPr="00B810A2">
              <w:rPr>
                <w:rFonts w:ascii="Arial" w:hAnsi="Arial" w:cs="Arial"/>
                <w:b w:val="0"/>
                <w:sz w:val="20"/>
                <w:szCs w:val="20"/>
              </w:rPr>
              <w:t>Initial Treatment</w:t>
            </w:r>
          </w:p>
        </w:tc>
        <w:tc>
          <w:tcPr>
            <w:tcW w:w="2964" w:type="dxa"/>
            <w:gridSpan w:val="3"/>
            <w:shd w:val="clear" w:color="auto" w:fill="auto"/>
          </w:tcPr>
          <w:p w:rsidR="003C6A03" w:rsidRP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$5630</w:t>
            </w:r>
          </w:p>
        </w:tc>
        <w:tc>
          <w:tcPr>
            <w:tcW w:w="0" w:type="auto"/>
            <w:gridSpan w:val="3"/>
            <w:shd w:val="clear" w:color="auto" w:fill="auto"/>
          </w:tcPr>
          <w:p w:rsidR="003C6A03" w:rsidRP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$2815</w:t>
            </w:r>
          </w:p>
        </w:tc>
        <w:tc>
          <w:tcPr>
            <w:tcW w:w="2958" w:type="dxa"/>
            <w:gridSpan w:val="3"/>
            <w:shd w:val="clear" w:color="auto" w:fill="auto"/>
          </w:tcPr>
          <w:p w:rsidR="003C6A03" w:rsidRP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$11260</w:t>
            </w:r>
          </w:p>
        </w:tc>
      </w:tr>
      <w:tr w:rsidR="00B810A2" w:rsidRPr="00B810A2" w:rsidTr="00B810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tcPr>
          <w:p w:rsidR="00B810A2" w:rsidRPr="00B810A2" w:rsidRDefault="00B810A2" w:rsidP="00223E29">
            <w:pPr>
              <w:rPr>
                <w:rFonts w:ascii="Arial" w:hAnsi="Arial" w:cs="Arial"/>
                <w:sz w:val="20"/>
                <w:szCs w:val="20"/>
              </w:rPr>
            </w:pPr>
            <w:r w:rsidRPr="00B810A2">
              <w:rPr>
                <w:rFonts w:ascii="Arial" w:hAnsi="Arial" w:cs="Arial"/>
                <w:b w:val="0"/>
                <w:sz w:val="20"/>
                <w:szCs w:val="20"/>
              </w:rPr>
              <w:t>Touch Up</w:t>
            </w:r>
          </w:p>
        </w:tc>
        <w:tc>
          <w:tcPr>
            <w:tcW w:w="2964" w:type="dxa"/>
            <w:gridSpan w:val="3"/>
            <w:shd w:val="clear" w:color="auto" w:fill="auto"/>
          </w:tcPr>
          <w:p w:rsidR="00B810A2" w:rsidRDefault="00B810A2" w:rsidP="00223E29">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$1012</w:t>
            </w:r>
          </w:p>
        </w:tc>
        <w:tc>
          <w:tcPr>
            <w:tcW w:w="0" w:type="auto"/>
            <w:gridSpan w:val="3"/>
            <w:shd w:val="clear" w:color="auto" w:fill="auto"/>
          </w:tcPr>
          <w:p w:rsidR="00B810A2" w:rsidRPr="00B810A2" w:rsidRDefault="00B810A2"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$506</w:t>
            </w:r>
          </w:p>
        </w:tc>
        <w:tc>
          <w:tcPr>
            <w:tcW w:w="2958" w:type="dxa"/>
            <w:gridSpan w:val="3"/>
            <w:shd w:val="clear" w:color="auto" w:fill="auto"/>
          </w:tcPr>
          <w:p w:rsidR="00B810A2" w:rsidRPr="00B810A2" w:rsidRDefault="00B810A2" w:rsidP="00223E2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$2024</w:t>
            </w:r>
          </w:p>
        </w:tc>
      </w:tr>
      <w:tr w:rsidR="00B810A2" w:rsidRPr="00B810A2" w:rsidTr="00B810A2">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4" w:space="0" w:color="auto"/>
            </w:tcBorders>
            <w:shd w:val="clear" w:color="auto" w:fill="auto"/>
            <w:noWrap/>
          </w:tcPr>
          <w:p w:rsidR="00B810A2" w:rsidRPr="00B810A2" w:rsidRDefault="00B810A2" w:rsidP="00223E29">
            <w:pPr>
              <w:rPr>
                <w:rFonts w:ascii="Arial" w:hAnsi="Arial" w:cs="Arial"/>
                <w:sz w:val="20"/>
                <w:szCs w:val="20"/>
              </w:rPr>
            </w:pPr>
          </w:p>
        </w:tc>
        <w:tc>
          <w:tcPr>
            <w:tcW w:w="2964" w:type="dxa"/>
            <w:gridSpan w:val="3"/>
            <w:tcBorders>
              <w:bottom w:val="single" w:sz="4" w:space="0" w:color="auto"/>
            </w:tcBorders>
            <w:shd w:val="clear" w:color="auto" w:fill="auto"/>
          </w:tcPr>
          <w:p w:rsid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c>
          <w:tcPr>
            <w:tcW w:w="0" w:type="auto"/>
            <w:gridSpan w:val="3"/>
            <w:tcBorders>
              <w:bottom w:val="single" w:sz="4" w:space="0" w:color="auto"/>
            </w:tcBorders>
            <w:shd w:val="clear" w:color="auto" w:fill="auto"/>
          </w:tcPr>
          <w:p w:rsid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58" w:type="dxa"/>
            <w:gridSpan w:val="3"/>
            <w:tcBorders>
              <w:bottom w:val="single" w:sz="4" w:space="0" w:color="auto"/>
            </w:tcBorders>
            <w:shd w:val="clear" w:color="auto" w:fill="auto"/>
          </w:tcPr>
          <w:p w:rsidR="00B810A2" w:rsidRDefault="00B810A2" w:rsidP="00223E2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810A2" w:rsidRPr="00851EA4" w:rsidTr="009D6E76">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360" w:type="dxa"/>
            <w:gridSpan w:val="10"/>
            <w:tcBorders>
              <w:top w:val="single" w:sz="4" w:space="0" w:color="auto"/>
            </w:tcBorders>
            <w:shd w:val="clear" w:color="auto" w:fill="EAF1DD" w:themeFill="accent3" w:themeFillTint="33"/>
            <w:noWrap/>
            <w:hideMark/>
          </w:tcPr>
          <w:p w:rsidR="00B810A2" w:rsidRPr="00CD0E57" w:rsidRDefault="00B810A2" w:rsidP="00B810A2">
            <w:pPr>
              <w:rPr>
                <w:rFonts w:ascii="Arial" w:hAnsi="Arial" w:cs="Arial"/>
                <w:sz w:val="20"/>
                <w:szCs w:val="20"/>
              </w:rPr>
            </w:pPr>
            <w:r>
              <w:rPr>
                <w:rFonts w:ascii="Arial" w:eastAsia="Times New Roman" w:hAnsi="Arial" w:cs="Arial"/>
                <w:sz w:val="20"/>
                <w:szCs w:val="20"/>
              </w:rPr>
              <w:t>Cancer treatment costs</w:t>
            </w:r>
          </w:p>
        </w:tc>
      </w:tr>
      <w:tr w:rsidR="00B810A2" w:rsidRPr="00B810A2" w:rsidTr="005B231D">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Localized Initial care</w:t>
            </w:r>
          </w:p>
        </w:tc>
        <w:tc>
          <w:tcPr>
            <w:tcW w:w="2964"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Pr="00E45242">
              <w:rPr>
                <w:rFonts w:ascii="Arial" w:eastAsia="Times New Roman" w:hAnsi="Arial" w:cs="Arial"/>
                <w:color w:val="auto"/>
                <w:sz w:val="20"/>
                <w:szCs w:val="20"/>
              </w:rPr>
              <w:t>58997</w:t>
            </w:r>
          </w:p>
        </w:tc>
        <w:tc>
          <w:tcPr>
            <w:tcW w:w="0" w:type="auto"/>
            <w:gridSpan w:val="3"/>
            <w:shd w:val="clear" w:color="auto" w:fill="auto"/>
            <w:vAlign w:val="bottom"/>
          </w:tcPr>
          <w:p w:rsidR="00B810A2" w:rsidRPr="00E45242" w:rsidRDefault="00B810A2" w:rsidP="00CE57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24499</w:t>
            </w:r>
          </w:p>
        </w:tc>
        <w:tc>
          <w:tcPr>
            <w:tcW w:w="2958"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117994</w:t>
            </w:r>
          </w:p>
        </w:tc>
      </w:tr>
      <w:tr w:rsidR="00B810A2" w:rsidRPr="00B810A2" w:rsidTr="005B23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Localized Terminal care</w:t>
            </w:r>
          </w:p>
        </w:tc>
        <w:tc>
          <w:tcPr>
            <w:tcW w:w="2964"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Pr="00E45242">
              <w:rPr>
                <w:rFonts w:ascii="Arial" w:eastAsia="Times New Roman" w:hAnsi="Arial" w:cs="Arial"/>
                <w:color w:val="auto"/>
                <w:sz w:val="20"/>
                <w:szCs w:val="20"/>
              </w:rPr>
              <w:t>64704</w:t>
            </w:r>
          </w:p>
        </w:tc>
        <w:tc>
          <w:tcPr>
            <w:tcW w:w="0" w:type="auto"/>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32352</w:t>
            </w:r>
          </w:p>
        </w:tc>
        <w:tc>
          <w:tcPr>
            <w:tcW w:w="2958"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129408</w:t>
            </w:r>
          </w:p>
        </w:tc>
      </w:tr>
      <w:tr w:rsidR="00B810A2" w:rsidRPr="00B810A2" w:rsidTr="005B231D">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Regional Initial care</w:t>
            </w:r>
          </w:p>
        </w:tc>
        <w:tc>
          <w:tcPr>
            <w:tcW w:w="2964" w:type="dxa"/>
            <w:gridSpan w:val="3"/>
            <w:shd w:val="clear" w:color="auto" w:fill="auto"/>
            <w:vAlign w:val="bottom"/>
          </w:tcPr>
          <w:p w:rsidR="00B810A2" w:rsidRPr="00E45242" w:rsidRDefault="00B810A2" w:rsidP="00CE57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75295</w:t>
            </w:r>
          </w:p>
        </w:tc>
        <w:tc>
          <w:tcPr>
            <w:tcW w:w="0" w:type="auto"/>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37648</w:t>
            </w:r>
          </w:p>
        </w:tc>
        <w:tc>
          <w:tcPr>
            <w:tcW w:w="2958"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150590</w:t>
            </w:r>
          </w:p>
        </w:tc>
      </w:tr>
      <w:tr w:rsidR="00B810A2" w:rsidRPr="00B810A2" w:rsidTr="005B23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Regional Terminal care</w:t>
            </w:r>
          </w:p>
        </w:tc>
        <w:tc>
          <w:tcPr>
            <w:tcW w:w="2964"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Pr="00E45242">
              <w:rPr>
                <w:rFonts w:ascii="Arial" w:eastAsia="Times New Roman" w:hAnsi="Arial" w:cs="Arial"/>
                <w:bCs/>
                <w:iCs/>
                <w:color w:val="auto"/>
                <w:sz w:val="20"/>
                <w:szCs w:val="20"/>
              </w:rPr>
              <w:t>77742</w:t>
            </w:r>
          </w:p>
        </w:tc>
        <w:tc>
          <w:tcPr>
            <w:tcW w:w="0" w:type="auto"/>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38871</w:t>
            </w:r>
          </w:p>
        </w:tc>
        <w:tc>
          <w:tcPr>
            <w:tcW w:w="2958"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155484</w:t>
            </w:r>
          </w:p>
        </w:tc>
      </w:tr>
      <w:tr w:rsidR="00B810A2" w:rsidRPr="00B810A2" w:rsidTr="005B231D">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Distant Initial care</w:t>
            </w:r>
          </w:p>
        </w:tc>
        <w:tc>
          <w:tcPr>
            <w:tcW w:w="2964"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Pr="00E45242">
              <w:rPr>
                <w:rFonts w:ascii="Arial" w:eastAsia="Times New Roman" w:hAnsi="Arial" w:cs="Arial"/>
                <w:color w:val="auto"/>
                <w:sz w:val="20"/>
                <w:szCs w:val="20"/>
              </w:rPr>
              <w:t>57169</w:t>
            </w:r>
          </w:p>
        </w:tc>
        <w:tc>
          <w:tcPr>
            <w:tcW w:w="0" w:type="auto"/>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28585</w:t>
            </w:r>
          </w:p>
        </w:tc>
        <w:tc>
          <w:tcPr>
            <w:tcW w:w="2958"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114338</w:t>
            </w:r>
          </w:p>
        </w:tc>
      </w:tr>
      <w:tr w:rsidR="00B810A2" w:rsidRPr="00B810A2" w:rsidTr="005B23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Distant Terminal care</w:t>
            </w:r>
          </w:p>
        </w:tc>
        <w:tc>
          <w:tcPr>
            <w:tcW w:w="2964"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Pr="00E45242">
              <w:rPr>
                <w:rFonts w:ascii="Arial" w:eastAsia="Times New Roman" w:hAnsi="Arial" w:cs="Arial"/>
                <w:color w:val="auto"/>
                <w:sz w:val="20"/>
                <w:szCs w:val="20"/>
              </w:rPr>
              <w:t>85212</w:t>
            </w:r>
          </w:p>
        </w:tc>
        <w:tc>
          <w:tcPr>
            <w:tcW w:w="0" w:type="auto"/>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42606</w:t>
            </w:r>
          </w:p>
        </w:tc>
        <w:tc>
          <w:tcPr>
            <w:tcW w:w="2958"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CE5796">
              <w:rPr>
                <w:rFonts w:ascii="Arial" w:eastAsia="Times New Roman" w:hAnsi="Arial" w:cs="Arial"/>
                <w:color w:val="auto"/>
                <w:sz w:val="20"/>
                <w:szCs w:val="20"/>
              </w:rPr>
              <w:t>170424</w:t>
            </w:r>
          </w:p>
        </w:tc>
      </w:tr>
      <w:tr w:rsidR="00B810A2" w:rsidRPr="00B810A2" w:rsidTr="005B231D">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Continuous care</w:t>
            </w:r>
          </w:p>
        </w:tc>
        <w:tc>
          <w:tcPr>
            <w:tcW w:w="2964"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Pr="00E45242">
              <w:rPr>
                <w:rFonts w:ascii="Arial" w:eastAsia="Times New Roman" w:hAnsi="Arial" w:cs="Arial"/>
                <w:bCs/>
                <w:iCs/>
                <w:color w:val="auto"/>
                <w:sz w:val="20"/>
                <w:szCs w:val="20"/>
              </w:rPr>
              <w:t>4080</w:t>
            </w:r>
          </w:p>
        </w:tc>
        <w:tc>
          <w:tcPr>
            <w:tcW w:w="0" w:type="auto"/>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2040</w:t>
            </w:r>
          </w:p>
        </w:tc>
        <w:tc>
          <w:tcPr>
            <w:tcW w:w="2958" w:type="dxa"/>
            <w:gridSpan w:val="3"/>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CE5796">
              <w:rPr>
                <w:rFonts w:ascii="Arial" w:eastAsia="Times New Roman" w:hAnsi="Arial" w:cs="Arial"/>
                <w:bCs/>
                <w:iCs/>
                <w:color w:val="auto"/>
                <w:sz w:val="20"/>
                <w:szCs w:val="20"/>
              </w:rPr>
              <w:t>8160</w:t>
            </w:r>
          </w:p>
        </w:tc>
      </w:tr>
      <w:tr w:rsidR="00B810A2" w:rsidRPr="00B810A2" w:rsidTr="005B231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p>
        </w:tc>
        <w:tc>
          <w:tcPr>
            <w:tcW w:w="2964"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iCs/>
                <w:color w:val="auto"/>
                <w:sz w:val="20"/>
                <w:szCs w:val="20"/>
              </w:rPr>
            </w:pPr>
          </w:p>
        </w:tc>
        <w:tc>
          <w:tcPr>
            <w:tcW w:w="2958" w:type="dxa"/>
            <w:gridSpan w:val="3"/>
            <w:shd w:val="clear" w:color="auto" w:fill="auto"/>
            <w:vAlign w:val="bottom"/>
          </w:tcPr>
          <w:p w:rsidR="00B810A2" w:rsidRPr="00E45242" w:rsidRDefault="00B810A2" w:rsidP="009D6E7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B810A2" w:rsidRPr="00B810A2" w:rsidTr="005B231D">
        <w:trPr>
          <w:trHeight w:val="300"/>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4" w:space="0" w:color="auto"/>
            </w:tcBorders>
            <w:shd w:val="clear" w:color="auto" w:fill="auto"/>
            <w:noWrap/>
            <w:vAlign w:val="bottom"/>
          </w:tcPr>
          <w:p w:rsidR="00B810A2" w:rsidRPr="00E45242" w:rsidRDefault="00B810A2" w:rsidP="009D6E76">
            <w:pPr>
              <w:rPr>
                <w:rFonts w:ascii="Arial" w:eastAsia="Times New Roman" w:hAnsi="Arial" w:cs="Arial"/>
                <w:b w:val="0"/>
                <w:iCs/>
                <w:color w:val="auto"/>
                <w:sz w:val="20"/>
                <w:szCs w:val="20"/>
              </w:rPr>
            </w:pPr>
          </w:p>
        </w:tc>
        <w:tc>
          <w:tcPr>
            <w:tcW w:w="2964" w:type="dxa"/>
            <w:gridSpan w:val="3"/>
            <w:tcBorders>
              <w:bottom w:val="single" w:sz="4" w:space="0" w:color="auto"/>
            </w:tcBorders>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gridSpan w:val="3"/>
            <w:tcBorders>
              <w:bottom w:val="single" w:sz="4" w:space="0" w:color="auto"/>
            </w:tcBorders>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Cs/>
                <w:color w:val="auto"/>
                <w:sz w:val="20"/>
                <w:szCs w:val="20"/>
              </w:rPr>
            </w:pPr>
          </w:p>
        </w:tc>
        <w:tc>
          <w:tcPr>
            <w:tcW w:w="2958" w:type="dxa"/>
            <w:gridSpan w:val="3"/>
            <w:tcBorders>
              <w:bottom w:val="single" w:sz="4" w:space="0" w:color="auto"/>
            </w:tcBorders>
            <w:shd w:val="clear" w:color="auto" w:fill="auto"/>
            <w:vAlign w:val="bottom"/>
          </w:tcPr>
          <w:p w:rsidR="00B810A2" w:rsidRPr="00E45242" w:rsidRDefault="00B810A2" w:rsidP="009D6E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bl>
    <w:p w:rsidR="003C6A03" w:rsidRPr="0039591C" w:rsidRDefault="003C6A03" w:rsidP="003C6A03">
      <w:pPr>
        <w:spacing w:after="0" w:line="240" w:lineRule="auto"/>
        <w:rPr>
          <w:rFonts w:ascii="Arial" w:hAnsi="Arial" w:cs="Arial"/>
          <w:sz w:val="20"/>
          <w:szCs w:val="20"/>
        </w:rPr>
      </w:pPr>
    </w:p>
    <w:p w:rsidR="003C6A03" w:rsidRPr="00DA7A24" w:rsidRDefault="003C6A03" w:rsidP="003C6A03">
      <w:pPr>
        <w:spacing w:after="0" w:line="240" w:lineRule="auto"/>
        <w:rPr>
          <w:rFonts w:ascii="Arial" w:hAnsi="Arial" w:cs="Arial"/>
          <w:sz w:val="16"/>
          <w:szCs w:val="16"/>
        </w:rPr>
      </w:pPr>
      <w:r w:rsidRPr="00DA7A24">
        <w:rPr>
          <w:rFonts w:ascii="Arial" w:eastAsia="Times New Roman" w:hAnsi="Arial" w:cs="Arial"/>
          <w:sz w:val="16"/>
          <w:szCs w:val="16"/>
        </w:rPr>
        <w:t>EAC: esophageal adenocarcinoma</w:t>
      </w:r>
      <w:r w:rsidRPr="00DA7A24">
        <w:rPr>
          <w:rFonts w:ascii="Arial" w:hAnsi="Arial" w:cs="Arial"/>
          <w:sz w:val="16"/>
          <w:szCs w:val="16"/>
        </w:rPr>
        <w:t xml:space="preserve">, </w:t>
      </w:r>
      <w:r>
        <w:rPr>
          <w:rFonts w:ascii="Arial" w:hAnsi="Arial" w:cs="Arial"/>
          <w:sz w:val="16"/>
          <w:szCs w:val="16"/>
        </w:rPr>
        <w:t xml:space="preserve">CE: Complete eradication, IM: intestinal metaplasia, D: dysplasia, ND: no dysplasia, BE: Barrett’s esophagus, IND: indefinite dysplasia, LGD: low-grade dysplasia, HGD: high-grade </w:t>
      </w:r>
      <w:proofErr w:type="spellStart"/>
      <w:r>
        <w:rPr>
          <w:rFonts w:ascii="Arial" w:hAnsi="Arial" w:cs="Arial"/>
          <w:sz w:val="16"/>
          <w:szCs w:val="16"/>
        </w:rPr>
        <w:t>dysplasa</w:t>
      </w:r>
      <w:proofErr w:type="spellEnd"/>
    </w:p>
    <w:p w:rsidR="003C6A03" w:rsidRDefault="003C6A03" w:rsidP="003C6A03">
      <w:pPr>
        <w:rPr>
          <w:rFonts w:ascii="Arial" w:eastAsiaTheme="majorEastAsia" w:hAnsi="Arial" w:cs="Arial"/>
          <w:b/>
          <w:bCs/>
          <w:sz w:val="24"/>
          <w:szCs w:val="24"/>
        </w:rPr>
      </w:pPr>
      <w:r>
        <w:rPr>
          <w:rFonts w:ascii="Arial" w:hAnsi="Arial" w:cs="Arial"/>
          <w:sz w:val="24"/>
          <w:szCs w:val="24"/>
        </w:rPr>
        <w:br w:type="page"/>
      </w:r>
    </w:p>
    <w:p w:rsidR="003C6A03" w:rsidRPr="00CD0E57" w:rsidRDefault="003C6A03" w:rsidP="003C6A03">
      <w:pPr>
        <w:pStyle w:val="Heading1"/>
        <w:spacing w:line="240" w:lineRule="auto"/>
        <w:rPr>
          <w:rFonts w:ascii="Arial" w:hAnsi="Arial" w:cs="Arial"/>
          <w:color w:val="auto"/>
          <w:sz w:val="24"/>
          <w:szCs w:val="24"/>
        </w:rPr>
      </w:pPr>
      <w:r>
        <w:rPr>
          <w:rFonts w:ascii="Arial" w:hAnsi="Arial" w:cs="Arial"/>
          <w:color w:val="auto"/>
          <w:sz w:val="24"/>
          <w:szCs w:val="24"/>
        </w:rPr>
        <w:lastRenderedPageBreak/>
        <w:t>Appendix t</w:t>
      </w:r>
      <w:r w:rsidRPr="00CD0E57">
        <w:rPr>
          <w:rFonts w:ascii="Arial" w:hAnsi="Arial" w:cs="Arial"/>
          <w:color w:val="auto"/>
          <w:sz w:val="24"/>
          <w:szCs w:val="24"/>
        </w:rPr>
        <w:t>able 2.  Post-treatment surveillance strategies</w:t>
      </w:r>
    </w:p>
    <w:p w:rsidR="003C6A03" w:rsidRPr="00CD0E57" w:rsidRDefault="003C6A03" w:rsidP="003C6A03"/>
    <w:tbl>
      <w:tblPr>
        <w:tblStyle w:val="MediumList1-Accent3"/>
        <w:tblW w:w="10278" w:type="dxa"/>
        <w:tblLook w:val="04A0" w:firstRow="1" w:lastRow="0" w:firstColumn="1" w:lastColumn="0" w:noHBand="0" w:noVBand="1"/>
      </w:tblPr>
      <w:tblGrid>
        <w:gridCol w:w="4694"/>
        <w:gridCol w:w="3276"/>
        <w:gridCol w:w="378"/>
        <w:gridCol w:w="378"/>
        <w:gridCol w:w="1552"/>
      </w:tblGrid>
      <w:tr w:rsidR="003C6A03" w:rsidRPr="00C94E81" w:rsidTr="00223E2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rsidR="003C6A03" w:rsidRPr="00C94E81" w:rsidRDefault="003C6A03" w:rsidP="00223E29">
            <w:pPr>
              <w:rPr>
                <w:rFonts w:ascii="Arial" w:eastAsia="Times New Roman" w:hAnsi="Arial" w:cs="Arial"/>
                <w:bCs w:val="0"/>
                <w:color w:val="auto"/>
                <w:sz w:val="20"/>
                <w:szCs w:val="20"/>
              </w:rPr>
            </w:pPr>
            <w:r w:rsidRPr="00C94E81">
              <w:rPr>
                <w:rFonts w:ascii="Arial" w:eastAsia="Times New Roman" w:hAnsi="Arial" w:cs="Arial"/>
                <w:bCs w:val="0"/>
                <w:color w:val="auto"/>
                <w:sz w:val="20"/>
                <w:szCs w:val="20"/>
              </w:rPr>
              <w:t>Patient characteristic</w:t>
            </w:r>
          </w:p>
        </w:tc>
        <w:tc>
          <w:tcPr>
            <w:tcW w:w="0" w:type="auto"/>
            <w:hideMark/>
          </w:tcPr>
          <w:p w:rsidR="003C6A03" w:rsidRPr="00C94E81" w:rsidRDefault="003C6A03" w:rsidP="00223E2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C94E81">
              <w:rPr>
                <w:rFonts w:ascii="Arial" w:eastAsia="Times New Roman" w:hAnsi="Arial" w:cs="Arial"/>
                <w:b/>
                <w:color w:val="auto"/>
                <w:sz w:val="20"/>
                <w:szCs w:val="20"/>
              </w:rPr>
              <w:t>Surveillance interval</w:t>
            </w:r>
          </w:p>
        </w:tc>
        <w:tc>
          <w:tcPr>
            <w:tcW w:w="0" w:type="auto"/>
            <w:noWrap/>
          </w:tcPr>
          <w:p w:rsidR="003C6A03" w:rsidRPr="00C94E81" w:rsidRDefault="003C6A03" w:rsidP="00223E2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p>
        </w:tc>
        <w:tc>
          <w:tcPr>
            <w:tcW w:w="0" w:type="auto"/>
            <w:noWrap/>
          </w:tcPr>
          <w:p w:rsidR="003C6A03" w:rsidRPr="00C94E81" w:rsidRDefault="003C6A03" w:rsidP="00223E2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p>
        </w:tc>
        <w:tc>
          <w:tcPr>
            <w:tcW w:w="1552" w:type="dxa"/>
          </w:tcPr>
          <w:p w:rsidR="003C6A03" w:rsidRPr="00C94E81" w:rsidRDefault="003C6A03" w:rsidP="00223E2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C94E81">
              <w:rPr>
                <w:rFonts w:ascii="Arial" w:eastAsia="Times New Roman" w:hAnsi="Arial" w:cs="Arial"/>
                <w:b/>
                <w:color w:val="auto"/>
                <w:sz w:val="20"/>
                <w:szCs w:val="20"/>
              </w:rPr>
              <w:t>Source</w:t>
            </w:r>
          </w:p>
        </w:tc>
      </w:tr>
      <w:tr w:rsidR="003C6A03" w:rsidRPr="005C6446"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3C6A03" w:rsidRPr="00C94E81" w:rsidRDefault="003C6A03" w:rsidP="00223E29">
            <w:pPr>
              <w:rPr>
                <w:rFonts w:ascii="Arial" w:eastAsia="Times New Roman" w:hAnsi="Arial" w:cs="Arial"/>
                <w:b w:val="0"/>
                <w:color w:val="auto"/>
                <w:sz w:val="20"/>
                <w:szCs w:val="20"/>
              </w:rPr>
            </w:pPr>
            <w:r w:rsidRPr="00C94E81">
              <w:rPr>
                <w:rFonts w:ascii="Arial" w:eastAsia="Times New Roman" w:hAnsi="Arial" w:cs="Arial"/>
                <w:b w:val="0"/>
                <w:color w:val="auto"/>
                <w:sz w:val="20"/>
                <w:szCs w:val="20"/>
              </w:rPr>
              <w:t>Surveillance endoscopy interval after CE-IM of HGD patient (state = NORMAL)</w:t>
            </w:r>
          </w:p>
        </w:tc>
        <w:tc>
          <w:tcPr>
            <w:tcW w:w="0" w:type="auto"/>
            <w:gridSpan w:val="3"/>
            <w:hideMark/>
          </w:tcPr>
          <w:p w:rsidR="003C6A03" w:rsidRPr="00C94E81"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C94E81">
              <w:rPr>
                <w:rFonts w:ascii="Arial" w:eastAsia="Times New Roman" w:hAnsi="Arial" w:cs="Arial"/>
                <w:color w:val="auto"/>
                <w:sz w:val="20"/>
                <w:szCs w:val="20"/>
              </w:rPr>
              <w:t>Q3 months for one year then q6 months for one year then annual</w:t>
            </w:r>
          </w:p>
        </w:tc>
        <w:tc>
          <w:tcPr>
            <w:tcW w:w="1552" w:type="dxa"/>
          </w:tcPr>
          <w:p w:rsidR="003C6A03" w:rsidRPr="005C6446" w:rsidRDefault="007D7A4C" w:rsidP="009F17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hyperlink w:anchor="_ENREF_34" w:tooltip="Bedi, 2013 #26" w:history="1"/>
            <w:r w:rsidR="003C6A03" w:rsidRPr="005C6446">
              <w:rPr>
                <w:rFonts w:ascii="Arial" w:eastAsia="Times New Roman" w:hAnsi="Arial" w:cs="Arial"/>
                <w:sz w:val="20"/>
                <w:szCs w:val="20"/>
              </w:rPr>
              <w:fldChar w:fldCharType="begin">
                <w:fldData xml:space="preserve">PEVuZE5vdGU+PENpdGU+PEF1dGhvcj5CZWRpPC9BdXRob3I+PFllYXI+MjAxMzwvWWVhcj48UmVj
TnVtPjQyPC9SZWNOdW0+PERpc3BsYXlUZXh0Pig1MSk8L0Rpc3BsYXlUZXh0PjxyZWNvcmQ+PHJl
Yy1udW1iZXI+NDI8L3JlYy1udW1iZXI+PGZvcmVpZ24ta2V5cz48a2V5IGFwcD0iRU4iIGRiLWlk
PSJ4eDBhdnJhMG41emRlYmV0dnR4NWF3NTdhMHJhYWEyMng1cjAiPjQyPC9rZXk+PC9mb3JlaWdu
LWtleXM+PHJlZi10eXBlIG5hbWU9IkpvdXJuYWwgQXJ0aWNsZSI+MTc8L3JlZi10eXBlPjxjb250
cmlidXRvcnM+PGF1dGhvcnM+PGF1dGhvcj5CZWRpLCBBLiBPLjwvYXV0aG9yPjxhdXRob3I+S3dv
biwgUi4gUy48L2F1dGhvcj48YXV0aG9yPlJ1YmVuc3RlaW4sIEouIEguPC9hdXRob3I+PGF1dGhv
cj5QaXJha2EsIEMuIFIuPC9hdXRob3I+PGF1dGhvcj5FbHRhLCBHLiBILjwvYXV0aG9yPjxhdXRo
b3I+U2NoZWltYW4sIEouIE0uPC9hdXRob3I+PGF1dGhvcj5FbG11bnplciwgQi4gSi48L2F1dGhv
cj48L2F1dGhvcnM+PC9jb250cmlidXRvcnM+PGF1dGgtYWRkcmVzcz5EaXZpc2lvbiBvZiBHYXN0
cm9lbnRlcm9sb2d5LCBVbml2ZXJzaXR5IG9mIE1pY2hpZ2FuIE1lZGljYWwgQ2VudGVyLCBBbm4g
QXJib3IsIE1pY2hpZ2FuLCBVU0EuPC9hdXRoLWFkZHJlc3M+PHRpdGxlcz48dGl0bGU+QSBzdXJ2
ZXkgb2YgZXhwZXJ0IGZvbGxvdy11cCBwcmFjdGljZXMgYWZ0ZXIgc3VjY2Vzc2Z1bCBlbmRvc2Nv
cGljIGVyYWRpY2F0aW9uIHRoZXJhcHkgZm9yIEJhcnJldHQmYXBvcztzIGVzb3BoYWd1cyB3aXRo
IGhpZ2gtZ3JhZGUgZHlzcGxhc2lhIGFuZCBpbnRyYW11Y29zYWwgYWRlbm9jYXJjaW5vbWE8L3Rp
dGxlPjxzZWNvbmRhcnktdGl0bGU+R2FzdHJvaW50ZXN0IEVuZG9zYzwvc2Vjb25kYXJ5LXRpdGxl
PjwvdGl0bGVzPjxwZXJpb2RpY2FsPjxmdWxsLXRpdGxlPkdhc3Ryb2ludGVzdCBFbmRvc2M8L2Z1
bGwtdGl0bGU+PC9wZXJpb2RpY2FsPjxwYWdlcz42OTYtNzAxPC9wYWdlcz48dm9sdW1lPjc4PC92
b2x1bWU+PG51bWJlcj41PC9udW1iZXI+PGVkaXRpb24+MjAxMy8wNS8yOTwvZWRpdGlvbj48a2V5
d29yZHM+PGtleXdvcmQ+QWRlbm9jYXJjaW5vbWEvY29tcGxpY2F0aW9ucy8qc3VyZ2VyeTwva2V5
d29yZD48a2V5d29yZD5BZnRlcmNhcmUvKm1ldGhvZHM8L2tleXdvcmQ+PGtleXdvcmQ+QmFycmV0
dCBFc29waGFndXMvY29tcGxpY2F0aW9ucy9wYXRob2xvZ3kvKnN1cmdlcnk8L2tleXdvcmQ+PGtl
eXdvcmQ+RXNvcGhhZ2VhbCBOZW9wbGFzbXMvY29tcGxpY2F0aW9ucy8qc3VyZ2VyeTwva2V5d29y
ZD48a2V5d29yZD5Fc29waGFnb3Njb3B5L3V0aWxpemF0aW9uPC9rZXl3b3JkPjxrZXl3b3JkPkdh
c3Ryb2VudGVyb2xvZ3kvKnN0YXRpc3RpY3MgJmFtcDsgbnVtZXJpY2FsIGRhdGE8L2tleXdvcmQ+
PGtleXdvcmQ+SHVtYW5zPC9rZXl3b3JkPjxrZXl3b3JkPk5lb3BsYXNtIEdyYWRpbmc8L2tleXdv
cmQ+PGtleXdvcmQ+TmVvcGxhc20gUmVjdXJyZW5jZSwgTG9jYWwvKmRpYWdub3Npczwva2V5d29y
ZD48a2V5d29yZD5QaHlzaWNpYW4mYXBvcztzIFByYWN0aWNlIFBhdHRlcm5zPC9rZXl3b3JkPjxr
ZXl3b3JkPlBvc2l0cm9uLUVtaXNzaW9uIFRvbW9ncmFwaHkvdXRpbGl6YXRpb248L2tleXdvcmQ+
PGtleXdvcmQ+UXVlc3Rpb25uYWlyZXM8L2tleXdvcmQ+PGtleXdvcmQ+UmVmZXJyYWwgYW5kIENv
bnN1bHRhdGlvbi91dGlsaXphdGlvbjwva2V5d29yZD48a2V5d29yZD5Ub21vZ3JhcGh5LCBYLVJh
eSBDb21wdXRlZC91dGlsaXphdGlvbjwva2V5d29yZD48a2V5d29yZD5UcmVhdG1lbnQgT3V0Y29t
ZTwva2V5d29yZD48a2V5d29yZD5Vbml0ZWQgU3RhdGVzPC9rZXl3b3JkPjwva2V5d29yZHM+PGRh
dGVzPjx5ZWFyPjIwMTM8L3llYXI+PHB1Yi1kYXRlcz48ZGF0ZT5Ob3Y8L2RhdGU+PC9wdWItZGF0
ZXM+PC9kYXRlcz48aXNibj4xMDk3LTY3NzkgKEVsZWN0cm9uaWMpJiN4RDswMDE2LTUxMDcgKExp
bmtpbmcpPC9pc2JuPjxhY2Nlc3Npb24tbnVtPjIzNzExNTUzPC9hY2Nlc3Npb24tbnVtPjx1cmxz
PjxyZWxhdGVkLXVybHM+PHVybD5odHRwOi8vd3d3Lm5jYmkubmxtLm5paC5nb3YvcHVibWVkLzIz
NzExNTUzPC91cmw+PC9yZWxhdGVkLXVybHM+PC91cmxzPjxjdXN0b20yPjM5NjE1NzM8L2N1c3Rv
bTI+PGVsZWN0cm9uaWMtcmVzb3VyY2UtbnVtPlMwMDE2LTUxMDcoMTMpMDE4NjQtNiBbcGlpXSYj
eEQ7MTAuMTAxNi9qLmdpZS4yMDEzLjA0LjE5NjwvZWxlY3Ryb25pYy1yZXNvdXJjZS1udW0+PGxh
bmd1YWdlPmVuZzwvbGFuZ3VhZ2U+PC9yZWNvcmQ+PC9DaXRlPjxDaXRlPjxBdXRob3I+QmVkaTwv
QXV0aG9yPjxZZWFyPjIwMTM8L1llYXI+PFJlY051bT40MjwvUmVjTnVtPjxyZWNvcmQ+PHJlYy1u
dW1iZXI+NDI8L3JlYy1udW1iZXI+PGZvcmVpZ24ta2V5cz48a2V5IGFwcD0iRU4iIGRiLWlkPSJ4
eDBhdnJhMG41emRlYmV0dnR4NWF3NTdhMHJhYWEyMng1cjAiPjQyPC9rZXk+PC9mb3JlaWduLWtl
eXM+PHJlZi10eXBlIG5hbWU9IkpvdXJuYWwgQXJ0aWNsZSI+MTc8L3JlZi10eXBlPjxjb250cmli
dXRvcnM+PGF1dGhvcnM+PGF1dGhvcj5CZWRpLCBBLiBPLjwvYXV0aG9yPjxhdXRob3I+S3dvbiwg
Ui4gUy48L2F1dGhvcj48YXV0aG9yPlJ1YmVuc3RlaW4sIEouIEguPC9hdXRob3I+PGF1dGhvcj5Q
aXJha2EsIEMuIFIuPC9hdXRob3I+PGF1dGhvcj5FbHRhLCBHLiBILjwvYXV0aG9yPjxhdXRob3I+
U2NoZWltYW4sIEouIE0uPC9hdXRob3I+PGF1dGhvcj5FbG11bnplciwgQi4gSi48L2F1dGhvcj48
L2F1dGhvcnM+PC9jb250cmlidXRvcnM+PGF1dGgtYWRkcmVzcz5EaXZpc2lvbiBvZiBHYXN0cm9l
bnRlcm9sb2d5LCBVbml2ZXJzaXR5IG9mIE1pY2hpZ2FuIE1lZGljYWwgQ2VudGVyLCBBbm4gQXJi
b3IsIE1pY2hpZ2FuLCBVU0EuPC9hdXRoLWFkZHJlc3M+PHRpdGxlcz48dGl0bGU+QSBzdXJ2ZXkg
b2YgZXhwZXJ0IGZvbGxvdy11cCBwcmFjdGljZXMgYWZ0ZXIgc3VjY2Vzc2Z1bCBlbmRvc2NvcGlj
IGVyYWRpY2F0aW9uIHRoZXJhcHkgZm9yIEJhcnJldHQmYXBvcztzIGVzb3BoYWd1cyB3aXRoIGhp
Z2gtZ3JhZGUgZHlzcGxhc2lhIGFuZCBpbnRyYW11Y29zYWwgYWRlbm9jYXJjaW5vbWE8L3RpdGxl
PjxzZWNvbmRhcnktdGl0bGU+R2FzdHJvaW50ZXN0IEVuZG9zYzwvc2Vjb25kYXJ5LXRpdGxlPjwv
dGl0bGVzPjxwZXJpb2RpY2FsPjxmdWxsLXRpdGxlPkdhc3Ryb2ludGVzdCBFbmRvc2M8L2Z1bGwt
dGl0bGU+PC9wZXJpb2RpY2FsPjxwYWdlcz42OTYtNzAxPC9wYWdlcz48dm9sdW1lPjc4PC92b2x1
bWU+PG51bWJlcj41PC9udW1iZXI+PGVkaXRpb24+MjAxMy8wNS8yOTwvZWRpdGlvbj48a2V5d29y
ZHM+PGtleXdvcmQ+QWRlbm9jYXJjaW5vbWEvY29tcGxpY2F0aW9ucy8qc3VyZ2VyeTwva2V5d29y
ZD48a2V5d29yZD5BZnRlcmNhcmUvKm1ldGhvZHM8L2tleXdvcmQ+PGtleXdvcmQ+QmFycmV0dCBF
c29waGFndXMvY29tcGxpY2F0aW9ucy9wYXRob2xvZ3kvKnN1cmdlcnk8L2tleXdvcmQ+PGtleXdv
cmQ+RXNvcGhhZ2VhbCBOZW9wbGFzbXMvY29tcGxpY2F0aW9ucy8qc3VyZ2VyeTwva2V5d29yZD48
a2V5d29yZD5Fc29waGFnb3Njb3B5L3V0aWxpemF0aW9uPC9rZXl3b3JkPjxrZXl3b3JkPkdhc3Ry
b2VudGVyb2xvZ3kvKnN0YXRpc3RpY3MgJmFtcDsgbnVtZXJpY2FsIGRhdGE8L2tleXdvcmQ+PGtl
eXdvcmQ+SHVtYW5zPC9rZXl3b3JkPjxrZXl3b3JkPk5lb3BsYXNtIEdyYWRpbmc8L2tleXdvcmQ+
PGtleXdvcmQ+TmVvcGxhc20gUmVjdXJyZW5jZSwgTG9jYWwvKmRpYWdub3Npczwva2V5d29yZD48
a2V5d29yZD5QaHlzaWNpYW4mYXBvcztzIFByYWN0aWNlIFBhdHRlcm5zPC9rZXl3b3JkPjxrZXl3
b3JkPlBvc2l0cm9uLUVtaXNzaW9uIFRvbW9ncmFwaHkvdXRpbGl6YXRpb248L2tleXdvcmQ+PGtl
eXdvcmQ+UXVlc3Rpb25uYWlyZXM8L2tleXdvcmQ+PGtleXdvcmQ+UmVmZXJyYWwgYW5kIENvbnN1
bHRhdGlvbi91dGlsaXphdGlvbjwva2V5d29yZD48a2V5d29yZD5Ub21vZ3JhcGh5LCBYLVJheSBD
b21wdXRlZC91dGlsaXphdGlvbjwva2V5d29yZD48a2V5d29yZD5UcmVhdG1lbnQgT3V0Y29tZTwv
a2V5d29yZD48a2V5d29yZD5Vbml0ZWQgU3RhdGVzPC9rZXl3b3JkPjwva2V5d29yZHM+PGRhdGVz
Pjx5ZWFyPjIwMTM8L3llYXI+PHB1Yi1kYXRlcz48ZGF0ZT5Ob3Y8L2RhdGU+PC9wdWItZGF0ZXM+
PC9kYXRlcz48aXNibj4xMDk3LTY3NzkgKEVsZWN0cm9uaWMpJiN4RDswMDE2LTUxMDcgKExpbmtp
bmcpPC9pc2JuPjxhY2Nlc3Npb24tbnVtPjIzNzExNTUzPC9hY2Nlc3Npb24tbnVtPjx1cmxzPjxy
ZWxhdGVkLXVybHM+PHVybD5odHRwOi8vd3d3Lm5jYmkubmxtLm5paC5nb3YvcHVibWVkLzIzNzEx
NTUzPC91cmw+PC9yZWxhdGVkLXVybHM+PC91cmxzPjxjdXN0b20yPjM5NjE1NzM8L2N1c3RvbTI+
PGVsZWN0cm9uaWMtcmVzb3VyY2UtbnVtPlMwMDE2LTUxMDcoMTMpMDE4NjQtNiBbcGlpXSYjeEQ7
MTAuMTAxNi9qLmdpZS4yMDEzLjA0LjE5NjwvZWxlY3Ryb25pYy1yZXNvdXJjZS1udW0+PGxhbmd1
YWdlPmVuZzwvbGFuZ3VhZ2U+PC9yZWNvcmQ+PC9DaXRlPjwvRW5kTm90ZT5=
</w:fldData>
              </w:fldChar>
            </w:r>
            <w:r w:rsidR="009F176D">
              <w:rPr>
                <w:rFonts w:ascii="Arial" w:eastAsia="Times New Roman" w:hAnsi="Arial" w:cs="Arial"/>
                <w:sz w:val="20"/>
                <w:szCs w:val="20"/>
              </w:rPr>
              <w:instrText xml:space="preserve"> ADDIN EN.CITE </w:instrText>
            </w:r>
            <w:r w:rsidR="009F176D">
              <w:rPr>
                <w:rFonts w:ascii="Arial" w:eastAsia="Times New Roman" w:hAnsi="Arial" w:cs="Arial"/>
                <w:sz w:val="20"/>
                <w:szCs w:val="20"/>
              </w:rPr>
              <w:fldChar w:fldCharType="begin">
                <w:fldData xml:space="preserve">PEVuZE5vdGU+PENpdGU+PEF1dGhvcj5CZWRpPC9BdXRob3I+PFllYXI+MjAxMzwvWWVhcj48UmVj
TnVtPjQyPC9SZWNOdW0+PERpc3BsYXlUZXh0Pig1MSk8L0Rpc3BsYXlUZXh0PjxyZWNvcmQ+PHJl
Yy1udW1iZXI+NDI8L3JlYy1udW1iZXI+PGZvcmVpZ24ta2V5cz48a2V5IGFwcD0iRU4iIGRiLWlk
PSJ4eDBhdnJhMG41emRlYmV0dnR4NWF3NTdhMHJhYWEyMng1cjAiPjQyPC9rZXk+PC9mb3JlaWdu
LWtleXM+PHJlZi10eXBlIG5hbWU9IkpvdXJuYWwgQXJ0aWNsZSI+MTc8L3JlZi10eXBlPjxjb250
cmlidXRvcnM+PGF1dGhvcnM+PGF1dGhvcj5CZWRpLCBBLiBPLjwvYXV0aG9yPjxhdXRob3I+S3dv
biwgUi4gUy48L2F1dGhvcj48YXV0aG9yPlJ1YmVuc3RlaW4sIEouIEguPC9hdXRob3I+PGF1dGhv
cj5QaXJha2EsIEMuIFIuPC9hdXRob3I+PGF1dGhvcj5FbHRhLCBHLiBILjwvYXV0aG9yPjxhdXRo
b3I+U2NoZWltYW4sIEouIE0uPC9hdXRob3I+PGF1dGhvcj5FbG11bnplciwgQi4gSi48L2F1dGhv
cj48L2F1dGhvcnM+PC9jb250cmlidXRvcnM+PGF1dGgtYWRkcmVzcz5EaXZpc2lvbiBvZiBHYXN0
cm9lbnRlcm9sb2d5LCBVbml2ZXJzaXR5IG9mIE1pY2hpZ2FuIE1lZGljYWwgQ2VudGVyLCBBbm4g
QXJib3IsIE1pY2hpZ2FuLCBVU0EuPC9hdXRoLWFkZHJlc3M+PHRpdGxlcz48dGl0bGU+QSBzdXJ2
ZXkgb2YgZXhwZXJ0IGZvbGxvdy11cCBwcmFjdGljZXMgYWZ0ZXIgc3VjY2Vzc2Z1bCBlbmRvc2Nv
cGljIGVyYWRpY2F0aW9uIHRoZXJhcHkgZm9yIEJhcnJldHQmYXBvcztzIGVzb3BoYWd1cyB3aXRo
IGhpZ2gtZ3JhZGUgZHlzcGxhc2lhIGFuZCBpbnRyYW11Y29zYWwgYWRlbm9jYXJjaW5vbWE8L3Rp
dGxlPjxzZWNvbmRhcnktdGl0bGU+R2FzdHJvaW50ZXN0IEVuZG9zYzwvc2Vjb25kYXJ5LXRpdGxl
PjwvdGl0bGVzPjxwZXJpb2RpY2FsPjxmdWxsLXRpdGxlPkdhc3Ryb2ludGVzdCBFbmRvc2M8L2Z1
bGwtdGl0bGU+PC9wZXJpb2RpY2FsPjxwYWdlcz42OTYtNzAxPC9wYWdlcz48dm9sdW1lPjc4PC92
b2x1bWU+PG51bWJlcj41PC9udW1iZXI+PGVkaXRpb24+MjAxMy8wNS8yOTwvZWRpdGlvbj48a2V5
d29yZHM+PGtleXdvcmQ+QWRlbm9jYXJjaW5vbWEvY29tcGxpY2F0aW9ucy8qc3VyZ2VyeTwva2V5
d29yZD48a2V5d29yZD5BZnRlcmNhcmUvKm1ldGhvZHM8L2tleXdvcmQ+PGtleXdvcmQ+QmFycmV0
dCBFc29waGFndXMvY29tcGxpY2F0aW9ucy9wYXRob2xvZ3kvKnN1cmdlcnk8L2tleXdvcmQ+PGtl
eXdvcmQ+RXNvcGhhZ2VhbCBOZW9wbGFzbXMvY29tcGxpY2F0aW9ucy8qc3VyZ2VyeTwva2V5d29y
ZD48a2V5d29yZD5Fc29waGFnb3Njb3B5L3V0aWxpemF0aW9uPC9rZXl3b3JkPjxrZXl3b3JkPkdh
c3Ryb2VudGVyb2xvZ3kvKnN0YXRpc3RpY3MgJmFtcDsgbnVtZXJpY2FsIGRhdGE8L2tleXdvcmQ+
PGtleXdvcmQ+SHVtYW5zPC9rZXl3b3JkPjxrZXl3b3JkPk5lb3BsYXNtIEdyYWRpbmc8L2tleXdv
cmQ+PGtleXdvcmQ+TmVvcGxhc20gUmVjdXJyZW5jZSwgTG9jYWwvKmRpYWdub3Npczwva2V5d29y
ZD48a2V5d29yZD5QaHlzaWNpYW4mYXBvcztzIFByYWN0aWNlIFBhdHRlcm5zPC9rZXl3b3JkPjxr
ZXl3b3JkPlBvc2l0cm9uLUVtaXNzaW9uIFRvbW9ncmFwaHkvdXRpbGl6YXRpb248L2tleXdvcmQ+
PGtleXdvcmQ+UXVlc3Rpb25uYWlyZXM8L2tleXdvcmQ+PGtleXdvcmQ+UmVmZXJyYWwgYW5kIENv
bnN1bHRhdGlvbi91dGlsaXphdGlvbjwva2V5d29yZD48a2V5d29yZD5Ub21vZ3JhcGh5LCBYLVJh
eSBDb21wdXRlZC91dGlsaXphdGlvbjwva2V5d29yZD48a2V5d29yZD5UcmVhdG1lbnQgT3V0Y29t
ZTwva2V5d29yZD48a2V5d29yZD5Vbml0ZWQgU3RhdGVzPC9rZXl3b3JkPjwva2V5d29yZHM+PGRh
dGVzPjx5ZWFyPjIwMTM8L3llYXI+PHB1Yi1kYXRlcz48ZGF0ZT5Ob3Y8L2RhdGU+PC9wdWItZGF0
ZXM+PC9kYXRlcz48aXNibj4xMDk3LTY3NzkgKEVsZWN0cm9uaWMpJiN4RDswMDE2LTUxMDcgKExp
bmtpbmcpPC9pc2JuPjxhY2Nlc3Npb24tbnVtPjIzNzExNTUzPC9hY2Nlc3Npb24tbnVtPjx1cmxz
PjxyZWxhdGVkLXVybHM+PHVybD5odHRwOi8vd3d3Lm5jYmkubmxtLm5paC5nb3YvcHVibWVkLzIz
NzExNTUzPC91cmw+PC9yZWxhdGVkLXVybHM+PC91cmxzPjxjdXN0b20yPjM5NjE1NzM8L2N1c3Rv
bTI+PGVsZWN0cm9uaWMtcmVzb3VyY2UtbnVtPlMwMDE2LTUxMDcoMTMpMDE4NjQtNiBbcGlpXSYj
eEQ7MTAuMTAxNi9qLmdpZS4yMDEzLjA0LjE5NjwvZWxlY3Ryb25pYy1yZXNvdXJjZS1udW0+PGxh
bmd1YWdlPmVuZzwvbGFuZ3VhZ2U+PC9yZWNvcmQ+PC9DaXRlPjxDaXRlPjxBdXRob3I+QmVkaTwv
QXV0aG9yPjxZZWFyPjIwMTM8L1llYXI+PFJlY051bT40MjwvUmVjTnVtPjxyZWNvcmQ+PHJlYy1u
dW1iZXI+NDI8L3JlYy1udW1iZXI+PGZvcmVpZ24ta2V5cz48a2V5IGFwcD0iRU4iIGRiLWlkPSJ4
eDBhdnJhMG41emRlYmV0dnR4NWF3NTdhMHJhYWEyMng1cjAiPjQyPC9rZXk+PC9mb3JlaWduLWtl
eXM+PHJlZi10eXBlIG5hbWU9IkpvdXJuYWwgQXJ0aWNsZSI+MTc8L3JlZi10eXBlPjxjb250cmli
dXRvcnM+PGF1dGhvcnM+PGF1dGhvcj5CZWRpLCBBLiBPLjwvYXV0aG9yPjxhdXRob3I+S3dvbiwg
Ui4gUy48L2F1dGhvcj48YXV0aG9yPlJ1YmVuc3RlaW4sIEouIEguPC9hdXRob3I+PGF1dGhvcj5Q
aXJha2EsIEMuIFIuPC9hdXRob3I+PGF1dGhvcj5FbHRhLCBHLiBILjwvYXV0aG9yPjxhdXRob3I+
U2NoZWltYW4sIEouIE0uPC9hdXRob3I+PGF1dGhvcj5FbG11bnplciwgQi4gSi48L2F1dGhvcj48
L2F1dGhvcnM+PC9jb250cmlidXRvcnM+PGF1dGgtYWRkcmVzcz5EaXZpc2lvbiBvZiBHYXN0cm9l
bnRlcm9sb2d5LCBVbml2ZXJzaXR5IG9mIE1pY2hpZ2FuIE1lZGljYWwgQ2VudGVyLCBBbm4gQXJi
b3IsIE1pY2hpZ2FuLCBVU0EuPC9hdXRoLWFkZHJlc3M+PHRpdGxlcz48dGl0bGU+QSBzdXJ2ZXkg
b2YgZXhwZXJ0IGZvbGxvdy11cCBwcmFjdGljZXMgYWZ0ZXIgc3VjY2Vzc2Z1bCBlbmRvc2NvcGlj
IGVyYWRpY2F0aW9uIHRoZXJhcHkgZm9yIEJhcnJldHQmYXBvcztzIGVzb3BoYWd1cyB3aXRoIGhp
Z2gtZ3JhZGUgZHlzcGxhc2lhIGFuZCBpbnRyYW11Y29zYWwgYWRlbm9jYXJjaW5vbWE8L3RpdGxl
PjxzZWNvbmRhcnktdGl0bGU+R2FzdHJvaW50ZXN0IEVuZG9zYzwvc2Vjb25kYXJ5LXRpdGxlPjwv
dGl0bGVzPjxwZXJpb2RpY2FsPjxmdWxsLXRpdGxlPkdhc3Ryb2ludGVzdCBFbmRvc2M8L2Z1bGwt
dGl0bGU+PC9wZXJpb2RpY2FsPjxwYWdlcz42OTYtNzAxPC9wYWdlcz48dm9sdW1lPjc4PC92b2x1
bWU+PG51bWJlcj41PC9udW1iZXI+PGVkaXRpb24+MjAxMy8wNS8yOTwvZWRpdGlvbj48a2V5d29y
ZHM+PGtleXdvcmQ+QWRlbm9jYXJjaW5vbWEvY29tcGxpY2F0aW9ucy8qc3VyZ2VyeTwva2V5d29y
ZD48a2V5d29yZD5BZnRlcmNhcmUvKm1ldGhvZHM8L2tleXdvcmQ+PGtleXdvcmQ+QmFycmV0dCBF
c29waGFndXMvY29tcGxpY2F0aW9ucy9wYXRob2xvZ3kvKnN1cmdlcnk8L2tleXdvcmQ+PGtleXdv
cmQ+RXNvcGhhZ2VhbCBOZW9wbGFzbXMvY29tcGxpY2F0aW9ucy8qc3VyZ2VyeTwva2V5d29yZD48
a2V5d29yZD5Fc29waGFnb3Njb3B5L3V0aWxpemF0aW9uPC9rZXl3b3JkPjxrZXl3b3JkPkdhc3Ry
b2VudGVyb2xvZ3kvKnN0YXRpc3RpY3MgJmFtcDsgbnVtZXJpY2FsIGRhdGE8L2tleXdvcmQ+PGtl
eXdvcmQ+SHVtYW5zPC9rZXl3b3JkPjxrZXl3b3JkPk5lb3BsYXNtIEdyYWRpbmc8L2tleXdvcmQ+
PGtleXdvcmQ+TmVvcGxhc20gUmVjdXJyZW5jZSwgTG9jYWwvKmRpYWdub3Npczwva2V5d29yZD48
a2V5d29yZD5QaHlzaWNpYW4mYXBvcztzIFByYWN0aWNlIFBhdHRlcm5zPC9rZXl3b3JkPjxrZXl3
b3JkPlBvc2l0cm9uLUVtaXNzaW9uIFRvbW9ncmFwaHkvdXRpbGl6YXRpb248L2tleXdvcmQ+PGtl
eXdvcmQ+UXVlc3Rpb25uYWlyZXM8L2tleXdvcmQ+PGtleXdvcmQ+UmVmZXJyYWwgYW5kIENvbnN1
bHRhdGlvbi91dGlsaXphdGlvbjwva2V5d29yZD48a2V5d29yZD5Ub21vZ3JhcGh5LCBYLVJheSBD
b21wdXRlZC91dGlsaXphdGlvbjwva2V5d29yZD48a2V5d29yZD5UcmVhdG1lbnQgT3V0Y29tZTwv
a2V5d29yZD48a2V5d29yZD5Vbml0ZWQgU3RhdGVzPC9rZXl3b3JkPjwva2V5d29yZHM+PGRhdGVz
Pjx5ZWFyPjIwMTM8L3llYXI+PHB1Yi1kYXRlcz48ZGF0ZT5Ob3Y8L2RhdGU+PC9wdWItZGF0ZXM+
PC9kYXRlcz48aXNibj4xMDk3LTY3NzkgKEVsZWN0cm9uaWMpJiN4RDswMDE2LTUxMDcgKExpbmtp
bmcpPC9pc2JuPjxhY2Nlc3Npb24tbnVtPjIzNzExNTUzPC9hY2Nlc3Npb24tbnVtPjx1cmxzPjxy
ZWxhdGVkLXVybHM+PHVybD5odHRwOi8vd3d3Lm5jYmkubmxtLm5paC5nb3YvcHVibWVkLzIzNzEx
NTUzPC91cmw+PC9yZWxhdGVkLXVybHM+PC91cmxzPjxjdXN0b20yPjM5NjE1NzM8L2N1c3RvbTI+
PGVsZWN0cm9uaWMtcmVzb3VyY2UtbnVtPlMwMDE2LTUxMDcoMTMpMDE4NjQtNiBbcGlpXSYjeEQ7
MTAuMTAxNi9qLmdpZS4yMDEzLjA0LjE5NjwvZWxlY3Ryb25pYy1yZXNvdXJjZS1udW0+PGxhbmd1
YWdlPmVuZzwvbGFuZ3VhZ2U+PC9yZWNvcmQ+PC9DaXRlPjwvRW5kTm90ZT5=
</w:fldData>
              </w:fldChar>
            </w:r>
            <w:r w:rsidR="009F176D">
              <w:rPr>
                <w:rFonts w:ascii="Arial" w:eastAsia="Times New Roman" w:hAnsi="Arial" w:cs="Arial"/>
                <w:sz w:val="20"/>
                <w:szCs w:val="20"/>
              </w:rPr>
              <w:instrText xml:space="preserve"> ADDIN EN.CITE.DATA </w:instrText>
            </w:r>
            <w:r w:rsidR="009F176D">
              <w:rPr>
                <w:rFonts w:ascii="Arial" w:eastAsia="Times New Roman" w:hAnsi="Arial" w:cs="Arial"/>
                <w:sz w:val="20"/>
                <w:szCs w:val="20"/>
              </w:rPr>
            </w:r>
            <w:r w:rsidR="009F176D">
              <w:rPr>
                <w:rFonts w:ascii="Arial" w:eastAsia="Times New Roman" w:hAnsi="Arial" w:cs="Arial"/>
                <w:sz w:val="20"/>
                <w:szCs w:val="20"/>
              </w:rPr>
              <w:fldChar w:fldCharType="end"/>
            </w:r>
            <w:r w:rsidR="003C6A03" w:rsidRPr="005C6446">
              <w:rPr>
                <w:rFonts w:ascii="Arial" w:eastAsia="Times New Roman" w:hAnsi="Arial" w:cs="Arial"/>
                <w:sz w:val="20"/>
                <w:szCs w:val="20"/>
              </w:rPr>
            </w:r>
            <w:r w:rsidR="003C6A03" w:rsidRPr="005C6446">
              <w:rPr>
                <w:rFonts w:ascii="Arial" w:eastAsia="Times New Roman" w:hAnsi="Arial" w:cs="Arial"/>
                <w:sz w:val="20"/>
                <w:szCs w:val="20"/>
              </w:rPr>
              <w:fldChar w:fldCharType="separate"/>
            </w:r>
            <w:r w:rsidR="003C6A03">
              <w:rPr>
                <w:rFonts w:ascii="Arial" w:eastAsia="Times New Roman" w:hAnsi="Arial" w:cs="Arial"/>
                <w:noProof/>
                <w:sz w:val="20"/>
                <w:szCs w:val="20"/>
              </w:rPr>
              <w:t>(</w:t>
            </w:r>
            <w:hyperlink w:anchor="_ENREF_51" w:tooltip="Bedi, 2013 #42" w:history="1">
              <w:r w:rsidR="003C6A03">
                <w:rPr>
                  <w:rFonts w:ascii="Arial" w:eastAsia="Times New Roman" w:hAnsi="Arial" w:cs="Arial"/>
                  <w:noProof/>
                  <w:sz w:val="20"/>
                  <w:szCs w:val="20"/>
                </w:rPr>
                <w:t>51</w:t>
              </w:r>
            </w:hyperlink>
            <w:r w:rsidR="003C6A03">
              <w:rPr>
                <w:rFonts w:ascii="Arial" w:eastAsia="Times New Roman" w:hAnsi="Arial" w:cs="Arial"/>
                <w:noProof/>
                <w:sz w:val="20"/>
                <w:szCs w:val="20"/>
              </w:rPr>
              <w:t>)</w:t>
            </w:r>
            <w:r w:rsidR="003C6A03" w:rsidRPr="005C6446">
              <w:rPr>
                <w:rFonts w:ascii="Arial" w:eastAsia="Times New Roman" w:hAnsi="Arial" w:cs="Arial"/>
                <w:sz w:val="20"/>
                <w:szCs w:val="20"/>
              </w:rPr>
              <w:fldChar w:fldCharType="end"/>
            </w:r>
          </w:p>
        </w:tc>
      </w:tr>
      <w:tr w:rsidR="003C6A03" w:rsidRPr="005C6446" w:rsidTr="00223E2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3C6A03" w:rsidRPr="00C94E81" w:rsidRDefault="003C6A03" w:rsidP="00223E29">
            <w:pPr>
              <w:rPr>
                <w:rFonts w:ascii="Arial" w:eastAsia="Times New Roman" w:hAnsi="Arial" w:cs="Arial"/>
                <w:b w:val="0"/>
                <w:color w:val="auto"/>
                <w:sz w:val="20"/>
                <w:szCs w:val="20"/>
              </w:rPr>
            </w:pPr>
            <w:r w:rsidRPr="00C94E81">
              <w:rPr>
                <w:rFonts w:ascii="Arial" w:eastAsia="Times New Roman" w:hAnsi="Arial" w:cs="Arial"/>
                <w:b w:val="0"/>
                <w:color w:val="auto"/>
                <w:sz w:val="20"/>
                <w:szCs w:val="20"/>
              </w:rPr>
              <w:t>Surveillance endoscopy interval after CE-IM of LGD patient (state = NORMAL)</w:t>
            </w:r>
          </w:p>
        </w:tc>
        <w:tc>
          <w:tcPr>
            <w:tcW w:w="0" w:type="auto"/>
            <w:gridSpan w:val="3"/>
            <w:hideMark/>
          </w:tcPr>
          <w:p w:rsidR="003C6A03" w:rsidRPr="00C94E81"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C94E81">
              <w:rPr>
                <w:rFonts w:ascii="Arial" w:eastAsia="Times New Roman" w:hAnsi="Arial" w:cs="Arial"/>
                <w:color w:val="auto"/>
                <w:sz w:val="20"/>
                <w:szCs w:val="20"/>
              </w:rPr>
              <w:t>Q6 months for 2 years then annually for 2 years, then every three years</w:t>
            </w:r>
          </w:p>
        </w:tc>
        <w:tc>
          <w:tcPr>
            <w:tcW w:w="1552" w:type="dxa"/>
          </w:tcPr>
          <w:p w:rsidR="003C6A03" w:rsidRPr="005C6446"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r w:rsidRPr="005C6446">
              <w:rPr>
                <w:rFonts w:ascii="Arial" w:eastAsia="Times New Roman" w:hAnsi="Arial" w:cs="Arial"/>
                <w:i/>
                <w:color w:val="auto"/>
                <w:sz w:val="20"/>
                <w:szCs w:val="20"/>
              </w:rPr>
              <w:t xml:space="preserve"> </w:t>
            </w:r>
          </w:p>
        </w:tc>
      </w:tr>
      <w:tr w:rsidR="003C6A03" w:rsidRPr="005C6446"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3C6A03" w:rsidRPr="00C94E81" w:rsidRDefault="003C6A03" w:rsidP="00223E29">
            <w:pPr>
              <w:rPr>
                <w:rFonts w:ascii="Arial" w:eastAsia="Times New Roman" w:hAnsi="Arial" w:cs="Arial"/>
                <w:b w:val="0"/>
                <w:color w:val="auto"/>
                <w:sz w:val="20"/>
                <w:szCs w:val="20"/>
              </w:rPr>
            </w:pPr>
            <w:r w:rsidRPr="00C94E81">
              <w:rPr>
                <w:rFonts w:ascii="Arial" w:eastAsia="Times New Roman" w:hAnsi="Arial" w:cs="Arial"/>
                <w:b w:val="0"/>
                <w:color w:val="auto"/>
                <w:sz w:val="20"/>
                <w:szCs w:val="20"/>
              </w:rPr>
              <w:t>Surveillance endoscopy interval after CE-IM of  NDBE patient (state = NORMAL)</w:t>
            </w:r>
          </w:p>
        </w:tc>
        <w:tc>
          <w:tcPr>
            <w:tcW w:w="0" w:type="auto"/>
            <w:gridSpan w:val="3"/>
            <w:hideMark/>
          </w:tcPr>
          <w:p w:rsidR="003C6A03" w:rsidRPr="00C94E81"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C94E81">
              <w:rPr>
                <w:rFonts w:ascii="Arial" w:eastAsia="Times New Roman" w:hAnsi="Arial" w:cs="Arial"/>
                <w:color w:val="auto"/>
                <w:sz w:val="20"/>
                <w:szCs w:val="20"/>
              </w:rPr>
              <w:t>every three years</w:t>
            </w:r>
          </w:p>
          <w:p w:rsidR="003C6A03" w:rsidRPr="00C94E81"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Pr>
          <w:p w:rsidR="003C6A03" w:rsidRPr="005C6446"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r w:rsidR="003C6A03" w:rsidRPr="005C6446" w:rsidTr="00223E2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C6A03" w:rsidRPr="00C94E81" w:rsidRDefault="003C6A03" w:rsidP="00223E29">
            <w:pPr>
              <w:rPr>
                <w:rFonts w:ascii="Arial" w:eastAsia="Times New Roman" w:hAnsi="Arial" w:cs="Arial"/>
                <w:b w:val="0"/>
                <w:sz w:val="20"/>
                <w:szCs w:val="20"/>
              </w:rPr>
            </w:pPr>
            <w:r w:rsidRPr="00C94E81">
              <w:rPr>
                <w:rFonts w:ascii="Arial" w:hAnsi="Arial" w:cs="Arial"/>
                <w:b w:val="0"/>
                <w:sz w:val="20"/>
                <w:szCs w:val="20"/>
              </w:rPr>
              <w:t>Surveillance endoscopy interval after CE-D, none CE-IM  of HGD patient (state=IM/BE ND)</w:t>
            </w:r>
          </w:p>
        </w:tc>
        <w:tc>
          <w:tcPr>
            <w:tcW w:w="0" w:type="auto"/>
            <w:gridSpan w:val="3"/>
          </w:tcPr>
          <w:p w:rsidR="003C6A03" w:rsidRPr="00C94E81"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94E81">
              <w:rPr>
                <w:rFonts w:ascii="Arial" w:eastAsia="Times New Roman" w:hAnsi="Arial" w:cs="Arial"/>
                <w:color w:val="auto"/>
                <w:sz w:val="20"/>
                <w:szCs w:val="20"/>
              </w:rPr>
              <w:t>Q3 months for one year then q6 months for one year then annual</w:t>
            </w:r>
          </w:p>
        </w:tc>
        <w:tc>
          <w:tcPr>
            <w:tcW w:w="1552" w:type="dxa"/>
          </w:tcPr>
          <w:p w:rsidR="003C6A03" w:rsidRPr="005C6446"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r w:rsidR="003C6A03" w:rsidRPr="005C6446"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C6A03" w:rsidRPr="00C94E81" w:rsidRDefault="003C6A03" w:rsidP="00223E29">
            <w:pPr>
              <w:rPr>
                <w:rFonts w:ascii="Arial" w:eastAsia="Times New Roman" w:hAnsi="Arial" w:cs="Arial"/>
                <w:b w:val="0"/>
                <w:sz w:val="20"/>
                <w:szCs w:val="20"/>
              </w:rPr>
            </w:pPr>
            <w:r w:rsidRPr="00C94E81">
              <w:rPr>
                <w:rFonts w:ascii="Arial" w:hAnsi="Arial" w:cs="Arial"/>
                <w:b w:val="0"/>
                <w:sz w:val="20"/>
                <w:szCs w:val="20"/>
              </w:rPr>
              <w:t>Surveillance endoscopy interval after CE-D, none CE-IM  of LGD patient (state=IM/BE ND)</w:t>
            </w:r>
          </w:p>
        </w:tc>
        <w:tc>
          <w:tcPr>
            <w:tcW w:w="0" w:type="auto"/>
            <w:gridSpan w:val="3"/>
          </w:tcPr>
          <w:p w:rsidR="003C6A03" w:rsidRPr="00C94E81"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94E81">
              <w:rPr>
                <w:rFonts w:ascii="Arial" w:eastAsia="Times New Roman" w:hAnsi="Arial" w:cs="Arial"/>
                <w:color w:val="auto"/>
                <w:sz w:val="20"/>
                <w:szCs w:val="20"/>
              </w:rPr>
              <w:t>Q3 months for one year then q6 months for one year then annual</w:t>
            </w:r>
          </w:p>
        </w:tc>
        <w:tc>
          <w:tcPr>
            <w:tcW w:w="1552" w:type="dxa"/>
          </w:tcPr>
          <w:p w:rsidR="003C6A03" w:rsidRPr="005C6446"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r w:rsidR="003C6A03" w:rsidRPr="005C6446" w:rsidTr="00223E2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C6A03" w:rsidRPr="00C94E81" w:rsidRDefault="003C6A03" w:rsidP="00223E29">
            <w:pPr>
              <w:rPr>
                <w:rFonts w:ascii="Arial" w:eastAsia="Times New Roman" w:hAnsi="Arial" w:cs="Arial"/>
                <w:b w:val="0"/>
                <w:sz w:val="20"/>
                <w:szCs w:val="20"/>
              </w:rPr>
            </w:pPr>
            <w:r w:rsidRPr="00C94E81">
              <w:rPr>
                <w:rFonts w:ascii="Arial" w:hAnsi="Arial" w:cs="Arial"/>
                <w:b w:val="0"/>
                <w:sz w:val="20"/>
                <w:szCs w:val="20"/>
              </w:rPr>
              <w:t>Surveillance endoscopy interval after non CE-D, none CE-IM  of HGD patient (state = HGD)</w:t>
            </w:r>
          </w:p>
        </w:tc>
        <w:tc>
          <w:tcPr>
            <w:tcW w:w="0" w:type="auto"/>
            <w:gridSpan w:val="3"/>
          </w:tcPr>
          <w:p w:rsidR="003C6A03" w:rsidRPr="00C94E81"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94E81">
              <w:rPr>
                <w:rFonts w:ascii="Arial" w:eastAsia="Times New Roman" w:hAnsi="Arial" w:cs="Arial"/>
                <w:sz w:val="20"/>
                <w:szCs w:val="20"/>
              </w:rPr>
              <w:t>Every three months</w:t>
            </w:r>
          </w:p>
        </w:tc>
        <w:tc>
          <w:tcPr>
            <w:tcW w:w="1552" w:type="dxa"/>
          </w:tcPr>
          <w:p w:rsidR="003C6A03" w:rsidRPr="005C6446"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r w:rsidR="003C6A03" w:rsidRPr="005C6446"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C6A03" w:rsidRPr="00C94E81" w:rsidRDefault="003C6A03" w:rsidP="00223E29">
            <w:pPr>
              <w:rPr>
                <w:rFonts w:ascii="Arial" w:eastAsia="Times New Roman" w:hAnsi="Arial" w:cs="Arial"/>
                <w:b w:val="0"/>
                <w:sz w:val="20"/>
                <w:szCs w:val="20"/>
              </w:rPr>
            </w:pPr>
            <w:r w:rsidRPr="00C94E81">
              <w:rPr>
                <w:rFonts w:ascii="Arial" w:hAnsi="Arial" w:cs="Arial"/>
                <w:b w:val="0"/>
                <w:sz w:val="20"/>
                <w:szCs w:val="20"/>
              </w:rPr>
              <w:t>Surveillance endoscopy interval after non CE-D, none CE-IM  of  LGD patient (state = LGD)</w:t>
            </w:r>
          </w:p>
        </w:tc>
        <w:tc>
          <w:tcPr>
            <w:tcW w:w="0" w:type="auto"/>
            <w:gridSpan w:val="3"/>
          </w:tcPr>
          <w:p w:rsidR="003C6A03" w:rsidRPr="00C94E81"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C94E81">
              <w:rPr>
                <w:rFonts w:ascii="Arial" w:eastAsia="Times New Roman" w:hAnsi="Arial" w:cs="Arial"/>
                <w:color w:val="auto"/>
                <w:sz w:val="20"/>
                <w:szCs w:val="20"/>
              </w:rPr>
              <w:t>q6 months for one year then annual</w:t>
            </w:r>
          </w:p>
        </w:tc>
        <w:tc>
          <w:tcPr>
            <w:tcW w:w="1552" w:type="dxa"/>
          </w:tcPr>
          <w:p w:rsidR="003C6A03" w:rsidRPr="005C6446" w:rsidRDefault="003C6A03" w:rsidP="00223E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r w:rsidR="003C6A03" w:rsidRPr="005C6446" w:rsidTr="00223E2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C6A03" w:rsidRPr="00C94E81" w:rsidRDefault="003C6A03" w:rsidP="00223E29">
            <w:pPr>
              <w:rPr>
                <w:rFonts w:ascii="Arial" w:eastAsia="Times New Roman" w:hAnsi="Arial" w:cs="Arial"/>
                <w:b w:val="0"/>
                <w:sz w:val="20"/>
                <w:szCs w:val="20"/>
              </w:rPr>
            </w:pPr>
            <w:r w:rsidRPr="00C94E81">
              <w:rPr>
                <w:rFonts w:ascii="Arial" w:hAnsi="Arial" w:cs="Arial"/>
                <w:b w:val="0"/>
                <w:sz w:val="20"/>
                <w:szCs w:val="20"/>
              </w:rPr>
              <w:t>Surveillance endoscopy interval after none CE-IM  of  ND patient (state = ND)</w:t>
            </w:r>
          </w:p>
        </w:tc>
        <w:tc>
          <w:tcPr>
            <w:tcW w:w="0" w:type="auto"/>
            <w:gridSpan w:val="3"/>
          </w:tcPr>
          <w:p w:rsidR="003C6A03" w:rsidRPr="00C94E81"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C94E81">
              <w:rPr>
                <w:rFonts w:ascii="Arial" w:eastAsia="Times New Roman" w:hAnsi="Arial" w:cs="Arial"/>
                <w:sz w:val="20"/>
                <w:szCs w:val="20"/>
              </w:rPr>
              <w:t>Every three years</w:t>
            </w:r>
          </w:p>
        </w:tc>
        <w:tc>
          <w:tcPr>
            <w:tcW w:w="1552" w:type="dxa"/>
          </w:tcPr>
          <w:p w:rsidR="003C6A03" w:rsidRPr="005C6446" w:rsidRDefault="003C6A03" w:rsidP="00223E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sz w:val="20"/>
                <w:szCs w:val="20"/>
              </w:rPr>
            </w:pPr>
            <w:r w:rsidRPr="005C6446">
              <w:rPr>
                <w:rFonts w:ascii="Arial" w:eastAsia="Times New Roman" w:hAnsi="Arial" w:cs="Arial"/>
                <w:i/>
                <w:color w:val="auto"/>
                <w:sz w:val="20"/>
                <w:szCs w:val="20"/>
              </w:rPr>
              <w:t>Expert</w:t>
            </w:r>
            <w:r>
              <w:rPr>
                <w:rFonts w:ascii="Arial" w:eastAsia="Times New Roman" w:hAnsi="Arial" w:cs="Arial"/>
                <w:i/>
                <w:color w:val="auto"/>
                <w:sz w:val="20"/>
                <w:szCs w:val="20"/>
              </w:rPr>
              <w:t xml:space="preserve"> consensus*</w:t>
            </w:r>
          </w:p>
        </w:tc>
      </w:tr>
    </w:tbl>
    <w:p w:rsidR="003C6A03" w:rsidRPr="00CD0E57" w:rsidRDefault="003C6A03" w:rsidP="003C6A03">
      <w:pPr>
        <w:spacing w:before="100" w:beforeAutospacing="1" w:after="0" w:line="240" w:lineRule="auto"/>
        <w:rPr>
          <w:rFonts w:ascii="Arial" w:eastAsia="Times New Roman" w:hAnsi="Arial" w:cs="Arial"/>
          <w:sz w:val="16"/>
          <w:szCs w:val="16"/>
        </w:rPr>
      </w:pPr>
      <w:r w:rsidRPr="00CD0E57">
        <w:rPr>
          <w:rFonts w:ascii="Arial" w:eastAsia="Times New Roman" w:hAnsi="Arial" w:cs="Arial"/>
          <w:sz w:val="16"/>
          <w:szCs w:val="16"/>
        </w:rPr>
        <w:t xml:space="preserve">BE: Barrett’s esophagus, ND: No dysplasia, LGD: low-grade dysplasia, HGD: high-grade dysplasia, IND: indefinite dysplasia, EGD: esophagogastroduodenoscopy, CE: </w:t>
      </w:r>
      <w:r w:rsidRPr="00CD0E57">
        <w:rPr>
          <w:rFonts w:ascii="Arial" w:eastAsia="Times New Roman" w:hAnsi="Arial" w:cs="Arial"/>
          <w:bCs/>
          <w:sz w:val="16"/>
          <w:szCs w:val="16"/>
        </w:rPr>
        <w:t>complete eradication,</w:t>
      </w:r>
      <w:r w:rsidRPr="00CD0E57">
        <w:rPr>
          <w:rFonts w:ascii="Arial" w:eastAsia="Times New Roman" w:hAnsi="Arial" w:cs="Arial"/>
          <w:sz w:val="16"/>
          <w:szCs w:val="16"/>
        </w:rPr>
        <w:t xml:space="preserve"> IM: intestinal metaplasia, D: dysplasia, RFA: radiofrequency ablation, EAC: esophageal adenocarcinoma</w:t>
      </w:r>
    </w:p>
    <w:p w:rsidR="003C6A03" w:rsidRPr="00CD0E57" w:rsidRDefault="003C6A03" w:rsidP="003C6A03">
      <w:pPr>
        <w:spacing w:after="100" w:afterAutospacing="1" w:line="240" w:lineRule="auto"/>
        <w:rPr>
          <w:rFonts w:ascii="Arial" w:eastAsia="Times New Roman" w:hAnsi="Arial" w:cs="Arial"/>
          <w:sz w:val="16"/>
          <w:szCs w:val="16"/>
        </w:rPr>
      </w:pPr>
      <w:r w:rsidRPr="00CD0E57">
        <w:rPr>
          <w:rFonts w:ascii="Arial" w:eastAsia="Times New Roman" w:hAnsi="Arial" w:cs="Arial"/>
          <w:sz w:val="16"/>
          <w:szCs w:val="16"/>
        </w:rPr>
        <w:t>*Expert consensus: panel of experts NS; SS; JI; CH; JR</w:t>
      </w:r>
    </w:p>
    <w:p w:rsidR="003C6A03" w:rsidRDefault="003C6A03" w:rsidP="003C6A03">
      <w:pPr>
        <w:pStyle w:val="Heading1"/>
        <w:spacing w:line="240" w:lineRule="auto"/>
        <w:rPr>
          <w:rFonts w:ascii="Arial" w:hAnsi="Arial" w:cs="Arial"/>
          <w:color w:val="auto"/>
          <w:sz w:val="24"/>
          <w:szCs w:val="24"/>
        </w:rPr>
      </w:pPr>
    </w:p>
    <w:p w:rsidR="003C6A03" w:rsidRDefault="003C6A03" w:rsidP="003C6A03">
      <w:pPr>
        <w:pStyle w:val="Heading1"/>
        <w:spacing w:line="240" w:lineRule="auto"/>
        <w:rPr>
          <w:rFonts w:ascii="Arial" w:hAnsi="Arial" w:cs="Arial"/>
          <w:color w:val="auto"/>
          <w:sz w:val="24"/>
          <w:szCs w:val="24"/>
        </w:rPr>
      </w:pPr>
      <w:r>
        <w:rPr>
          <w:rFonts w:ascii="Arial" w:hAnsi="Arial" w:cs="Arial"/>
          <w:color w:val="auto"/>
          <w:sz w:val="24"/>
          <w:szCs w:val="24"/>
        </w:rPr>
        <w:t>Appendix t</w:t>
      </w:r>
      <w:r w:rsidRPr="00DA7A24">
        <w:rPr>
          <w:rFonts w:ascii="Arial" w:hAnsi="Arial" w:cs="Arial"/>
          <w:color w:val="auto"/>
          <w:sz w:val="24"/>
          <w:szCs w:val="24"/>
        </w:rPr>
        <w:t xml:space="preserve">able </w:t>
      </w:r>
      <w:r>
        <w:rPr>
          <w:rFonts w:ascii="Arial" w:hAnsi="Arial" w:cs="Arial"/>
          <w:color w:val="auto"/>
          <w:sz w:val="24"/>
          <w:szCs w:val="24"/>
        </w:rPr>
        <w:t>3</w:t>
      </w:r>
      <w:r w:rsidRPr="00DA7A24">
        <w:rPr>
          <w:rFonts w:ascii="Arial" w:hAnsi="Arial" w:cs="Arial"/>
          <w:color w:val="auto"/>
          <w:sz w:val="24"/>
          <w:szCs w:val="24"/>
        </w:rPr>
        <w:t xml:space="preserve">. </w:t>
      </w:r>
      <w:r>
        <w:rPr>
          <w:rFonts w:ascii="Arial" w:hAnsi="Arial" w:cs="Arial"/>
          <w:color w:val="auto"/>
          <w:sz w:val="24"/>
          <w:szCs w:val="24"/>
        </w:rPr>
        <w:t xml:space="preserve"> All Female results: Incremental numbers needed to treat to prevent one EAC death per strategy and model</w:t>
      </w:r>
    </w:p>
    <w:p w:rsidR="003C6A03" w:rsidRPr="002920C5" w:rsidRDefault="003C6A03" w:rsidP="003C6A03"/>
    <w:tbl>
      <w:tblPr>
        <w:tblStyle w:val="MediumList1-Accent5"/>
        <w:tblW w:w="0" w:type="auto"/>
        <w:tblLook w:val="04A0" w:firstRow="1" w:lastRow="0" w:firstColumn="1" w:lastColumn="0" w:noHBand="0" w:noVBand="1"/>
      </w:tblPr>
      <w:tblGrid>
        <w:gridCol w:w="2417"/>
        <w:gridCol w:w="606"/>
        <w:gridCol w:w="667"/>
        <w:gridCol w:w="633"/>
        <w:gridCol w:w="601"/>
        <w:gridCol w:w="767"/>
        <w:gridCol w:w="767"/>
        <w:gridCol w:w="764"/>
        <w:gridCol w:w="841"/>
        <w:gridCol w:w="628"/>
      </w:tblGrid>
      <w:tr w:rsidR="003C6A03" w:rsidRPr="00CD0E57" w:rsidTr="00223E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noWrap/>
            <w:hideMark/>
          </w:tcPr>
          <w:p w:rsidR="003C6A03" w:rsidRPr="00CD0E57" w:rsidRDefault="003C6A03" w:rsidP="00223E29">
            <w:pPr>
              <w:rPr>
                <w:rFonts w:ascii="Arial" w:hAnsi="Arial" w:cs="Arial"/>
                <w:bCs w:val="0"/>
                <w:sz w:val="20"/>
                <w:szCs w:val="20"/>
              </w:rPr>
            </w:pPr>
            <w:r w:rsidRPr="00CD0E57">
              <w:rPr>
                <w:rFonts w:ascii="Arial" w:hAnsi="Arial" w:cs="Arial"/>
                <w:bCs w:val="0"/>
                <w:sz w:val="20"/>
                <w:szCs w:val="20"/>
              </w:rPr>
              <w:t>Incremental NNT/Death</w:t>
            </w:r>
          </w:p>
        </w:tc>
        <w:tc>
          <w:tcPr>
            <w:tcW w:w="0" w:type="auto"/>
            <w:gridSpan w:val="3"/>
            <w:tcBorders>
              <w:left w:val="single" w:sz="4" w:space="0" w:color="auto"/>
              <w:bottom w:val="single" w:sz="4" w:space="0" w:color="auto"/>
              <w:right w:val="single" w:sz="4" w:space="0" w:color="auto"/>
            </w:tcBorders>
            <w:noWrap/>
            <w:hideMark/>
          </w:tcPr>
          <w:p w:rsidR="003C6A03" w:rsidRPr="00CD0E57" w:rsidRDefault="003C6A03" w:rsidP="00223E29">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FHCRC</w:t>
            </w:r>
          </w:p>
        </w:tc>
        <w:tc>
          <w:tcPr>
            <w:tcW w:w="0" w:type="auto"/>
            <w:gridSpan w:val="3"/>
            <w:tcBorders>
              <w:left w:val="single" w:sz="4" w:space="0" w:color="auto"/>
              <w:bottom w:val="single" w:sz="4" w:space="0" w:color="auto"/>
              <w:right w:val="single" w:sz="4" w:space="0" w:color="auto"/>
            </w:tcBorders>
            <w:noWrap/>
            <w:hideMark/>
          </w:tcPr>
          <w:p w:rsidR="003C6A03" w:rsidRPr="00CD0E57" w:rsidRDefault="003C6A03" w:rsidP="00223E29">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MGH</w:t>
            </w:r>
          </w:p>
        </w:tc>
        <w:tc>
          <w:tcPr>
            <w:tcW w:w="0" w:type="auto"/>
            <w:gridSpan w:val="2"/>
            <w:tcBorders>
              <w:left w:val="single" w:sz="4" w:space="0" w:color="auto"/>
              <w:bottom w:val="single" w:sz="4" w:space="0" w:color="auto"/>
            </w:tcBorders>
            <w:noWrap/>
            <w:hideMark/>
          </w:tcPr>
          <w:p w:rsidR="003C6A03" w:rsidRPr="00CD0E57" w:rsidRDefault="003C6A03" w:rsidP="00223E29">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ERASMUS/UW</w:t>
            </w:r>
          </w:p>
        </w:tc>
        <w:tc>
          <w:tcPr>
            <w:tcW w:w="0" w:type="auto"/>
            <w:tcBorders>
              <w:bottom w:val="single" w:sz="4" w:space="0" w:color="auto"/>
            </w:tcBorders>
            <w:noWrap/>
            <w:hideMark/>
          </w:tcPr>
          <w:p w:rsidR="003C6A03" w:rsidRPr="00CD0E57" w:rsidRDefault="003C6A03" w:rsidP="00223E29">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right w:val="single" w:sz="4" w:space="0" w:color="auto"/>
            </w:tcBorders>
            <w:shd w:val="clear" w:color="auto" w:fill="EAF1DD" w:themeFill="accent3" w:themeFillTint="33"/>
            <w:hideMark/>
          </w:tcPr>
          <w:p w:rsidR="003C6A03" w:rsidRPr="007D7A4C" w:rsidRDefault="003C6A03" w:rsidP="00223E29">
            <w:pPr>
              <w:rPr>
                <w:rFonts w:ascii="Arial" w:hAnsi="Arial" w:cs="Arial"/>
                <w:b w:val="0"/>
                <w:bCs w:val="0"/>
                <w:color w:val="FF0000"/>
                <w:sz w:val="20"/>
                <w:szCs w:val="20"/>
              </w:rPr>
            </w:pPr>
          </w:p>
        </w:tc>
        <w:tc>
          <w:tcPr>
            <w:tcW w:w="0" w:type="auto"/>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0" w:type="auto"/>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0" w:type="auto"/>
            <w:gridSpan w:val="3"/>
            <w:tcBorders>
              <w:top w:val="single" w:sz="4" w:space="0" w:color="auto"/>
              <w:left w:val="single" w:sz="4" w:space="0" w:color="auto"/>
              <w:bottom w:val="nil"/>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0" w:type="auto"/>
            <w:tcBorders>
              <w:top w:val="nil"/>
              <w:right w:val="single" w:sz="4" w:space="0" w:color="auto"/>
            </w:tcBorders>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Strategy:</w:t>
            </w:r>
          </w:p>
        </w:tc>
        <w:tc>
          <w:tcPr>
            <w:tcW w:w="0" w:type="auto"/>
            <w:tcBorders>
              <w:top w:val="nil"/>
              <w:lef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0" w:type="auto"/>
            <w:tcBorders>
              <w:top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0" w:type="auto"/>
            <w:tcBorders>
              <w:top w:val="nil"/>
              <w:righ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0" w:type="auto"/>
            <w:tcBorders>
              <w:top w:val="nil"/>
              <w:lef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0" w:type="auto"/>
            <w:tcBorders>
              <w:top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0" w:type="auto"/>
            <w:tcBorders>
              <w:top w:val="nil"/>
              <w:righ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0" w:type="auto"/>
            <w:tcBorders>
              <w:top w:val="nil"/>
              <w:lef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0" w:type="auto"/>
            <w:tcBorders>
              <w:top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0" w:type="auto"/>
            <w:tcBorders>
              <w:top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HGD </w:t>
            </w:r>
          </w:p>
        </w:tc>
        <w:tc>
          <w:tcPr>
            <w:tcW w:w="0" w:type="auto"/>
            <w:tcBorders>
              <w:lef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31 </w:t>
            </w:r>
          </w:p>
        </w:tc>
        <w:tc>
          <w:tcPr>
            <w:tcW w:w="0" w:type="auto"/>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tcBorders>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0" w:type="auto"/>
            <w:tcBorders>
              <w:lef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57 </w:t>
            </w:r>
          </w:p>
        </w:tc>
        <w:tc>
          <w:tcPr>
            <w:tcW w:w="0" w:type="auto"/>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tcBorders>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tcBorders>
              <w:left w:val="single" w:sz="4" w:space="0" w:color="auto"/>
            </w:tcBorders>
            <w:shd w:val="clear" w:color="auto" w:fill="EAF1DD" w:themeFill="accent3" w:themeFillTint="33"/>
            <w:noWrap/>
            <w:hideMark/>
          </w:tcPr>
          <w:p w:rsidR="003C6A03" w:rsidRPr="007D7A4C" w:rsidRDefault="00784A6C"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114</w:t>
            </w:r>
            <w:r w:rsidR="003C6A03" w:rsidRPr="007D7A4C">
              <w:rPr>
                <w:color w:val="FF0000"/>
              </w:rPr>
              <w:t xml:space="preserve"> </w:t>
            </w:r>
          </w:p>
        </w:tc>
        <w:tc>
          <w:tcPr>
            <w:tcW w:w="0" w:type="auto"/>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0" w:type="auto"/>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4" w:space="0" w:color="auto"/>
            </w:tcBorders>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LGD </w:t>
            </w:r>
          </w:p>
        </w:tc>
        <w:tc>
          <w:tcPr>
            <w:tcW w:w="0" w:type="auto"/>
            <w:tcBorders>
              <w:left w:val="single" w:sz="4" w:space="0" w:color="auto"/>
              <w:bottom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tcBorders>
              <w:bottom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tcBorders>
              <w:bottom w:val="nil"/>
              <w:righ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0" w:type="auto"/>
            <w:tcBorders>
              <w:left w:val="single" w:sz="4" w:space="0" w:color="auto"/>
              <w:bottom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169 </w:t>
            </w:r>
          </w:p>
        </w:tc>
        <w:tc>
          <w:tcPr>
            <w:tcW w:w="0" w:type="auto"/>
            <w:tcBorders>
              <w:bottom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1,027 </w:t>
            </w:r>
          </w:p>
        </w:tc>
        <w:tc>
          <w:tcPr>
            <w:tcW w:w="0" w:type="auto"/>
            <w:tcBorders>
              <w:bottom w:val="nil"/>
              <w:right w:val="single" w:sz="4" w:space="0" w:color="auto"/>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0" w:type="auto"/>
            <w:tcBorders>
              <w:left w:val="single" w:sz="4" w:space="0" w:color="auto"/>
              <w:bottom w:val="nil"/>
            </w:tcBorders>
            <w:noWrap/>
            <w:hideMark/>
          </w:tcPr>
          <w:p w:rsidR="003C6A03" w:rsidRPr="007D7A4C" w:rsidRDefault="003C6A03" w:rsidP="00784A6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2</w:t>
            </w:r>
            <w:r w:rsidR="00784A6C" w:rsidRPr="007D7A4C">
              <w:rPr>
                <w:color w:val="FF0000"/>
              </w:rPr>
              <w:t>95</w:t>
            </w:r>
            <w:r w:rsidRPr="007D7A4C">
              <w:rPr>
                <w:color w:val="FF0000"/>
              </w:rPr>
              <w:t xml:space="preserve"> </w:t>
            </w:r>
          </w:p>
        </w:tc>
        <w:tc>
          <w:tcPr>
            <w:tcW w:w="0" w:type="auto"/>
            <w:tcBorders>
              <w:bottom w:val="nil"/>
            </w:tcBorders>
            <w:noWrap/>
            <w:hideMark/>
          </w:tcPr>
          <w:p w:rsidR="003C6A03" w:rsidRPr="007D7A4C" w:rsidRDefault="00784A6C"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516</w:t>
            </w:r>
            <w:r w:rsidR="003C6A03" w:rsidRPr="007D7A4C">
              <w:rPr>
                <w:color w:val="FF0000"/>
              </w:rPr>
              <w:t xml:space="preserve"> </w:t>
            </w:r>
          </w:p>
        </w:tc>
        <w:tc>
          <w:tcPr>
            <w:tcW w:w="0" w:type="auto"/>
            <w:tcBorders>
              <w:bottom w:val="nil"/>
            </w:tcBorders>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BE </w:t>
            </w:r>
          </w:p>
        </w:tc>
        <w:tc>
          <w:tcPr>
            <w:tcW w:w="0" w:type="auto"/>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101 </w:t>
            </w:r>
          </w:p>
        </w:tc>
        <w:tc>
          <w:tcPr>
            <w:tcW w:w="0" w:type="auto"/>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177 </w:t>
            </w:r>
          </w:p>
        </w:tc>
        <w:tc>
          <w:tcPr>
            <w:tcW w:w="0" w:type="auto"/>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0" w:type="auto"/>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248 </w:t>
            </w:r>
          </w:p>
        </w:tc>
        <w:tc>
          <w:tcPr>
            <w:tcW w:w="0" w:type="auto"/>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1,060 </w:t>
            </w:r>
          </w:p>
        </w:tc>
        <w:tc>
          <w:tcPr>
            <w:tcW w:w="0" w:type="auto"/>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1,100 </w:t>
            </w:r>
          </w:p>
        </w:tc>
        <w:tc>
          <w:tcPr>
            <w:tcW w:w="0" w:type="auto"/>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784A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84A6C" w:rsidRPr="007D7A4C">
              <w:rPr>
                <w:color w:val="FF0000"/>
              </w:rPr>
              <w:t>282</w:t>
            </w:r>
            <w:r w:rsidRPr="007D7A4C">
              <w:rPr>
                <w:color w:val="FF0000"/>
              </w:rPr>
              <w:t xml:space="preserve"> </w:t>
            </w:r>
          </w:p>
        </w:tc>
        <w:tc>
          <w:tcPr>
            <w:tcW w:w="0" w:type="auto"/>
            <w:tcBorders>
              <w:top w:val="nil"/>
              <w:bottom w:val="single" w:sz="4" w:space="0" w:color="auto"/>
            </w:tcBorders>
            <w:shd w:val="clear" w:color="auto" w:fill="EAF1DD" w:themeFill="accent3" w:themeFillTint="33"/>
            <w:noWrap/>
            <w:hideMark/>
          </w:tcPr>
          <w:p w:rsidR="003C6A03" w:rsidRPr="007D7A4C" w:rsidRDefault="00784A6C" w:rsidP="00784A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380</w:t>
            </w:r>
            <w:r w:rsidR="003C6A03" w:rsidRPr="007D7A4C">
              <w:rPr>
                <w:color w:val="FF0000"/>
              </w:rPr>
              <w:t xml:space="preserve"> </w:t>
            </w:r>
          </w:p>
        </w:tc>
        <w:tc>
          <w:tcPr>
            <w:tcW w:w="0" w:type="auto"/>
            <w:tcBorders>
              <w:top w:val="nil"/>
              <w:bottom w:val="single" w:sz="4" w:space="0" w:color="auto"/>
            </w:tcBorders>
            <w:shd w:val="clear" w:color="auto" w:fill="EAF1DD" w:themeFill="accent3" w:themeFillTint="33"/>
            <w:noWrap/>
            <w:hideMark/>
          </w:tcPr>
          <w:p w:rsidR="003C6A03" w:rsidRPr="007D7A4C" w:rsidRDefault="003C6A03" w:rsidP="00784A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84A6C" w:rsidRPr="007D7A4C">
              <w:rPr>
                <w:color w:val="FF0000"/>
              </w:rPr>
              <w:t>256</w:t>
            </w:r>
          </w:p>
        </w:tc>
      </w:tr>
    </w:tbl>
    <w:p w:rsidR="003C6A03" w:rsidRDefault="003C6A03" w:rsidP="003C6A03"/>
    <w:p w:rsidR="003C6A03" w:rsidRPr="005305D2" w:rsidRDefault="003C6A03" w:rsidP="003C6A03">
      <w:pPr>
        <w:spacing w:after="0" w:line="240" w:lineRule="auto"/>
        <w:rPr>
          <w:rFonts w:ascii="Arial" w:hAnsi="Arial" w:cs="Arial"/>
          <w:sz w:val="16"/>
          <w:szCs w:val="16"/>
        </w:rPr>
      </w:pPr>
      <w:r w:rsidRPr="005305D2">
        <w:rPr>
          <w:rFonts w:ascii="Arial" w:eastAsia="Times New Roman" w:hAnsi="Arial" w:cs="Arial"/>
          <w:sz w:val="16"/>
          <w:szCs w:val="16"/>
        </w:rPr>
        <w:t>EAC: esophageal adenocarcinoma</w:t>
      </w:r>
      <w:r w:rsidRPr="005305D2">
        <w:rPr>
          <w:rFonts w:ascii="Arial" w:hAnsi="Arial" w:cs="Arial"/>
          <w:sz w:val="16"/>
          <w:szCs w:val="16"/>
        </w:rPr>
        <w:t>, Strategies: NH:</w:t>
      </w:r>
      <w:r w:rsidRPr="005305D2">
        <w:rPr>
          <w:rFonts w:ascii="Arial" w:hAnsi="Arial" w:cs="Arial"/>
          <w:b/>
          <w:sz w:val="16"/>
          <w:szCs w:val="16"/>
        </w:rPr>
        <w:t xml:space="preserve"> </w:t>
      </w:r>
      <w:r w:rsidRPr="005305D2">
        <w:rPr>
          <w:rFonts w:ascii="Arial" w:hAnsi="Arial" w:cs="Arial"/>
          <w:sz w:val="16"/>
          <w:szCs w:val="16"/>
        </w:rPr>
        <w:t>Natural History strategy; S: Surveillance strategy,</w:t>
      </w:r>
      <w:r>
        <w:rPr>
          <w:rFonts w:ascii="Arial" w:hAnsi="Arial" w:cs="Arial"/>
          <w:sz w:val="16"/>
          <w:szCs w:val="16"/>
        </w:rPr>
        <w:t xml:space="preserve"> </w:t>
      </w:r>
      <w:r w:rsidRPr="005305D2">
        <w:rPr>
          <w:rFonts w:ascii="Arial" w:hAnsi="Arial" w:cs="Arial"/>
          <w:sz w:val="16"/>
          <w:szCs w:val="16"/>
        </w:rPr>
        <w:t>HGD: Endoscopic ablative therapy for HGD diagnosed patients strategy; LGD: Endoscopic ablative therapy for dysplasia diagnosed patients strategy; BE: Endoscopic ablative therapy for all BE diagnosed patients strategy</w:t>
      </w:r>
    </w:p>
    <w:p w:rsidR="003C6A03" w:rsidRDefault="003C6A03" w:rsidP="003C6A03"/>
    <w:p w:rsidR="003C6A03" w:rsidRDefault="003C6A03" w:rsidP="003C6A03">
      <w:pPr>
        <w:rPr>
          <w:rFonts w:ascii="Arial" w:eastAsiaTheme="majorEastAsia" w:hAnsi="Arial" w:cs="Arial"/>
          <w:b/>
          <w:bCs/>
          <w:sz w:val="24"/>
          <w:szCs w:val="24"/>
        </w:rPr>
      </w:pPr>
      <w:r>
        <w:rPr>
          <w:rFonts w:ascii="Arial" w:hAnsi="Arial" w:cs="Arial"/>
          <w:sz w:val="24"/>
          <w:szCs w:val="24"/>
        </w:rPr>
        <w:br w:type="page"/>
      </w:r>
    </w:p>
    <w:p w:rsidR="003C6A03" w:rsidRDefault="003C6A03" w:rsidP="003C6A03">
      <w:pPr>
        <w:pStyle w:val="Heading1"/>
        <w:spacing w:line="240" w:lineRule="auto"/>
        <w:rPr>
          <w:rFonts w:ascii="Arial" w:hAnsi="Arial" w:cs="Arial"/>
          <w:color w:val="auto"/>
          <w:sz w:val="24"/>
          <w:szCs w:val="24"/>
        </w:rPr>
      </w:pPr>
      <w:r>
        <w:rPr>
          <w:rFonts w:ascii="Arial" w:hAnsi="Arial" w:cs="Arial"/>
          <w:color w:val="auto"/>
          <w:sz w:val="24"/>
          <w:szCs w:val="24"/>
        </w:rPr>
        <w:lastRenderedPageBreak/>
        <w:t>Appendix t</w:t>
      </w:r>
      <w:r w:rsidRPr="00DA7A24">
        <w:rPr>
          <w:rFonts w:ascii="Arial" w:hAnsi="Arial" w:cs="Arial"/>
          <w:color w:val="auto"/>
          <w:sz w:val="24"/>
          <w:szCs w:val="24"/>
        </w:rPr>
        <w:t xml:space="preserve">able </w:t>
      </w:r>
      <w:r>
        <w:rPr>
          <w:rFonts w:ascii="Arial" w:hAnsi="Arial" w:cs="Arial"/>
          <w:color w:val="auto"/>
          <w:sz w:val="24"/>
          <w:szCs w:val="24"/>
        </w:rPr>
        <w:t>4</w:t>
      </w:r>
      <w:r w:rsidRPr="00DA7A24">
        <w:rPr>
          <w:rFonts w:ascii="Arial" w:hAnsi="Arial" w:cs="Arial"/>
          <w:color w:val="auto"/>
          <w:sz w:val="24"/>
          <w:szCs w:val="24"/>
        </w:rPr>
        <w:t xml:space="preserve">.  </w:t>
      </w:r>
      <w:r>
        <w:rPr>
          <w:rFonts w:ascii="Arial" w:hAnsi="Arial" w:cs="Arial"/>
          <w:color w:val="auto"/>
          <w:sz w:val="24"/>
          <w:szCs w:val="24"/>
        </w:rPr>
        <w:t>All Male surveillance start age 50, 60 and 70:  Incremental numbers needed to treat to prevent one EAC death per strategy and model</w:t>
      </w:r>
    </w:p>
    <w:p w:rsidR="003C6A03" w:rsidRPr="00CD0E57" w:rsidRDefault="003C6A03" w:rsidP="003C6A03"/>
    <w:tbl>
      <w:tblPr>
        <w:tblStyle w:val="MediumList1-Accent5"/>
        <w:tblW w:w="5000" w:type="pct"/>
        <w:tblLook w:val="04A0" w:firstRow="1" w:lastRow="0" w:firstColumn="1" w:lastColumn="0" w:noHBand="0" w:noVBand="1"/>
      </w:tblPr>
      <w:tblGrid>
        <w:gridCol w:w="1273"/>
        <w:gridCol w:w="783"/>
        <w:gridCol w:w="785"/>
        <w:gridCol w:w="628"/>
        <w:gridCol w:w="785"/>
        <w:gridCol w:w="1761"/>
        <w:gridCol w:w="785"/>
        <w:gridCol w:w="605"/>
        <w:gridCol w:w="1675"/>
        <w:gridCol w:w="784"/>
      </w:tblGrid>
      <w:tr w:rsidR="003C6A03" w:rsidRPr="00CD0E57" w:rsidTr="00223E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10"/>
            <w:tcBorders>
              <w:bottom w:val="single" w:sz="4" w:space="0" w:color="auto"/>
            </w:tcBorders>
            <w:noWrap/>
          </w:tcPr>
          <w:p w:rsidR="003C6A03" w:rsidRPr="00CD0E57" w:rsidRDefault="003C6A03" w:rsidP="00223E29">
            <w:pPr>
              <w:jc w:val="center"/>
              <w:rPr>
                <w:rFonts w:ascii="Arial" w:hAnsi="Arial" w:cs="Arial"/>
                <w:b w:val="0"/>
                <w:bCs w:val="0"/>
                <w:sz w:val="20"/>
                <w:szCs w:val="20"/>
              </w:rPr>
            </w:pPr>
            <w:r w:rsidRPr="00CD0E57">
              <w:rPr>
                <w:rFonts w:ascii="Arial" w:hAnsi="Arial" w:cs="Arial"/>
                <w:bCs w:val="0"/>
                <w:sz w:val="20"/>
                <w:szCs w:val="20"/>
              </w:rPr>
              <w:t>Incremental NNT/Death</w:t>
            </w:r>
          </w:p>
        </w:tc>
      </w:tr>
      <w:tr w:rsidR="003C6A03" w:rsidRPr="00CD0E57"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tcBorders>
              <w:bottom w:val="single" w:sz="4" w:space="0" w:color="auto"/>
              <w:right w:val="single" w:sz="4" w:space="0" w:color="auto"/>
            </w:tcBorders>
            <w:shd w:val="clear" w:color="auto" w:fill="auto"/>
            <w:noWrap/>
            <w:hideMark/>
          </w:tcPr>
          <w:p w:rsidR="003C6A03" w:rsidRPr="00CD0E57" w:rsidRDefault="003C6A03" w:rsidP="00223E29">
            <w:pPr>
              <w:rPr>
                <w:rFonts w:ascii="Arial" w:hAnsi="Arial" w:cs="Arial"/>
                <w:bCs w:val="0"/>
                <w:sz w:val="20"/>
                <w:szCs w:val="20"/>
              </w:rPr>
            </w:pPr>
            <w:r w:rsidRPr="00CD0E57">
              <w:rPr>
                <w:rFonts w:ascii="Arial" w:hAnsi="Arial" w:cs="Arial"/>
                <w:bCs w:val="0"/>
                <w:sz w:val="20"/>
                <w:szCs w:val="20"/>
              </w:rPr>
              <w:t>Age 50-100</w:t>
            </w:r>
          </w:p>
        </w:tc>
        <w:tc>
          <w:tcPr>
            <w:tcW w:w="1120" w:type="pct"/>
            <w:gridSpan w:val="3"/>
            <w:tcBorders>
              <w:left w:val="single" w:sz="4" w:space="0" w:color="auto"/>
              <w:bottom w:val="single" w:sz="4" w:space="0" w:color="auto"/>
              <w:right w:val="single" w:sz="4" w:space="0" w:color="auto"/>
            </w:tcBorders>
            <w:shd w:val="clear" w:color="auto" w:fill="auto"/>
            <w:noWrap/>
            <w:hideMark/>
          </w:tcPr>
          <w:p w:rsidR="003C6A03" w:rsidRPr="00CD0E57"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FHCRC</w:t>
            </w:r>
          </w:p>
        </w:tc>
        <w:tc>
          <w:tcPr>
            <w:tcW w:w="1716" w:type="pct"/>
            <w:gridSpan w:val="3"/>
            <w:tcBorders>
              <w:left w:val="single" w:sz="4" w:space="0" w:color="auto"/>
              <w:bottom w:val="single" w:sz="4" w:space="0" w:color="auto"/>
              <w:right w:val="single" w:sz="4" w:space="0" w:color="auto"/>
            </w:tcBorders>
            <w:shd w:val="clear" w:color="auto" w:fill="auto"/>
            <w:noWrap/>
            <w:hideMark/>
          </w:tcPr>
          <w:p w:rsidR="003C6A03" w:rsidRPr="00CD0E57"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MGH</w:t>
            </w:r>
          </w:p>
        </w:tc>
        <w:tc>
          <w:tcPr>
            <w:tcW w:w="1204" w:type="pct"/>
            <w:gridSpan w:val="2"/>
            <w:tcBorders>
              <w:left w:val="single" w:sz="4" w:space="0" w:color="auto"/>
              <w:bottom w:val="single" w:sz="4" w:space="0" w:color="auto"/>
            </w:tcBorders>
            <w:shd w:val="clear" w:color="auto" w:fill="auto"/>
            <w:noWrap/>
            <w:hideMark/>
          </w:tcPr>
          <w:p w:rsidR="003C6A03" w:rsidRPr="00CD0E57"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CD0E57">
              <w:rPr>
                <w:rFonts w:ascii="Arial" w:hAnsi="Arial" w:cs="Arial"/>
                <w:b/>
                <w:bCs/>
                <w:sz w:val="20"/>
                <w:szCs w:val="20"/>
              </w:rPr>
              <w:t>ERASMUS/UW</w:t>
            </w:r>
          </w:p>
        </w:tc>
        <w:tc>
          <w:tcPr>
            <w:tcW w:w="422" w:type="pct"/>
            <w:tcBorders>
              <w:bottom w:val="single" w:sz="4" w:space="0" w:color="auto"/>
            </w:tcBorders>
            <w:shd w:val="clear" w:color="auto" w:fill="auto"/>
            <w:noWrap/>
            <w:hideMark/>
          </w:tcPr>
          <w:p w:rsidR="003C6A03" w:rsidRPr="00CD0E57"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tc>
      </w:tr>
      <w:tr w:rsidR="003C6A03" w:rsidRPr="00CD0E57"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nil"/>
              <w:right w:val="single" w:sz="4" w:space="0" w:color="auto"/>
            </w:tcBorders>
            <w:shd w:val="clear" w:color="auto" w:fill="EAF1DD" w:themeFill="accent3" w:themeFillTint="33"/>
            <w:hideMark/>
          </w:tcPr>
          <w:p w:rsidR="003C6A03" w:rsidRPr="00CD0E57" w:rsidRDefault="003C6A03" w:rsidP="00223E29">
            <w:pPr>
              <w:rPr>
                <w:rFonts w:ascii="Arial" w:hAnsi="Arial" w:cs="Arial"/>
                <w:b w:val="0"/>
                <w:bCs w:val="0"/>
                <w:sz w:val="20"/>
                <w:szCs w:val="20"/>
              </w:rPr>
            </w:pPr>
          </w:p>
        </w:tc>
        <w:tc>
          <w:tcPr>
            <w:tcW w:w="1120"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CD0E57"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CD0E57">
              <w:rPr>
                <w:rFonts w:ascii="Arial" w:hAnsi="Arial" w:cs="Arial"/>
                <w:bCs/>
                <w:sz w:val="20"/>
                <w:szCs w:val="20"/>
              </w:rPr>
              <w:t>Reference strategy</w:t>
            </w:r>
          </w:p>
        </w:tc>
        <w:tc>
          <w:tcPr>
            <w:tcW w:w="1716"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CD0E57"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CD0E57">
              <w:rPr>
                <w:rFonts w:ascii="Arial" w:hAnsi="Arial" w:cs="Arial"/>
                <w:bCs/>
                <w:sz w:val="20"/>
                <w:szCs w:val="20"/>
              </w:rPr>
              <w:t>Reference strategy</w:t>
            </w:r>
          </w:p>
        </w:tc>
        <w:tc>
          <w:tcPr>
            <w:tcW w:w="1626" w:type="pct"/>
            <w:gridSpan w:val="3"/>
            <w:tcBorders>
              <w:top w:val="single" w:sz="4" w:space="0" w:color="auto"/>
              <w:left w:val="single" w:sz="4" w:space="0" w:color="auto"/>
              <w:bottom w:val="nil"/>
            </w:tcBorders>
            <w:shd w:val="clear" w:color="auto" w:fill="EAF1DD" w:themeFill="accent3" w:themeFillTint="33"/>
            <w:noWrap/>
            <w:hideMark/>
          </w:tcPr>
          <w:p w:rsidR="003C6A03" w:rsidRPr="00CD0E57"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CD0E57">
              <w:rPr>
                <w:rFonts w:ascii="Arial" w:hAnsi="Arial" w:cs="Arial"/>
                <w:bCs/>
                <w:sz w:val="20"/>
                <w:szCs w:val="20"/>
              </w:rPr>
              <w:t>Reference strategy</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right w:val="single" w:sz="4" w:space="0" w:color="auto"/>
            </w:tcBorders>
            <w:shd w:val="clear" w:color="auto" w:fill="auto"/>
            <w:noWrap/>
            <w:hideMark/>
          </w:tcPr>
          <w:p w:rsidR="003C6A03" w:rsidRPr="007D7A4C" w:rsidRDefault="003C6A03" w:rsidP="00223E29">
            <w:pPr>
              <w:rPr>
                <w:rFonts w:ascii="Arial" w:hAnsi="Arial" w:cs="Arial"/>
                <w:b w:val="0"/>
                <w:bCs w:val="0"/>
                <w:color w:val="FF0000"/>
                <w:sz w:val="20"/>
                <w:szCs w:val="20"/>
              </w:rPr>
            </w:pPr>
            <w:bookmarkStart w:id="52" w:name="_GoBack"/>
            <w:r w:rsidRPr="007D7A4C">
              <w:rPr>
                <w:rFonts w:ascii="Arial" w:hAnsi="Arial" w:cs="Arial"/>
                <w:b w:val="0"/>
                <w:bCs w:val="0"/>
                <w:color w:val="FF0000"/>
                <w:sz w:val="20"/>
                <w:szCs w:val="20"/>
              </w:rPr>
              <w:t>Strategy:</w:t>
            </w:r>
          </w:p>
        </w:tc>
        <w:tc>
          <w:tcPr>
            <w:tcW w:w="42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277"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422"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33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HGD </w:t>
            </w:r>
          </w:p>
        </w:tc>
        <w:tc>
          <w:tcPr>
            <w:tcW w:w="421"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31 </w:t>
            </w: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77"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36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331" w:type="pct"/>
            <w:tcBorders>
              <w:left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31</w:t>
            </w:r>
            <w:r w:rsidRPr="007D7A4C">
              <w:rPr>
                <w:color w:val="FF0000"/>
              </w:rPr>
              <w:t xml:space="preserve">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bottom w:val="nil"/>
              <w:right w:val="single" w:sz="4" w:space="0" w:color="auto"/>
            </w:tcBorders>
            <w:shd w:val="clear" w:color="auto" w:fill="auto"/>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LGD </w:t>
            </w:r>
          </w:p>
        </w:tc>
        <w:tc>
          <w:tcPr>
            <w:tcW w:w="421"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277"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422"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93 </w:t>
            </w:r>
          </w:p>
        </w:tc>
        <w:tc>
          <w:tcPr>
            <w:tcW w:w="873"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320 </w:t>
            </w:r>
          </w:p>
        </w:tc>
        <w:tc>
          <w:tcPr>
            <w:tcW w:w="422"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331" w:type="pct"/>
            <w:tcBorders>
              <w:left w:val="single" w:sz="4" w:space="0" w:color="auto"/>
              <w:bottom w:val="nil"/>
            </w:tcBorders>
            <w:shd w:val="clear" w:color="auto" w:fill="auto"/>
            <w:noWrap/>
            <w:hideMark/>
          </w:tcPr>
          <w:p w:rsidR="003C6A03" w:rsidRPr="007D7A4C" w:rsidRDefault="003C6A03" w:rsidP="007232B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72</w:t>
            </w:r>
            <w:r w:rsidRPr="007D7A4C">
              <w:rPr>
                <w:color w:val="FF0000"/>
              </w:rPr>
              <w:t xml:space="preserve"> </w:t>
            </w:r>
          </w:p>
        </w:tc>
        <w:tc>
          <w:tcPr>
            <w:tcW w:w="873" w:type="pct"/>
            <w:tcBorders>
              <w:bottom w:val="nil"/>
            </w:tcBorders>
            <w:shd w:val="clear" w:color="auto" w:fill="auto"/>
            <w:noWrap/>
            <w:hideMark/>
          </w:tcPr>
          <w:p w:rsidR="003C6A03" w:rsidRPr="007D7A4C" w:rsidRDefault="007232B8"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181</w:t>
            </w:r>
            <w:r w:rsidR="003C6A03" w:rsidRPr="007D7A4C">
              <w:rPr>
                <w:color w:val="FF0000"/>
              </w:rPr>
              <w:t xml:space="preserve"> </w:t>
            </w: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BE </w:t>
            </w:r>
          </w:p>
        </w:tc>
        <w:tc>
          <w:tcPr>
            <w:tcW w:w="421"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71 </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110 </w:t>
            </w:r>
          </w:p>
        </w:tc>
        <w:tc>
          <w:tcPr>
            <w:tcW w:w="277"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118 </w:t>
            </w:r>
          </w:p>
        </w:tc>
        <w:tc>
          <w:tcPr>
            <w:tcW w:w="873"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299 </w:t>
            </w:r>
          </w:p>
        </w:tc>
        <w:tc>
          <w:tcPr>
            <w:tcW w:w="422"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274 </w:t>
            </w:r>
          </w:p>
        </w:tc>
        <w:tc>
          <w:tcPr>
            <w:tcW w:w="331"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74</w:t>
            </w:r>
            <w:r w:rsidRPr="007D7A4C">
              <w:rPr>
                <w:color w:val="FF0000"/>
              </w:rPr>
              <w:t xml:space="preserve"> </w:t>
            </w:r>
          </w:p>
        </w:tc>
        <w:tc>
          <w:tcPr>
            <w:tcW w:w="873" w:type="pct"/>
            <w:tcBorders>
              <w:top w:val="nil"/>
              <w:bottom w:val="single" w:sz="4" w:space="0" w:color="auto"/>
            </w:tcBorders>
            <w:shd w:val="clear" w:color="auto" w:fill="EAF1DD" w:themeFill="accent3" w:themeFillTint="33"/>
            <w:noWrap/>
            <w:hideMark/>
          </w:tcPr>
          <w:p w:rsidR="003C6A03" w:rsidRPr="007D7A4C" w:rsidRDefault="007232B8"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140</w:t>
            </w:r>
            <w:r w:rsidR="003C6A03" w:rsidRPr="007D7A4C">
              <w:rPr>
                <w:color w:val="FF0000"/>
              </w:rPr>
              <w:t xml:space="preserve"> </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83</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tcBorders>
              <w:bottom w:val="single" w:sz="4" w:space="0" w:color="auto"/>
              <w:right w:val="single" w:sz="4" w:space="0" w:color="auto"/>
            </w:tcBorders>
            <w:shd w:val="clear" w:color="auto" w:fill="auto"/>
            <w:noWrap/>
            <w:hideMark/>
          </w:tcPr>
          <w:p w:rsidR="003C6A03" w:rsidRPr="007D7A4C" w:rsidRDefault="003C6A03" w:rsidP="00223E29">
            <w:pPr>
              <w:rPr>
                <w:rFonts w:ascii="Arial" w:hAnsi="Arial" w:cs="Arial"/>
                <w:bCs w:val="0"/>
                <w:color w:val="FF0000"/>
                <w:sz w:val="20"/>
                <w:szCs w:val="20"/>
              </w:rPr>
            </w:pPr>
            <w:r w:rsidRPr="007D7A4C">
              <w:rPr>
                <w:rFonts w:ascii="Arial" w:hAnsi="Arial" w:cs="Arial"/>
                <w:bCs w:val="0"/>
                <w:color w:val="FF0000"/>
                <w:sz w:val="20"/>
                <w:szCs w:val="20"/>
              </w:rPr>
              <w:t>Age 60-100</w:t>
            </w:r>
          </w:p>
        </w:tc>
        <w:tc>
          <w:tcPr>
            <w:tcW w:w="1120" w:type="pct"/>
            <w:gridSpan w:val="3"/>
            <w:tcBorders>
              <w:left w:val="single" w:sz="4" w:space="0" w:color="auto"/>
              <w:bottom w:val="single" w:sz="4" w:space="0" w:color="auto"/>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FHCRC</w:t>
            </w:r>
          </w:p>
        </w:tc>
        <w:tc>
          <w:tcPr>
            <w:tcW w:w="1716" w:type="pct"/>
            <w:gridSpan w:val="3"/>
            <w:tcBorders>
              <w:left w:val="single" w:sz="4" w:space="0" w:color="auto"/>
              <w:bottom w:val="single" w:sz="4" w:space="0" w:color="auto"/>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MGH</w:t>
            </w:r>
          </w:p>
        </w:tc>
        <w:tc>
          <w:tcPr>
            <w:tcW w:w="1204" w:type="pct"/>
            <w:gridSpan w:val="2"/>
            <w:tcBorders>
              <w:left w:val="single" w:sz="4" w:space="0" w:color="auto"/>
              <w:bottom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ERASMUS/UW</w:t>
            </w:r>
          </w:p>
        </w:tc>
        <w:tc>
          <w:tcPr>
            <w:tcW w:w="422" w:type="pct"/>
            <w:tcBorders>
              <w:bottom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nil"/>
              <w:right w:val="single" w:sz="4" w:space="0" w:color="auto"/>
            </w:tcBorders>
            <w:shd w:val="clear" w:color="auto" w:fill="EAF1DD" w:themeFill="accent3" w:themeFillTint="33"/>
            <w:hideMark/>
          </w:tcPr>
          <w:p w:rsidR="003C6A03" w:rsidRPr="007D7A4C" w:rsidRDefault="003C6A03" w:rsidP="00223E29">
            <w:pPr>
              <w:rPr>
                <w:rFonts w:ascii="Arial" w:hAnsi="Arial" w:cs="Arial"/>
                <w:b w:val="0"/>
                <w:bCs w:val="0"/>
                <w:color w:val="FF0000"/>
                <w:sz w:val="20"/>
                <w:szCs w:val="20"/>
              </w:rPr>
            </w:pPr>
          </w:p>
        </w:tc>
        <w:tc>
          <w:tcPr>
            <w:tcW w:w="1120"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1716"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1626" w:type="pct"/>
            <w:gridSpan w:val="3"/>
            <w:tcBorders>
              <w:top w:val="single" w:sz="4" w:space="0" w:color="auto"/>
              <w:left w:val="single" w:sz="4" w:space="0" w:color="auto"/>
              <w:bottom w:val="nil"/>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right w:val="single" w:sz="4" w:space="0" w:color="auto"/>
            </w:tcBorders>
            <w:shd w:val="clear" w:color="auto" w:fill="auto"/>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Strategy:</w:t>
            </w:r>
          </w:p>
        </w:tc>
        <w:tc>
          <w:tcPr>
            <w:tcW w:w="42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277"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422"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33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HGD </w:t>
            </w:r>
          </w:p>
        </w:tc>
        <w:tc>
          <w:tcPr>
            <w:tcW w:w="421"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34</w:t>
            </w: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277"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39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331" w:type="pct"/>
            <w:tcBorders>
              <w:left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28</w:t>
            </w:r>
            <w:r w:rsidRPr="007D7A4C">
              <w:rPr>
                <w:color w:val="FF0000"/>
              </w:rPr>
              <w:t xml:space="preserve">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bottom w:val="nil"/>
              <w:right w:val="single" w:sz="4" w:space="0" w:color="auto"/>
            </w:tcBorders>
            <w:shd w:val="clear" w:color="auto" w:fill="auto"/>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LGD </w:t>
            </w:r>
          </w:p>
        </w:tc>
        <w:tc>
          <w:tcPr>
            <w:tcW w:w="421"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277"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422"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color w:val="FF0000"/>
              </w:rPr>
              <w:t xml:space="preserve"> 107 </w:t>
            </w:r>
          </w:p>
        </w:tc>
        <w:tc>
          <w:tcPr>
            <w:tcW w:w="873"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color w:val="FF0000"/>
              </w:rPr>
              <w:t xml:space="preserve"> 347 </w:t>
            </w:r>
          </w:p>
        </w:tc>
        <w:tc>
          <w:tcPr>
            <w:tcW w:w="422"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331" w:type="pct"/>
            <w:tcBorders>
              <w:left w:val="single" w:sz="4" w:space="0" w:color="auto"/>
              <w:bottom w:val="nil"/>
            </w:tcBorders>
            <w:shd w:val="clear" w:color="auto" w:fill="auto"/>
            <w:noWrap/>
            <w:hideMark/>
          </w:tcPr>
          <w:p w:rsidR="003C6A03" w:rsidRPr="007D7A4C" w:rsidRDefault="003C6A03" w:rsidP="007232B8">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73</w:t>
            </w:r>
          </w:p>
        </w:tc>
        <w:tc>
          <w:tcPr>
            <w:tcW w:w="873" w:type="pct"/>
            <w:tcBorders>
              <w:bottom w:val="nil"/>
            </w:tcBorders>
            <w:shd w:val="clear" w:color="auto" w:fill="auto"/>
            <w:noWrap/>
            <w:hideMark/>
          </w:tcPr>
          <w:p w:rsidR="003C6A03" w:rsidRPr="007D7A4C" w:rsidRDefault="003C6A03" w:rsidP="007232B8">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162</w:t>
            </w:r>
            <w:r w:rsidRPr="007D7A4C">
              <w:rPr>
                <w:color w:val="FF0000"/>
              </w:rPr>
              <w:t xml:space="preserve"> </w:t>
            </w: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 xml:space="preserve"> BE </w:t>
            </w:r>
          </w:p>
        </w:tc>
        <w:tc>
          <w:tcPr>
            <w:tcW w:w="421"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99</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180</w:t>
            </w:r>
          </w:p>
        </w:tc>
        <w:tc>
          <w:tcPr>
            <w:tcW w:w="277"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142 </w:t>
            </w:r>
          </w:p>
        </w:tc>
        <w:tc>
          <w:tcPr>
            <w:tcW w:w="873"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316 (dominated)</w:t>
            </w:r>
          </w:p>
        </w:tc>
        <w:tc>
          <w:tcPr>
            <w:tcW w:w="422"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288 </w:t>
            </w:r>
          </w:p>
        </w:tc>
        <w:tc>
          <w:tcPr>
            <w:tcW w:w="331"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89</w:t>
            </w:r>
            <w:r w:rsidRPr="007D7A4C">
              <w:rPr>
                <w:color w:val="FF0000"/>
              </w:rPr>
              <w:t xml:space="preserve"> </w:t>
            </w:r>
          </w:p>
        </w:tc>
        <w:tc>
          <w:tcPr>
            <w:tcW w:w="873" w:type="pct"/>
            <w:tcBorders>
              <w:top w:val="nil"/>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168</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color w:val="FF0000"/>
              </w:rPr>
              <w:t xml:space="preserve"> </w:t>
            </w:r>
            <w:r w:rsidR="007232B8" w:rsidRPr="007D7A4C">
              <w:rPr>
                <w:color w:val="FF0000"/>
              </w:rPr>
              <w:t>179</w:t>
            </w:r>
            <w:r w:rsidRPr="007D7A4C">
              <w:rPr>
                <w:color w:val="FF0000"/>
              </w:rPr>
              <w:t xml:space="preserve"> </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tcBorders>
              <w:bottom w:val="single" w:sz="4" w:space="0" w:color="auto"/>
              <w:right w:val="single" w:sz="4" w:space="0" w:color="auto"/>
            </w:tcBorders>
            <w:shd w:val="clear" w:color="auto" w:fill="auto"/>
            <w:noWrap/>
            <w:hideMark/>
          </w:tcPr>
          <w:p w:rsidR="003C6A03" w:rsidRPr="007D7A4C" w:rsidRDefault="003C6A03" w:rsidP="00223E29">
            <w:pPr>
              <w:rPr>
                <w:rFonts w:ascii="Arial" w:hAnsi="Arial" w:cs="Arial"/>
                <w:bCs w:val="0"/>
                <w:color w:val="FF0000"/>
                <w:sz w:val="20"/>
                <w:szCs w:val="20"/>
              </w:rPr>
            </w:pPr>
            <w:r w:rsidRPr="007D7A4C">
              <w:rPr>
                <w:rFonts w:ascii="Arial" w:hAnsi="Arial" w:cs="Arial"/>
                <w:bCs w:val="0"/>
                <w:color w:val="FF0000"/>
                <w:sz w:val="20"/>
                <w:szCs w:val="20"/>
              </w:rPr>
              <w:t>Age 70-100</w:t>
            </w:r>
          </w:p>
        </w:tc>
        <w:tc>
          <w:tcPr>
            <w:tcW w:w="1120" w:type="pct"/>
            <w:gridSpan w:val="3"/>
            <w:tcBorders>
              <w:left w:val="single" w:sz="4" w:space="0" w:color="auto"/>
              <w:bottom w:val="single" w:sz="4" w:space="0" w:color="auto"/>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FHCRC</w:t>
            </w:r>
          </w:p>
        </w:tc>
        <w:tc>
          <w:tcPr>
            <w:tcW w:w="1716" w:type="pct"/>
            <w:gridSpan w:val="3"/>
            <w:tcBorders>
              <w:left w:val="single" w:sz="4" w:space="0" w:color="auto"/>
              <w:bottom w:val="single" w:sz="4" w:space="0" w:color="auto"/>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MGH</w:t>
            </w:r>
          </w:p>
        </w:tc>
        <w:tc>
          <w:tcPr>
            <w:tcW w:w="1204" w:type="pct"/>
            <w:gridSpan w:val="2"/>
            <w:tcBorders>
              <w:left w:val="single" w:sz="4" w:space="0" w:color="auto"/>
              <w:bottom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r w:rsidRPr="007D7A4C">
              <w:rPr>
                <w:rFonts w:ascii="Arial" w:hAnsi="Arial" w:cs="Arial"/>
                <w:b/>
                <w:bCs/>
                <w:color w:val="FF0000"/>
                <w:sz w:val="20"/>
                <w:szCs w:val="20"/>
              </w:rPr>
              <w:t>ERASMUS/UW</w:t>
            </w:r>
          </w:p>
        </w:tc>
        <w:tc>
          <w:tcPr>
            <w:tcW w:w="422" w:type="pct"/>
            <w:tcBorders>
              <w:bottom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nil"/>
              <w:right w:val="single" w:sz="4" w:space="0" w:color="auto"/>
            </w:tcBorders>
            <w:shd w:val="clear" w:color="auto" w:fill="EAF1DD" w:themeFill="accent3" w:themeFillTint="33"/>
            <w:hideMark/>
          </w:tcPr>
          <w:p w:rsidR="003C6A03" w:rsidRPr="007D7A4C" w:rsidRDefault="003C6A03" w:rsidP="00223E29">
            <w:pPr>
              <w:rPr>
                <w:rFonts w:ascii="Arial" w:hAnsi="Arial" w:cs="Arial"/>
                <w:b w:val="0"/>
                <w:bCs w:val="0"/>
                <w:color w:val="FF0000"/>
                <w:sz w:val="20"/>
                <w:szCs w:val="20"/>
              </w:rPr>
            </w:pPr>
          </w:p>
        </w:tc>
        <w:tc>
          <w:tcPr>
            <w:tcW w:w="1120"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1716" w:type="pct"/>
            <w:gridSpan w:val="3"/>
            <w:tcBorders>
              <w:top w:val="single" w:sz="4" w:space="0" w:color="auto"/>
              <w:left w:val="single" w:sz="4" w:space="0" w:color="auto"/>
              <w:bottom w:val="nil"/>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c>
          <w:tcPr>
            <w:tcW w:w="1626" w:type="pct"/>
            <w:gridSpan w:val="3"/>
            <w:tcBorders>
              <w:top w:val="single" w:sz="4" w:space="0" w:color="auto"/>
              <w:left w:val="single" w:sz="4" w:space="0" w:color="auto"/>
              <w:bottom w:val="nil"/>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Reference strategy</w:t>
            </w: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right w:val="single" w:sz="4" w:space="0" w:color="auto"/>
            </w:tcBorders>
            <w:shd w:val="clear" w:color="auto" w:fill="auto"/>
            <w:noWrap/>
            <w:hideMark/>
          </w:tcPr>
          <w:p w:rsidR="003C6A03" w:rsidRPr="007D7A4C" w:rsidRDefault="003C6A03" w:rsidP="00223E29">
            <w:pPr>
              <w:rPr>
                <w:rFonts w:ascii="Arial" w:hAnsi="Arial" w:cs="Arial"/>
                <w:b w:val="0"/>
                <w:bCs w:val="0"/>
                <w:color w:val="FF0000"/>
                <w:sz w:val="20"/>
                <w:szCs w:val="20"/>
              </w:rPr>
            </w:pPr>
            <w:r w:rsidRPr="007D7A4C">
              <w:rPr>
                <w:rFonts w:ascii="Arial" w:hAnsi="Arial" w:cs="Arial"/>
                <w:b w:val="0"/>
                <w:bCs w:val="0"/>
                <w:color w:val="FF0000"/>
                <w:sz w:val="20"/>
                <w:szCs w:val="20"/>
              </w:rPr>
              <w:t>Strategy:</w:t>
            </w:r>
          </w:p>
        </w:tc>
        <w:tc>
          <w:tcPr>
            <w:tcW w:w="42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277"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422"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c>
          <w:tcPr>
            <w:tcW w:w="331" w:type="pct"/>
            <w:tcBorders>
              <w:top w:val="nil"/>
              <w:lef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S</w:t>
            </w:r>
          </w:p>
        </w:tc>
        <w:tc>
          <w:tcPr>
            <w:tcW w:w="873"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HGD</w:t>
            </w:r>
          </w:p>
        </w:tc>
        <w:tc>
          <w:tcPr>
            <w:tcW w:w="422" w:type="pct"/>
            <w:tcBorders>
              <w:top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r w:rsidRPr="007D7A4C">
              <w:rPr>
                <w:rFonts w:ascii="Arial" w:hAnsi="Arial" w:cs="Arial"/>
                <w:bCs/>
                <w:color w:val="FF0000"/>
                <w:sz w:val="20"/>
                <w:szCs w:val="20"/>
              </w:rPr>
              <w:t>LGD</w:t>
            </w: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right w:val="single" w:sz="4" w:space="0" w:color="auto"/>
            </w:tcBorders>
            <w:shd w:val="clear" w:color="auto" w:fill="EAF1DD" w:themeFill="accent3" w:themeFillTint="33"/>
            <w:noWrap/>
            <w:hideMark/>
          </w:tcPr>
          <w:p w:rsidR="003C6A03" w:rsidRPr="007D7A4C" w:rsidRDefault="003C6A03" w:rsidP="00223E29">
            <w:pPr>
              <w:jc w:val="center"/>
              <w:rPr>
                <w:rFonts w:ascii="Arial" w:hAnsi="Arial" w:cs="Arial"/>
                <w:b w:val="0"/>
                <w:bCs w:val="0"/>
                <w:color w:val="FF0000"/>
                <w:sz w:val="20"/>
                <w:szCs w:val="20"/>
              </w:rPr>
            </w:pPr>
            <w:r w:rsidRPr="007D7A4C">
              <w:rPr>
                <w:rFonts w:ascii="Arial" w:hAnsi="Arial" w:cs="Arial"/>
                <w:b w:val="0"/>
                <w:bCs w:val="0"/>
                <w:color w:val="FF0000"/>
                <w:sz w:val="20"/>
                <w:szCs w:val="20"/>
              </w:rPr>
              <w:t>HGD</w:t>
            </w:r>
          </w:p>
        </w:tc>
        <w:tc>
          <w:tcPr>
            <w:tcW w:w="421"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37 </w:t>
            </w: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77"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tcBorders>
              <w:lef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43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tcBorders>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331" w:type="pct"/>
            <w:tcBorders>
              <w:left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30</w:t>
            </w:r>
            <w:r w:rsidRPr="007D7A4C">
              <w:rPr>
                <w:color w:val="FF0000"/>
              </w:rPr>
              <w:t xml:space="preserve"> </w:t>
            </w:r>
          </w:p>
        </w:tc>
        <w:tc>
          <w:tcPr>
            <w:tcW w:w="873"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422" w:type="pct"/>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7D7A4C" w:rsidRPr="007D7A4C" w:rsidTr="00223E2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38" w:type="pct"/>
            <w:tcBorders>
              <w:bottom w:val="nil"/>
              <w:right w:val="single" w:sz="4" w:space="0" w:color="auto"/>
            </w:tcBorders>
            <w:shd w:val="clear" w:color="auto" w:fill="auto"/>
            <w:noWrap/>
            <w:hideMark/>
          </w:tcPr>
          <w:p w:rsidR="003C6A03" w:rsidRPr="007D7A4C" w:rsidRDefault="003C6A03" w:rsidP="00223E29">
            <w:pPr>
              <w:jc w:val="center"/>
              <w:rPr>
                <w:rFonts w:ascii="Arial" w:hAnsi="Arial" w:cs="Arial"/>
                <w:b w:val="0"/>
                <w:bCs w:val="0"/>
                <w:color w:val="FF0000"/>
                <w:sz w:val="20"/>
                <w:szCs w:val="20"/>
              </w:rPr>
            </w:pPr>
            <w:r w:rsidRPr="007D7A4C">
              <w:rPr>
                <w:rFonts w:ascii="Arial" w:hAnsi="Arial" w:cs="Arial"/>
                <w:b w:val="0"/>
                <w:bCs w:val="0"/>
                <w:color w:val="FF0000"/>
                <w:sz w:val="20"/>
                <w:szCs w:val="20"/>
              </w:rPr>
              <w:t>LGD</w:t>
            </w:r>
          </w:p>
        </w:tc>
        <w:tc>
          <w:tcPr>
            <w:tcW w:w="421"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277"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0000"/>
                <w:sz w:val="20"/>
                <w:szCs w:val="20"/>
              </w:rPr>
            </w:pPr>
          </w:p>
        </w:tc>
        <w:tc>
          <w:tcPr>
            <w:tcW w:w="422" w:type="pct"/>
            <w:tcBorders>
              <w:left w:val="single" w:sz="4" w:space="0" w:color="auto"/>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130 </w:t>
            </w:r>
          </w:p>
        </w:tc>
        <w:tc>
          <w:tcPr>
            <w:tcW w:w="873"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391 </w:t>
            </w:r>
          </w:p>
        </w:tc>
        <w:tc>
          <w:tcPr>
            <w:tcW w:w="422" w:type="pct"/>
            <w:tcBorders>
              <w:bottom w:val="nil"/>
              <w:right w:val="single" w:sz="4" w:space="0" w:color="auto"/>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c>
          <w:tcPr>
            <w:tcW w:w="331" w:type="pct"/>
            <w:tcBorders>
              <w:left w:val="single" w:sz="4" w:space="0" w:color="auto"/>
              <w:bottom w:val="nil"/>
            </w:tcBorders>
            <w:shd w:val="clear" w:color="auto" w:fill="auto"/>
            <w:noWrap/>
            <w:hideMark/>
          </w:tcPr>
          <w:p w:rsidR="003C6A03" w:rsidRPr="007D7A4C" w:rsidRDefault="003C6A03" w:rsidP="007232B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92</w:t>
            </w:r>
            <w:r w:rsidRPr="007D7A4C">
              <w:rPr>
                <w:color w:val="FF0000"/>
              </w:rPr>
              <w:t xml:space="preserve"> </w:t>
            </w:r>
          </w:p>
        </w:tc>
        <w:tc>
          <w:tcPr>
            <w:tcW w:w="873" w:type="pct"/>
            <w:tcBorders>
              <w:bottom w:val="nil"/>
            </w:tcBorders>
            <w:shd w:val="clear" w:color="auto" w:fill="auto"/>
            <w:noWrap/>
            <w:hideMark/>
          </w:tcPr>
          <w:p w:rsidR="003C6A03" w:rsidRPr="007D7A4C" w:rsidRDefault="003C6A03" w:rsidP="007232B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193</w:t>
            </w:r>
            <w:r w:rsidRPr="007D7A4C">
              <w:rPr>
                <w:color w:val="FF0000"/>
              </w:rPr>
              <w:t xml:space="preserve"> </w:t>
            </w:r>
          </w:p>
        </w:tc>
        <w:tc>
          <w:tcPr>
            <w:tcW w:w="422" w:type="pct"/>
            <w:tcBorders>
              <w:bottom w:val="nil"/>
            </w:tcBorders>
            <w:shd w:val="clear" w:color="auto" w:fill="auto"/>
            <w:noWrap/>
            <w:hideMark/>
          </w:tcPr>
          <w:p w:rsidR="003C6A03" w:rsidRPr="007D7A4C" w:rsidRDefault="003C6A03" w:rsidP="00223E2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p>
        </w:tc>
      </w:tr>
      <w:tr w:rsidR="007D7A4C" w:rsidRPr="007D7A4C" w:rsidTr="00223E29">
        <w:trPr>
          <w:trHeight w:val="225"/>
        </w:trPr>
        <w:tc>
          <w:tcPr>
            <w:cnfStyle w:val="001000000000" w:firstRow="0" w:lastRow="0" w:firstColumn="1" w:lastColumn="0" w:oddVBand="0" w:evenVBand="0" w:oddHBand="0" w:evenHBand="0" w:firstRowFirstColumn="0" w:firstRowLastColumn="0" w:lastRowFirstColumn="0" w:lastRowLastColumn="0"/>
            <w:tcW w:w="538"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rPr>
                <w:rFonts w:ascii="Arial" w:hAnsi="Arial" w:cs="Arial"/>
                <w:b w:val="0"/>
                <w:bCs w:val="0"/>
                <w:color w:val="FF0000"/>
                <w:sz w:val="20"/>
                <w:szCs w:val="20"/>
              </w:rPr>
            </w:pPr>
            <w:r w:rsidRPr="007D7A4C">
              <w:rPr>
                <w:rFonts w:ascii="Arial" w:hAnsi="Arial" w:cs="Arial"/>
                <w:b w:val="0"/>
                <w:bCs w:val="0"/>
                <w:color w:val="FF0000"/>
                <w:sz w:val="20"/>
                <w:szCs w:val="20"/>
              </w:rPr>
              <w:t>BE</w:t>
            </w:r>
          </w:p>
        </w:tc>
        <w:tc>
          <w:tcPr>
            <w:tcW w:w="421"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170 </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412 </w:t>
            </w:r>
          </w:p>
        </w:tc>
        <w:tc>
          <w:tcPr>
            <w:tcW w:w="277"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p>
        </w:tc>
        <w:tc>
          <w:tcPr>
            <w:tcW w:w="422" w:type="pct"/>
            <w:tcBorders>
              <w:top w:val="nil"/>
              <w:left w:val="single" w:sz="4" w:space="0" w:color="auto"/>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200 </w:t>
            </w:r>
          </w:p>
        </w:tc>
        <w:tc>
          <w:tcPr>
            <w:tcW w:w="873" w:type="pct"/>
            <w:tcBorders>
              <w:top w:val="nil"/>
              <w:bottom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409 </w:t>
            </w:r>
          </w:p>
        </w:tc>
        <w:tc>
          <w:tcPr>
            <w:tcW w:w="422" w:type="pct"/>
            <w:tcBorders>
              <w:top w:val="nil"/>
              <w:bottom w:val="single" w:sz="4" w:space="0" w:color="auto"/>
              <w:right w:val="single" w:sz="4" w:space="0" w:color="auto"/>
            </w:tcBorders>
            <w:shd w:val="clear" w:color="auto" w:fill="EAF1DD" w:themeFill="accent3" w:themeFillTint="33"/>
            <w:noWrap/>
            <w:hideMark/>
          </w:tcPr>
          <w:p w:rsidR="003C6A03" w:rsidRPr="007D7A4C" w:rsidRDefault="003C6A03"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424 </w:t>
            </w:r>
          </w:p>
        </w:tc>
        <w:tc>
          <w:tcPr>
            <w:tcW w:w="331" w:type="pct"/>
            <w:tcBorders>
              <w:top w:val="nil"/>
              <w:left w:val="single" w:sz="4" w:space="0" w:color="auto"/>
              <w:bottom w:val="single" w:sz="4" w:space="0" w:color="auto"/>
            </w:tcBorders>
            <w:shd w:val="clear" w:color="auto" w:fill="EAF1DD" w:themeFill="accent3" w:themeFillTint="33"/>
            <w:noWrap/>
            <w:hideMark/>
          </w:tcPr>
          <w:p w:rsidR="003C6A03" w:rsidRPr="007D7A4C" w:rsidRDefault="007232B8" w:rsidP="00223E2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116</w:t>
            </w:r>
            <w:r w:rsidR="003C6A03" w:rsidRPr="007D7A4C">
              <w:rPr>
                <w:color w:val="FF0000"/>
              </w:rPr>
              <w:t xml:space="preserve"> </w:t>
            </w:r>
          </w:p>
        </w:tc>
        <w:tc>
          <w:tcPr>
            <w:tcW w:w="873" w:type="pct"/>
            <w:tcBorders>
              <w:top w:val="nil"/>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w:t>
            </w:r>
            <w:r w:rsidR="007232B8" w:rsidRPr="007D7A4C">
              <w:rPr>
                <w:color w:val="FF0000"/>
              </w:rPr>
              <w:t>181</w:t>
            </w:r>
          </w:p>
        </w:tc>
        <w:tc>
          <w:tcPr>
            <w:tcW w:w="422" w:type="pct"/>
            <w:tcBorders>
              <w:top w:val="nil"/>
              <w:bottom w:val="single" w:sz="4" w:space="0" w:color="auto"/>
            </w:tcBorders>
            <w:shd w:val="clear" w:color="auto" w:fill="EAF1DD" w:themeFill="accent3" w:themeFillTint="33"/>
            <w:noWrap/>
            <w:hideMark/>
          </w:tcPr>
          <w:p w:rsidR="003C6A03" w:rsidRPr="007D7A4C" w:rsidRDefault="003C6A03" w:rsidP="007232B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D7A4C">
              <w:rPr>
                <w:color w:val="FF0000"/>
              </w:rPr>
              <w:t xml:space="preserve"> 1</w:t>
            </w:r>
            <w:r w:rsidR="007232B8" w:rsidRPr="007D7A4C">
              <w:rPr>
                <w:color w:val="FF0000"/>
              </w:rPr>
              <w:t>7</w:t>
            </w:r>
            <w:r w:rsidRPr="007D7A4C">
              <w:rPr>
                <w:color w:val="FF0000"/>
              </w:rPr>
              <w:t xml:space="preserve">1 </w:t>
            </w:r>
          </w:p>
        </w:tc>
      </w:tr>
      <w:bookmarkEnd w:id="52"/>
    </w:tbl>
    <w:p w:rsidR="003C6A03" w:rsidRPr="00851EA4" w:rsidRDefault="003C6A03" w:rsidP="003C6A03">
      <w:pPr>
        <w:spacing w:after="0" w:line="240" w:lineRule="auto"/>
        <w:rPr>
          <w:rFonts w:ascii="Arial" w:hAnsi="Arial" w:cs="Arial"/>
          <w:b/>
          <w:sz w:val="24"/>
          <w:szCs w:val="24"/>
        </w:rPr>
      </w:pPr>
    </w:p>
    <w:p w:rsidR="003C6A03" w:rsidRPr="005305D2" w:rsidRDefault="003C6A03" w:rsidP="003C6A03">
      <w:pPr>
        <w:spacing w:after="0" w:line="240" w:lineRule="auto"/>
        <w:rPr>
          <w:rFonts w:ascii="Arial" w:hAnsi="Arial" w:cs="Arial"/>
          <w:sz w:val="16"/>
          <w:szCs w:val="16"/>
        </w:rPr>
      </w:pPr>
      <w:r w:rsidRPr="005305D2">
        <w:rPr>
          <w:rFonts w:ascii="Arial" w:eastAsia="Times New Roman" w:hAnsi="Arial" w:cs="Arial"/>
          <w:sz w:val="16"/>
          <w:szCs w:val="16"/>
        </w:rPr>
        <w:t>EAC: esophageal adenocarcinoma</w:t>
      </w:r>
      <w:r w:rsidRPr="005305D2">
        <w:rPr>
          <w:rFonts w:ascii="Arial" w:hAnsi="Arial" w:cs="Arial"/>
          <w:sz w:val="16"/>
          <w:szCs w:val="16"/>
        </w:rPr>
        <w:t>, Strategies: NH:</w:t>
      </w:r>
      <w:r w:rsidRPr="005305D2">
        <w:rPr>
          <w:rFonts w:ascii="Arial" w:hAnsi="Arial" w:cs="Arial"/>
          <w:b/>
          <w:sz w:val="16"/>
          <w:szCs w:val="16"/>
        </w:rPr>
        <w:t xml:space="preserve"> </w:t>
      </w:r>
      <w:r w:rsidRPr="005305D2">
        <w:rPr>
          <w:rFonts w:ascii="Arial" w:hAnsi="Arial" w:cs="Arial"/>
          <w:sz w:val="16"/>
          <w:szCs w:val="16"/>
        </w:rPr>
        <w:t>Natural History strategy; S: Surveillance strategy,</w:t>
      </w:r>
      <w:r>
        <w:rPr>
          <w:rFonts w:ascii="Arial" w:hAnsi="Arial" w:cs="Arial"/>
          <w:sz w:val="16"/>
          <w:szCs w:val="16"/>
        </w:rPr>
        <w:t xml:space="preserve"> </w:t>
      </w:r>
      <w:r w:rsidRPr="005305D2">
        <w:rPr>
          <w:rFonts w:ascii="Arial" w:hAnsi="Arial" w:cs="Arial"/>
          <w:sz w:val="16"/>
          <w:szCs w:val="16"/>
        </w:rPr>
        <w:t>HGD: Endoscopic ablative therapy for HGD diagnosed patients strategy; LGD: Endoscopic ablative therapy for dysplasia diagnosed patients strategy; BE: Endoscopic ablative therapy for all BE diagnosed patients strategy</w:t>
      </w:r>
    </w:p>
    <w:p w:rsidR="003C6A03" w:rsidRDefault="003C6A03" w:rsidP="003C6A03">
      <w:pPr>
        <w:rPr>
          <w:rFonts w:ascii="Times New Roman" w:eastAsiaTheme="majorEastAsia" w:hAnsi="Times New Roman" w:cs="Times New Roman"/>
          <w:b/>
          <w:bCs/>
          <w:sz w:val="24"/>
          <w:szCs w:val="24"/>
        </w:rPr>
      </w:pPr>
    </w:p>
    <w:p w:rsidR="003C6A03" w:rsidRDefault="003C6A03" w:rsidP="003C6A03">
      <w:pPr>
        <w:rPr>
          <w:rFonts w:ascii="Times New Roman" w:hAnsi="Times New Roman" w:cs="Times New Roman"/>
          <w:b/>
          <w:sz w:val="24"/>
          <w:szCs w:val="24"/>
        </w:rPr>
      </w:pPr>
      <w:r>
        <w:rPr>
          <w:rFonts w:ascii="Times New Roman" w:hAnsi="Times New Roman" w:cs="Times New Roman"/>
          <w:b/>
          <w:sz w:val="24"/>
          <w:szCs w:val="24"/>
        </w:rPr>
        <w:br w:type="page"/>
      </w:r>
    </w:p>
    <w:p w:rsidR="003C6A03" w:rsidRPr="00A1070C" w:rsidRDefault="003C6A03" w:rsidP="003C6A0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Appendix </w:t>
      </w:r>
      <w:r w:rsidRPr="00A1070C">
        <w:rPr>
          <w:rFonts w:ascii="Times New Roman" w:hAnsi="Times New Roman" w:cs="Times New Roman"/>
          <w:b/>
          <w:sz w:val="24"/>
          <w:szCs w:val="24"/>
        </w:rPr>
        <w:t>Figure legends</w:t>
      </w:r>
    </w:p>
    <w:p w:rsidR="003C6A03" w:rsidRDefault="003C6A03" w:rsidP="003C6A03">
      <w:pPr>
        <w:spacing w:line="240" w:lineRule="auto"/>
        <w:rPr>
          <w:rFonts w:ascii="Times New Roman" w:hAnsi="Times New Roman" w:cs="Times New Roman"/>
          <w:sz w:val="20"/>
          <w:szCs w:val="20"/>
        </w:rPr>
      </w:pP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 xml:space="preserve">Appendix figure 1| BE patient flow diagram for the various treatment strategies. </w:t>
      </w: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Appendix figure 2 | Progression rates in each model. The figure shows the development from BE to EAC in terms of progression rates in case of no interventions, which is, in the natural history of the disease. The cumulative progression rates towards EAC are shown following patients from age 60 having a certain initial phase (NDBE, LGD or HGD).</w:t>
      </w:r>
    </w:p>
    <w:p w:rsidR="003C6A03" w:rsidRPr="001E6BE0" w:rsidRDefault="003C6A03" w:rsidP="003C6A03">
      <w:pPr>
        <w:spacing w:line="480" w:lineRule="auto"/>
        <w:rPr>
          <w:rFonts w:ascii="Times New Roman" w:hAnsi="Times New Roman" w:cs="Times New Roman"/>
        </w:rPr>
      </w:pPr>
      <w:r w:rsidRPr="001E6BE0">
        <w:rPr>
          <w:rFonts w:ascii="Times New Roman" w:hAnsi="Times New Roman" w:cs="Times New Roman"/>
        </w:rPr>
        <w:t xml:space="preserve">Appendix figure 3| The incremental number needed to treat to prevent 1 EAC death (NNT/Death) per model for the various sensitivity analyses. The incremental outcomes of two strategies are shown: the additional treatments needed to prevent 1 EAC death in case of HGD treatment compared to the strategy where only surveillance is applied (grey dots). Next to this, the incremental NNT/death when applying treatment to all BE patients compared to treatment for only HGD patients is presented (black dots). The lines represent the base case value. </w:t>
      </w: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3C6A03" w:rsidRDefault="003C6A03" w:rsidP="003C6A03">
      <w:pPr>
        <w:rPr>
          <w:rFonts w:ascii="Arial" w:hAnsi="Arial" w:cs="Arial"/>
          <w:sz w:val="20"/>
          <w:szCs w:val="20"/>
        </w:rPr>
      </w:pPr>
    </w:p>
    <w:p w:rsidR="00DC6209" w:rsidRDefault="007D7A4C"/>
    <w:sectPr w:rsidR="00DC6209" w:rsidSect="003C6A03">
      <w:pgSz w:w="12240" w:h="15840"/>
      <w:pgMar w:top="864" w:right="1440" w:bottom="1440"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ibraries" w:val="&lt;Libraries&gt;&lt;item db-id=&quot;xx0avra0n5zdebetvtx5aw57a0raaa22x5r0&quot;&gt;Untitled&lt;record-ids&gt;&lt;item&gt;13&lt;/item&gt;&lt;item&gt;17&lt;/item&gt;&lt;item&gt;18&lt;/item&gt;&lt;item&gt;37&lt;/item&gt;&lt;item&gt;38&lt;/item&gt;&lt;item&gt;39&lt;/item&gt;&lt;item&gt;40&lt;/item&gt;&lt;item&gt;41&lt;/item&gt;&lt;item&gt;42&lt;/item&gt;&lt;/record-ids&gt;&lt;/item&gt;&lt;/Libraries&gt;"/>
  </w:docVars>
  <w:rsids>
    <w:rsidRoot w:val="003C6A03"/>
    <w:rsid w:val="003C6A03"/>
    <w:rsid w:val="004531CB"/>
    <w:rsid w:val="004C1C31"/>
    <w:rsid w:val="007232B8"/>
    <w:rsid w:val="00784A6C"/>
    <w:rsid w:val="007D7A4C"/>
    <w:rsid w:val="009F176D"/>
    <w:rsid w:val="00B810A2"/>
    <w:rsid w:val="00CE5796"/>
    <w:rsid w:val="00D7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98684-2D84-4779-B9C6-A67ECD3B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A03"/>
  </w:style>
  <w:style w:type="paragraph" w:styleId="Heading1">
    <w:name w:val="heading 1"/>
    <w:basedOn w:val="Normal"/>
    <w:next w:val="Normal"/>
    <w:link w:val="Heading1Char"/>
    <w:uiPriority w:val="9"/>
    <w:qFormat/>
    <w:rsid w:val="003C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0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C6A03"/>
    <w:rPr>
      <w:color w:val="0000FF"/>
      <w:u w:val="single"/>
    </w:rPr>
  </w:style>
  <w:style w:type="paragraph" w:styleId="CommentText">
    <w:name w:val="annotation text"/>
    <w:basedOn w:val="Normal"/>
    <w:link w:val="CommentTextChar"/>
    <w:uiPriority w:val="99"/>
    <w:unhideWhenUsed/>
    <w:rsid w:val="003C6A03"/>
    <w:pPr>
      <w:spacing w:line="240" w:lineRule="auto"/>
    </w:pPr>
    <w:rPr>
      <w:sz w:val="20"/>
      <w:szCs w:val="20"/>
    </w:rPr>
  </w:style>
  <w:style w:type="character" w:customStyle="1" w:styleId="CommentTextChar">
    <w:name w:val="Comment Text Char"/>
    <w:basedOn w:val="DefaultParagraphFont"/>
    <w:link w:val="CommentText"/>
    <w:uiPriority w:val="99"/>
    <w:rsid w:val="003C6A03"/>
    <w:rPr>
      <w:sz w:val="20"/>
      <w:szCs w:val="20"/>
    </w:rPr>
  </w:style>
  <w:style w:type="table" w:styleId="MediumList1-Accent3">
    <w:name w:val="Medium List 1 Accent 3"/>
    <w:basedOn w:val="TableNormal"/>
    <w:uiPriority w:val="65"/>
    <w:rsid w:val="003C6A0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5">
    <w:name w:val="Medium List 1 Accent 5"/>
    <w:basedOn w:val="TableNormal"/>
    <w:uiPriority w:val="65"/>
    <w:rsid w:val="003C6A0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BalloonText">
    <w:name w:val="Balloon Text"/>
    <w:basedOn w:val="Normal"/>
    <w:link w:val="BalloonTextChar"/>
    <w:uiPriority w:val="99"/>
    <w:semiHidden/>
    <w:unhideWhenUsed/>
    <w:rsid w:val="003C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3"/>
    <w:rPr>
      <w:rFonts w:ascii="Tahoma" w:hAnsi="Tahoma" w:cs="Tahoma"/>
      <w:sz w:val="16"/>
      <w:szCs w:val="16"/>
    </w:rPr>
  </w:style>
  <w:style w:type="paragraph" w:styleId="Footer">
    <w:name w:val="footer"/>
    <w:basedOn w:val="Normal"/>
    <w:link w:val="FooterChar"/>
    <w:uiPriority w:val="99"/>
    <w:unhideWhenUsed/>
    <w:rsid w:val="00B8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ls.gov/c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13</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Kroep</dc:creator>
  <cp:lastModifiedBy>Son</cp:lastModifiedBy>
  <cp:revision>8</cp:revision>
  <dcterms:created xsi:type="dcterms:W3CDTF">2015-10-08T10:42:00Z</dcterms:created>
  <dcterms:modified xsi:type="dcterms:W3CDTF">2016-03-22T10:14:00Z</dcterms:modified>
</cp:coreProperties>
</file>