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Sprawozdanie</w:t>
      </w:r>
    </w:p>
    <w:p>
      <w:pPr>
        <w:spacing w:after="360"/>
        <w:jc w:val="center"/>
      </w:pPr>
      <w:r>
        <w:rPr>
          <w:b/>
          <w:sz w:val="32"/>
        </w:rPr>
        <w:t>Sekwencjonowanie przez hybrydyzację</w:t>
        <w:br/>
        <w:t>Binarny chip z błędami negatywnymi</w:t>
        <w:br/>
        <w:t>(wariant z błędami negatywnymi)</w:t>
      </w:r>
    </w:p>
    <w:p>
      <w:pPr>
        <w:jc w:val="center"/>
      </w:pPr>
      <w:r>
        <w:t>Bioinformatyka, laboratoria L7</w:t>
        <w:br/>
        <w:br/>
        <w:t>Vasil Kusmartsev 156202</w:t>
        <w:br/>
        <w:t>Mateusz Kaźmierczak 160162</w:t>
      </w:r>
    </w:p>
    <w:p>
      <w:r>
        <w:br w:type="page"/>
      </w:r>
    </w:p>
    <w:p>
      <w:pPr>
        <w:pStyle w:val="Heading1"/>
      </w:pPr>
      <w:r>
        <w:t>1. Opis i formalizacja problemu</w:t>
      </w:r>
    </w:p>
    <w:p>
      <w:r>
        <w:t>Sekwencjonowanie przez hybrydyzację (SBH) polega na odtworzeniu sekwencji DNA długości n na podstawie spektrum krótkich sond (oligonukleotydów), z którymi hybrydyzowała badana sekwencja.</w:t>
      </w:r>
    </w:p>
    <w:p>
      <w:pPr>
        <w:pStyle w:val="Heading2"/>
      </w:pPr>
      <w:r>
        <w:t>1.1 Binarny chip</w:t>
      </w:r>
    </w:p>
    <w:p>
      <w:r>
        <w:t>Binarny chip wykorzystuje również symbole niejednoznaczne IUPAC. Symbol jest zgodny z nukleotydem, jeżeli zbiór reprezentowanych przez niego zasad zawiera ten nukleotyd.</w:t>
      </w:r>
    </w:p>
    <w:tbl>
      <w:tblPr>
        <w:tblStyle w:val="TableGrid"/>
        <w:tblW w:type="auto" w:w="0"/>
        <w:jc w:val="center"/>
        <w:tblLook w:firstColumn="1" w:firstRow="1" w:lastColumn="0" w:lastRow="0" w:noHBand="0" w:noVBand="1" w:val="04A0"/>
      </w:tblPr>
      <w:tblGrid>
        <w:gridCol w:w="4816"/>
        <w:gridCol w:w="4816"/>
      </w:tblGrid>
      <w:tr>
        <w:tc>
          <w:tcPr>
            <w:tcW w:type="dxa" w:w="2268"/>
            <w:shd w:fill="D9EAF7"/>
            <w:vAlign w:val="center"/>
            <w:tcMar>
              <w:top w:w="80" w:type="dxa"/>
              <w:start w:w="100" w:type="dxa"/>
              <w:bottom w:w="80" w:type="dxa"/>
              <w:end w:w="100" w:type="dxa"/>
            </w:tcMar>
          </w:tcPr>
          <w:p>
            <w:pPr>
              <w:spacing w:after="0" w:line="240" w:lineRule="auto"/>
            </w:pPr>
            <w:r>
              <w:rPr>
                <w:b/>
              </w:rPr>
              <w:t>Symbol</w:t>
            </w:r>
          </w:p>
        </w:tc>
        <w:tc>
          <w:tcPr>
            <w:tcW w:type="dxa" w:w="5669"/>
            <w:shd w:fill="D9EAF7"/>
            <w:vAlign w:val="center"/>
            <w:tcMar>
              <w:top w:w="80" w:type="dxa"/>
              <w:start w:w="100" w:type="dxa"/>
              <w:bottom w:w="80" w:type="dxa"/>
              <w:end w:w="100" w:type="dxa"/>
            </w:tcMar>
          </w:tcPr>
          <w:p>
            <w:pPr>
              <w:spacing w:after="0" w:line="240" w:lineRule="auto"/>
            </w:pPr>
            <w:r>
              <w:rPr>
                <w:b/>
              </w:rPr>
              <w:t>Zgodne nukleotydy</w:t>
            </w:r>
          </w:p>
        </w:tc>
      </w:tr>
      <w:tr>
        <w:tc>
          <w:tcPr>
            <w:tcW w:type="dxa" w:w="2268"/>
            <w:vAlign w:val="center"/>
            <w:tcMar>
              <w:top w:w="80" w:type="dxa"/>
              <w:start w:w="100" w:type="dxa"/>
              <w:bottom w:w="80" w:type="dxa"/>
              <w:end w:w="100" w:type="dxa"/>
            </w:tcMar>
          </w:tcPr>
          <w:p>
            <w:pPr>
              <w:spacing w:after="0" w:line="240" w:lineRule="auto"/>
            </w:pPr>
            <w:r>
              <w:t>R</w:t>
            </w:r>
          </w:p>
        </w:tc>
        <w:tc>
          <w:tcPr>
            <w:tcW w:type="dxa" w:w="5669"/>
            <w:vAlign w:val="center"/>
            <w:tcMar>
              <w:top w:w="80" w:type="dxa"/>
              <w:start w:w="100" w:type="dxa"/>
              <w:bottom w:w="80" w:type="dxa"/>
              <w:end w:w="100" w:type="dxa"/>
            </w:tcMar>
          </w:tcPr>
          <w:p>
            <w:pPr>
              <w:spacing w:after="0" w:line="240" w:lineRule="auto"/>
            </w:pPr>
            <w:r>
              <w:t>A, G</w:t>
            </w:r>
          </w:p>
        </w:tc>
      </w:tr>
      <w:tr>
        <w:tc>
          <w:tcPr>
            <w:tcW w:type="dxa" w:w="2268"/>
            <w:vAlign w:val="center"/>
            <w:tcMar>
              <w:top w:w="80" w:type="dxa"/>
              <w:start w:w="100" w:type="dxa"/>
              <w:bottom w:w="80" w:type="dxa"/>
              <w:end w:w="100" w:type="dxa"/>
            </w:tcMar>
          </w:tcPr>
          <w:p>
            <w:pPr>
              <w:spacing w:after="0" w:line="240" w:lineRule="auto"/>
            </w:pPr>
            <w:r>
              <w:t>Y</w:t>
            </w:r>
          </w:p>
        </w:tc>
        <w:tc>
          <w:tcPr>
            <w:tcW w:type="dxa" w:w="5669"/>
            <w:vAlign w:val="center"/>
            <w:tcMar>
              <w:top w:w="80" w:type="dxa"/>
              <w:start w:w="100" w:type="dxa"/>
              <w:bottom w:w="80" w:type="dxa"/>
              <w:end w:w="100" w:type="dxa"/>
            </w:tcMar>
          </w:tcPr>
          <w:p>
            <w:pPr>
              <w:spacing w:after="0" w:line="240" w:lineRule="auto"/>
            </w:pPr>
            <w:r>
              <w:t>C, T</w:t>
            </w:r>
          </w:p>
        </w:tc>
      </w:tr>
      <w:tr>
        <w:tc>
          <w:tcPr>
            <w:tcW w:type="dxa" w:w="2268"/>
            <w:vAlign w:val="center"/>
            <w:tcMar>
              <w:top w:w="80" w:type="dxa"/>
              <w:start w:w="100" w:type="dxa"/>
              <w:bottom w:w="80" w:type="dxa"/>
              <w:end w:w="100" w:type="dxa"/>
            </w:tcMar>
          </w:tcPr>
          <w:p>
            <w:pPr>
              <w:spacing w:after="0" w:line="240" w:lineRule="auto"/>
            </w:pPr>
            <w:r>
              <w:t>S</w:t>
            </w:r>
          </w:p>
        </w:tc>
        <w:tc>
          <w:tcPr>
            <w:tcW w:type="dxa" w:w="5669"/>
            <w:vAlign w:val="center"/>
            <w:tcMar>
              <w:top w:w="80" w:type="dxa"/>
              <w:start w:w="100" w:type="dxa"/>
              <w:bottom w:w="80" w:type="dxa"/>
              <w:end w:w="100" w:type="dxa"/>
            </w:tcMar>
          </w:tcPr>
          <w:p>
            <w:pPr>
              <w:spacing w:after="0" w:line="240" w:lineRule="auto"/>
            </w:pPr>
            <w:r>
              <w:t>G, C</w:t>
            </w:r>
          </w:p>
        </w:tc>
      </w:tr>
      <w:tr>
        <w:tc>
          <w:tcPr>
            <w:tcW w:type="dxa" w:w="2268"/>
            <w:vAlign w:val="center"/>
            <w:tcMar>
              <w:top w:w="80" w:type="dxa"/>
              <w:start w:w="100" w:type="dxa"/>
              <w:bottom w:w="80" w:type="dxa"/>
              <w:end w:w="100" w:type="dxa"/>
            </w:tcMar>
          </w:tcPr>
          <w:p>
            <w:pPr>
              <w:spacing w:after="0" w:line="240" w:lineRule="auto"/>
            </w:pPr>
            <w:r>
              <w:t>W</w:t>
            </w:r>
          </w:p>
        </w:tc>
        <w:tc>
          <w:tcPr>
            <w:tcW w:type="dxa" w:w="5669"/>
            <w:vAlign w:val="center"/>
            <w:tcMar>
              <w:top w:w="80" w:type="dxa"/>
              <w:start w:w="100" w:type="dxa"/>
              <w:bottom w:w="80" w:type="dxa"/>
              <w:end w:w="100" w:type="dxa"/>
            </w:tcMar>
          </w:tcPr>
          <w:p>
            <w:pPr>
              <w:spacing w:after="0" w:line="240" w:lineRule="auto"/>
            </w:pPr>
            <w:r>
              <w:t>A, T</w:t>
            </w:r>
          </w:p>
        </w:tc>
      </w:tr>
      <w:tr>
        <w:tc>
          <w:tcPr>
            <w:tcW w:type="dxa" w:w="2268"/>
            <w:vAlign w:val="center"/>
            <w:tcMar>
              <w:top w:w="80" w:type="dxa"/>
              <w:start w:w="100" w:type="dxa"/>
              <w:bottom w:w="80" w:type="dxa"/>
              <w:end w:w="100" w:type="dxa"/>
            </w:tcMar>
          </w:tcPr>
          <w:p>
            <w:pPr>
              <w:spacing w:after="0" w:line="240" w:lineRule="auto"/>
            </w:pPr>
            <w:r>
              <w:t>N / Z / P</w:t>
            </w:r>
          </w:p>
        </w:tc>
        <w:tc>
          <w:tcPr>
            <w:tcW w:type="dxa" w:w="5669"/>
            <w:vAlign w:val="center"/>
            <w:tcMar>
              <w:top w:w="80" w:type="dxa"/>
              <w:start w:w="100" w:type="dxa"/>
              <w:bottom w:w="80" w:type="dxa"/>
              <w:end w:w="100" w:type="dxa"/>
            </w:tcMar>
          </w:tcPr>
          <w:p>
            <w:pPr>
              <w:spacing w:after="0" w:line="240" w:lineRule="auto"/>
            </w:pPr>
            <w:r>
              <w:t>A, C, G, T</w:t>
            </w:r>
          </w:p>
        </w:tc>
      </w:tr>
    </w:tbl>
    <w:p/>
    <w:p>
      <w:r>
        <w:t>Zgodność dwóch symboli zachodzi wtedy, gdy przecięcie ich zbiorów dopuszczalnych nukleotydów jest niepuste.</w:t>
      </w:r>
    </w:p>
    <w:p>
      <w:pPr>
        <w:pStyle w:val="Heading2"/>
      </w:pPr>
      <w:r>
        <w:t>1.2 Błędy negatywne (Err−)</w:t>
      </w:r>
    </w:p>
    <w:p>
      <w:r>
        <w:t>Błąd negatywny oznacza brak części prawidłowych sond w spektrum. W konsekwencji rozwiązanie nie musi tworzyć ciągłego przejścia przez wszystkie oczekiwane sondy, a kryterium jakości stanowi liczba różnych sond pokrytych przez otrzymaną sekwencję.</w:t>
      </w:r>
    </w:p>
    <w:p>
      <w:pPr>
        <w:pStyle w:val="Heading2"/>
      </w:pPr>
      <w:r>
        <w:t>1.3 Formalizacja</w:t>
      </w:r>
    </w:p>
    <w:p>
      <w:r>
        <w:t>Dane wejściowe:</w:t>
      </w:r>
    </w:p>
    <w:p>
      <w:pPr>
        <w:pStyle w:val="ListBullet"/>
      </w:pPr>
      <w:r>
        <w:t>n — długość szukanej sekwencji DNA,</w:t>
      </w:r>
    </w:p>
    <w:p>
      <w:pPr>
        <w:pStyle w:val="ListBullet"/>
      </w:pPr>
      <w:r>
        <w:t>k — długość sondy,</w:t>
      </w:r>
    </w:p>
    <w:p>
      <w:pPr>
        <w:pStyle w:val="ListBullet"/>
      </w:pPr>
      <w:r>
        <w:t>s₀ — znany fragment początkowy sekwencji,</w:t>
      </w:r>
    </w:p>
    <w:p>
      <w:pPr>
        <w:pStyle w:val="ListBullet"/>
      </w:pPr>
      <w:r>
        <w:t>S = {s₁, …, sₘ} — zbiór unikalnych sond.</w:t>
      </w:r>
    </w:p>
    <w:p>
      <w:r>
        <w:t>Szukana jest sekwencja d ∈ {A, C, G, T}ⁿ rozpoczynająca się od s₀, która maksymalizuje liczbę sond z S występujących w d zgodnie z regułami kompatybilności IUPAC. Problem jest NP-trudny.</w:t>
      </w:r>
    </w:p>
    <w:p>
      <w:pPr>
        <w:pStyle w:val="Heading1"/>
      </w:pPr>
      <w:r>
        <w:t>2. Opis podejścia dokładnego</w:t>
      </w:r>
    </w:p>
    <w:p>
      <w:r>
        <w:t>Algorytm dokładny z pliku exact_b_m.py jest bezpośrednim modelem programowania całkowitoliczbowego (ILP). Model nie opiera się już wyłącznie na zgodności kolejnych sond parami, ponieważ taka zgodność nie gwarantuje istnienia jednej wspólnej konkretyzacji dla kilku nakładających się symboli IUPAC.</w:t>
      </w:r>
    </w:p>
    <w:p>
      <w:pPr>
        <w:pStyle w:val="Heading2"/>
      </w:pPr>
      <w:r>
        <w:t>2.1 Zmienne decyzyjne</w:t>
      </w:r>
    </w:p>
    <w:p>
      <w:pPr>
        <w:pStyle w:val="ListBullet"/>
      </w:pPr>
      <w:r>
        <w:t>bₚ,ₐ = 1, gdy na pozycji p sekwencji wybrano nukleotyd a ∈ {A, C, G, T}.</w:t>
      </w:r>
    </w:p>
    <w:p>
      <w:pPr>
        <w:pStyle w:val="ListBullet"/>
      </w:pPr>
      <w:r>
        <w:t>zᵢ,ₜ = 1, gdy sonda i rozpoczyna się w wyniku na pozycji t.</w:t>
      </w:r>
    </w:p>
    <w:p>
      <w:pPr>
        <w:pStyle w:val="ListBullet"/>
      </w:pPr>
      <w:r>
        <w:t>yᵢ = 1, gdy sonda i jest pokryta przez wynikową sekwencję.</w:t>
      </w:r>
    </w:p>
    <w:p>
      <w:pPr>
        <w:pStyle w:val="Heading2"/>
      </w:pPr>
      <w:r>
        <w:t>2.2 Funkcja celu i ograniczenia</w:t>
      </w:r>
    </w:p>
    <w:p>
      <w:r>
        <w:t>Funkcja celu maksymalizuje liczbę pokrytych sond:</w:t>
      </w:r>
    </w:p>
    <w:p>
      <w:pPr>
        <w:pStyle w:val="Kod"/>
      </w:pPr>
      <w:r>
        <w:t>max  Σᵢ yᵢ</w:t>
      </w:r>
    </w:p>
    <w:p>
      <w:pPr>
        <w:pStyle w:val="ListNumber"/>
      </w:pPr>
      <w:r>
        <w:t>Na każdej pozycji sekwencji wybrany jest dokładnie jeden nukleotyd.</w:t>
      </w:r>
    </w:p>
    <w:p>
      <w:pPr>
        <w:pStyle w:val="ListNumber"/>
      </w:pPr>
      <w:r>
        <w:t>Pozycje należące do znanego początku s₀ są ustalone.</w:t>
      </w:r>
    </w:p>
    <w:p>
      <w:pPr>
        <w:pStyle w:val="ListNumber"/>
      </w:pPr>
      <w:r>
        <w:t>Jeżeli zᵢ,ₜ = 1, każda pozycja sondy i musi być zgodna z nukleotydem wyniku na odpowiedniej pozycji.</w:t>
      </w:r>
    </w:p>
    <w:p>
      <w:pPr>
        <w:pStyle w:val="ListNumber"/>
      </w:pPr>
      <w:r>
        <w:t>Dla każdej sondy yᵢ jest równe sumie jej wybranych położeń; jedna sonda jest liczona najwyżej raz.</w:t>
      </w:r>
    </w:p>
    <w:p>
      <w:r>
        <w:t>Jeżeli program rozwiązujący CBC kończy pracę ze statusem „Optimal” (optymalny), rozwiązanie ma udowodnioną optymalność. Wynik zwrócony po limicie czasu może być poprawnym rozwiązaniem dopuszczalnym, ale nie wolno wtedy deklarować gwarancji optimum.</w:t>
      </w:r>
    </w:p>
    <w:p>
      <w:pPr>
        <w:pStyle w:val="Heading2"/>
      </w:pPr>
      <w:r>
        <w:t>2.3 Złożoność i zakres stosowania</w:t>
      </w:r>
    </w:p>
    <w:tbl>
      <w:tblPr>
        <w:tblStyle w:val="TableGrid"/>
        <w:tblW w:type="auto" w:w="0"/>
        <w:jc w:val="center"/>
        <w:tblLook w:firstColumn="1" w:firstRow="1" w:lastColumn="0" w:lastRow="0" w:noHBand="0" w:noVBand="1" w:val="04A0"/>
      </w:tblPr>
      <w:tblGrid>
        <w:gridCol w:w="4816"/>
        <w:gridCol w:w="4816"/>
      </w:tblGrid>
      <w:tr>
        <w:tc>
          <w:tcPr>
            <w:tcW w:type="dxa" w:w="3969"/>
            <w:shd w:fill="D9EAF7"/>
            <w:vAlign w:val="center"/>
            <w:tcMar>
              <w:top w:w="80" w:type="dxa"/>
              <w:start w:w="100" w:type="dxa"/>
              <w:bottom w:w="80" w:type="dxa"/>
              <w:end w:w="100" w:type="dxa"/>
            </w:tcMar>
          </w:tcPr>
          <w:p>
            <w:pPr>
              <w:spacing w:after="0" w:line="240" w:lineRule="auto"/>
            </w:pPr>
            <w:r>
              <w:rPr>
                <w:b/>
              </w:rPr>
              <w:t>Element modelu</w:t>
            </w:r>
          </w:p>
        </w:tc>
        <w:tc>
          <w:tcPr>
            <w:tcW w:type="dxa" w:w="3969"/>
            <w:shd w:fill="D9EAF7"/>
            <w:vAlign w:val="center"/>
            <w:tcMar>
              <w:top w:w="80" w:type="dxa"/>
              <w:start w:w="100" w:type="dxa"/>
              <w:bottom w:w="80" w:type="dxa"/>
              <w:end w:w="100" w:type="dxa"/>
            </w:tcMar>
          </w:tcPr>
          <w:p>
            <w:pPr>
              <w:spacing w:after="0" w:line="240" w:lineRule="auto"/>
            </w:pPr>
            <w:r>
              <w:rPr>
                <w:b/>
              </w:rPr>
              <w:t>Rząd wielkości</w:t>
            </w:r>
          </w:p>
        </w:tc>
      </w:tr>
      <w:tr>
        <w:tc>
          <w:tcPr>
            <w:tcW w:type="dxa" w:w="3969"/>
            <w:vAlign w:val="center"/>
            <w:tcMar>
              <w:top w:w="80" w:type="dxa"/>
              <w:start w:w="100" w:type="dxa"/>
              <w:bottom w:w="80" w:type="dxa"/>
              <w:end w:w="100" w:type="dxa"/>
            </w:tcMar>
          </w:tcPr>
          <w:p>
            <w:pPr>
              <w:spacing w:after="0" w:line="240" w:lineRule="auto"/>
            </w:pPr>
            <w:r>
              <w:t>Zmienne nukleotydów</w:t>
            </w:r>
          </w:p>
        </w:tc>
        <w:tc>
          <w:tcPr>
            <w:tcW w:type="dxa" w:w="3969"/>
            <w:vAlign w:val="center"/>
            <w:tcMar>
              <w:top w:w="80" w:type="dxa"/>
              <w:start w:w="100" w:type="dxa"/>
              <w:bottom w:w="80" w:type="dxa"/>
              <w:end w:w="100" w:type="dxa"/>
            </w:tcMar>
          </w:tcPr>
          <w:p>
            <w:pPr>
              <w:spacing w:after="0" w:line="240" w:lineRule="auto"/>
            </w:pPr>
            <w:r>
              <w:t>4n</w:t>
            </w:r>
          </w:p>
        </w:tc>
      </w:tr>
      <w:tr>
        <w:tc>
          <w:tcPr>
            <w:tcW w:type="dxa" w:w="3969"/>
            <w:vAlign w:val="center"/>
            <w:tcMar>
              <w:top w:w="80" w:type="dxa"/>
              <w:start w:w="100" w:type="dxa"/>
              <w:bottom w:w="80" w:type="dxa"/>
              <w:end w:w="100" w:type="dxa"/>
            </w:tcMar>
          </w:tcPr>
          <w:p>
            <w:pPr>
              <w:spacing w:after="0" w:line="240" w:lineRule="auto"/>
            </w:pPr>
            <w:r>
              <w:t>Potencjalne położenia sond</w:t>
            </w:r>
          </w:p>
        </w:tc>
        <w:tc>
          <w:tcPr>
            <w:tcW w:type="dxa" w:w="3969"/>
            <w:vAlign w:val="center"/>
            <w:tcMar>
              <w:top w:w="80" w:type="dxa"/>
              <w:start w:w="100" w:type="dxa"/>
              <w:bottom w:w="80" w:type="dxa"/>
              <w:end w:w="100" w:type="dxa"/>
            </w:tcMar>
          </w:tcPr>
          <w:p>
            <w:pPr>
              <w:spacing w:after="0" w:line="240" w:lineRule="auto"/>
            </w:pPr>
            <w:r>
              <w:t>O(m(n − k + 1))</w:t>
            </w:r>
          </w:p>
        </w:tc>
      </w:tr>
      <w:tr>
        <w:tc>
          <w:tcPr>
            <w:tcW w:type="dxa" w:w="3969"/>
            <w:vAlign w:val="center"/>
            <w:tcMar>
              <w:top w:w="80" w:type="dxa"/>
              <w:start w:w="100" w:type="dxa"/>
              <w:bottom w:w="80" w:type="dxa"/>
              <w:end w:w="100" w:type="dxa"/>
            </w:tcMar>
          </w:tcPr>
          <w:p>
            <w:pPr>
              <w:spacing w:after="0" w:line="240" w:lineRule="auto"/>
            </w:pPr>
            <w:r>
              <w:t>Ograniczenia zgodności</w:t>
            </w:r>
          </w:p>
        </w:tc>
        <w:tc>
          <w:tcPr>
            <w:tcW w:type="dxa" w:w="3969"/>
            <w:vAlign w:val="center"/>
            <w:tcMar>
              <w:top w:w="80" w:type="dxa"/>
              <w:start w:w="100" w:type="dxa"/>
              <w:bottom w:w="80" w:type="dxa"/>
              <w:end w:w="100" w:type="dxa"/>
            </w:tcMar>
          </w:tcPr>
          <w:p>
            <w:pPr>
              <w:spacing w:after="0" w:line="240" w:lineRule="auto"/>
            </w:pPr>
            <w:r>
              <w:t>O(mk(n − k + 1))</w:t>
            </w:r>
          </w:p>
        </w:tc>
      </w:tr>
      <w:tr>
        <w:tc>
          <w:tcPr>
            <w:tcW w:type="dxa" w:w="3969"/>
            <w:vAlign w:val="center"/>
            <w:tcMar>
              <w:top w:w="80" w:type="dxa"/>
              <w:start w:w="100" w:type="dxa"/>
              <w:bottom w:w="80" w:type="dxa"/>
              <w:end w:w="100" w:type="dxa"/>
            </w:tcMar>
          </w:tcPr>
          <w:p>
            <w:pPr>
              <w:spacing w:after="0" w:line="240" w:lineRule="auto"/>
            </w:pPr>
            <w:r>
              <w:t>Klasa problemu</w:t>
            </w:r>
          </w:p>
        </w:tc>
        <w:tc>
          <w:tcPr>
            <w:tcW w:type="dxa" w:w="3969"/>
            <w:vAlign w:val="center"/>
            <w:tcMar>
              <w:top w:w="80" w:type="dxa"/>
              <w:start w:w="100" w:type="dxa"/>
              <w:bottom w:w="80" w:type="dxa"/>
              <w:end w:w="100" w:type="dxa"/>
            </w:tcMar>
          </w:tcPr>
          <w:p>
            <w:pPr>
              <w:spacing w:after="0" w:line="240" w:lineRule="auto"/>
            </w:pPr>
            <w:r>
              <w:t>NP-trudny</w:t>
            </w:r>
          </w:p>
        </w:tc>
      </w:tr>
    </w:tbl>
    <w:p/>
    <w:p>
      <w:r>
        <w:t>Algorytm dokładny jest przeznaczony do małych instancji oraz do walidacji jakości heurystyki. Dla dużych danych liczba potencjalnych położeń sond szybko rośnie.</w:t>
      </w:r>
    </w:p>
    <w:p>
      <w:pPr>
        <w:pStyle w:val="Heading1"/>
      </w:pPr>
      <w:r>
        <w:t>3. Opis podejścia heurystycznego</w:t>
      </w:r>
    </w:p>
    <w:p>
      <w:r>
        <w:t>Algorytm heurystyczny z pliku heur_b_m.py buduje rozwiązanie zachłannie, wykonuje losowe ponowne uruchomienia i stosuje lokalne mutacje punktowe. Znany fragment początkowy jest zachowywany również podczas przeszukiwania lokalnego.</w:t>
      </w:r>
    </w:p>
    <w:p>
      <w:pPr>
        <w:pStyle w:val="Heading2"/>
      </w:pPr>
      <w:r>
        <w:t>3.1 Konstrukcja zachłanna</w:t>
      </w:r>
    </w:p>
    <w:p>
      <w:r>
        <w:t>W każdym kroku wybierana jest niepokryta sonda o najmniejszym koszcie dołączenia, czyli wymagająca dodania najmniejszej liczby nowych nukleotydów. Remisy rozstrzyga ocena liczby możliwych dobrych następników.</w:t>
      </w:r>
    </w:p>
    <w:p>
      <w:pPr>
        <w:pStyle w:val="Heading2"/>
      </w:pPr>
      <w:r>
        <w:t>3.2 Ponowne uruchomienia i poprawa lokalna</w:t>
      </w:r>
    </w:p>
    <w:p>
      <w:r>
        <w:t>Po przebiegu deterministycznym wykonywane są przebiegi losowe. Następnie algorytm próbuje mutacji pojedynczych pozycji i zachowuje zmiany, które nie zmniejszają liczby pokrytych sond. Całość podlega limitowi czasu 95 s.</w:t>
      </w:r>
    </w:p>
    <w:p>
      <w:pPr>
        <w:pStyle w:val="Heading2"/>
      </w:pPr>
      <w:r>
        <w:t>3.3 Gwarancje</w:t>
      </w:r>
    </w:p>
    <w:p>
      <w:r>
        <w:t>Heurystyka zawsze zwraca sekwencję wymaganej długości, ale nie daje dowodu optymalności. Jej wynik należy oceniać przez liczbę pokrytych sond i porównywać z optimum tylko na instancjach, dla których optimum zostało niezależnie wyznaczone.</w:t>
      </w:r>
    </w:p>
    <w:p>
      <w:pPr>
        <w:pStyle w:val="Heading1"/>
      </w:pPr>
      <w:r>
        <w:t>4. Analiza uzyskanych wyników</w:t>
      </w:r>
    </w:p>
    <w:p>
      <w:pPr>
        <w:pStyle w:val="Heading2"/>
      </w:pPr>
      <w:r>
        <w:t>4.1 Dane i procedura testowa</w:t>
      </w:r>
    </w:p>
    <w:p>
      <w:r>
        <w:t>Plik input.xml zawiera instancję n = 500, k = 19, znany początek długości 19 oraz 864 unikalne sondy. Dla bezpośredniego modelu ILP oznacza to do 864 × 482 = 416 448 potencjalnych zmiennych położeń, dlatego ta instancja służy jako przypadek dla heurystyki, a nie jako praktyczny test dowodu optymalności.</w:t>
      </w:r>
    </w:p>
    <w:p>
      <w:r>
        <w:t>Poprawność algorytmu dokładnego sprawdzono na małych instancjach, dla których optimum wyznaczono niezależnie przez pełny przegląd wszystkich sekwencji A/C/G/T zgodnych ze znanym początkiem. Testy uruchomiono w Pythonie 3.12.3 z biblioteką PuLP i programem CBC.</w:t>
      </w:r>
    </w:p>
    <w:p>
      <w:pPr>
        <w:pStyle w:val="Kod"/>
      </w:pPr>
      <w:r>
        <w:t>.venv/bin/python -m unittest -v test_exact_b_m.py test_heur_b_m.py</w:t>
      </w:r>
    </w:p>
    <w:p>
      <w:pPr>
        <w:pStyle w:val="Heading2"/>
      </w:pPr>
      <w:r>
        <w:t>4.2 Wyniki walidacji algorytmu dokładnego</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2324"/>
            <w:shd w:fill="D9EAF7"/>
            <w:vAlign w:val="center"/>
            <w:tcMar>
              <w:top w:w="80" w:type="dxa"/>
              <w:start w:w="100" w:type="dxa"/>
              <w:bottom w:w="80" w:type="dxa"/>
              <w:end w:w="100" w:type="dxa"/>
            </w:tcMar>
          </w:tcPr>
          <w:p>
            <w:pPr>
              <w:spacing w:after="0" w:line="240" w:lineRule="auto"/>
            </w:pPr>
            <w:r>
              <w:rPr>
                <w:b/>
              </w:rPr>
              <w:t>Przypadek</w:t>
            </w:r>
          </w:p>
        </w:tc>
        <w:tc>
          <w:tcPr>
            <w:tcW w:type="dxa" w:w="567"/>
            <w:shd w:fill="D9EAF7"/>
            <w:vAlign w:val="center"/>
            <w:tcMar>
              <w:top w:w="80" w:type="dxa"/>
              <w:start w:w="100" w:type="dxa"/>
              <w:bottom w:w="80" w:type="dxa"/>
              <w:end w:w="100" w:type="dxa"/>
            </w:tcMar>
          </w:tcPr>
          <w:p>
            <w:pPr>
              <w:spacing w:after="0" w:line="240" w:lineRule="auto"/>
            </w:pPr>
            <w:r>
              <w:rPr>
                <w:b/>
              </w:rPr>
              <w:t>n</w:t>
            </w:r>
          </w:p>
        </w:tc>
        <w:tc>
          <w:tcPr>
            <w:tcW w:type="dxa" w:w="624"/>
            <w:shd w:fill="D9EAF7"/>
            <w:vAlign w:val="center"/>
            <w:tcMar>
              <w:top w:w="80" w:type="dxa"/>
              <w:start w:w="100" w:type="dxa"/>
              <w:bottom w:w="80" w:type="dxa"/>
              <w:end w:w="100" w:type="dxa"/>
            </w:tcMar>
          </w:tcPr>
          <w:p>
            <w:pPr>
              <w:spacing w:after="0" w:line="240" w:lineRule="auto"/>
            </w:pPr>
            <w:r>
              <w:rPr>
                <w:b/>
              </w:rPr>
              <w:t>|S|</w:t>
            </w:r>
          </w:p>
        </w:tc>
        <w:tc>
          <w:tcPr>
            <w:tcW w:type="dxa" w:w="1417"/>
            <w:shd w:fill="D9EAF7"/>
            <w:vAlign w:val="center"/>
            <w:tcMar>
              <w:top w:w="80" w:type="dxa"/>
              <w:start w:w="100" w:type="dxa"/>
              <w:bottom w:w="80" w:type="dxa"/>
              <w:end w:w="100" w:type="dxa"/>
            </w:tcMar>
          </w:tcPr>
          <w:p>
            <w:pPr>
              <w:spacing w:after="0" w:line="240" w:lineRule="auto"/>
            </w:pPr>
            <w:r>
              <w:rPr>
                <w:b/>
              </w:rPr>
              <w:t>Optimum z pełnego przeglądu</w:t>
            </w:r>
          </w:p>
        </w:tc>
        <w:tc>
          <w:tcPr>
            <w:tcW w:type="dxa" w:w="1020"/>
            <w:shd w:fill="D9EAF7"/>
            <w:vAlign w:val="center"/>
            <w:tcMar>
              <w:top w:w="80" w:type="dxa"/>
              <w:start w:w="100" w:type="dxa"/>
              <w:bottom w:w="80" w:type="dxa"/>
              <w:end w:w="100" w:type="dxa"/>
            </w:tcMar>
          </w:tcPr>
          <w:p>
            <w:pPr>
              <w:spacing w:after="0" w:line="240" w:lineRule="auto"/>
            </w:pPr>
            <w:r>
              <w:rPr>
                <w:b/>
              </w:rPr>
              <w:t>Wynik ILP</w:t>
            </w:r>
          </w:p>
        </w:tc>
        <w:tc>
          <w:tcPr>
            <w:tcW w:type="dxa" w:w="1020"/>
            <w:shd w:fill="D9EAF7"/>
            <w:vAlign w:val="center"/>
            <w:tcMar>
              <w:top w:w="80" w:type="dxa"/>
              <w:start w:w="100" w:type="dxa"/>
              <w:bottom w:w="80" w:type="dxa"/>
              <w:end w:w="100" w:type="dxa"/>
            </w:tcMar>
          </w:tcPr>
          <w:p>
            <w:pPr>
              <w:spacing w:after="0" w:line="240" w:lineRule="auto"/>
            </w:pPr>
            <w:r>
              <w:rPr>
                <w:b/>
              </w:rPr>
              <w:t>Czas ILP</w:t>
            </w:r>
          </w:p>
        </w:tc>
      </w:tr>
      <w:tr>
        <w:tc>
          <w:tcPr>
            <w:tcW w:type="dxa" w:w="2324"/>
            <w:vAlign w:val="center"/>
            <w:tcMar>
              <w:top w:w="80" w:type="dxa"/>
              <w:start w:w="100" w:type="dxa"/>
              <w:bottom w:w="80" w:type="dxa"/>
              <w:end w:w="100" w:type="dxa"/>
            </w:tcMar>
          </w:tcPr>
          <w:p>
            <w:pPr>
              <w:spacing w:after="0" w:line="240" w:lineRule="auto"/>
            </w:pPr>
            <w:r>
              <w:t>Pełne spektrum</w:t>
            </w:r>
          </w:p>
        </w:tc>
        <w:tc>
          <w:tcPr>
            <w:tcW w:type="dxa" w:w="567"/>
            <w:vAlign w:val="center"/>
            <w:tcMar>
              <w:top w:w="80" w:type="dxa"/>
              <w:start w:w="100" w:type="dxa"/>
              <w:bottom w:w="80" w:type="dxa"/>
              <w:end w:w="100" w:type="dxa"/>
            </w:tcMar>
          </w:tcPr>
          <w:p>
            <w:pPr>
              <w:spacing w:after="0" w:line="240" w:lineRule="auto"/>
            </w:pPr>
            <w:r>
              <w:t>8</w:t>
            </w:r>
          </w:p>
        </w:tc>
        <w:tc>
          <w:tcPr>
            <w:tcW w:type="dxa" w:w="624"/>
            <w:vAlign w:val="center"/>
            <w:tcMar>
              <w:top w:w="80" w:type="dxa"/>
              <w:start w:w="100" w:type="dxa"/>
              <w:bottom w:w="80" w:type="dxa"/>
              <w:end w:w="100" w:type="dxa"/>
            </w:tcMar>
          </w:tcPr>
          <w:p>
            <w:pPr>
              <w:spacing w:after="0" w:line="240" w:lineRule="auto"/>
            </w:pPr>
            <w:r>
              <w:t>5</w:t>
            </w:r>
          </w:p>
        </w:tc>
        <w:tc>
          <w:tcPr>
            <w:tcW w:type="dxa" w:w="1417"/>
            <w:vAlign w:val="center"/>
            <w:tcMar>
              <w:top w:w="80" w:type="dxa"/>
              <w:start w:w="100" w:type="dxa"/>
              <w:bottom w:w="80" w:type="dxa"/>
              <w:end w:w="100" w:type="dxa"/>
            </w:tcMar>
          </w:tcPr>
          <w:p>
            <w:pPr>
              <w:spacing w:after="0" w:line="240" w:lineRule="auto"/>
            </w:pPr>
            <w:r>
              <w:t>5</w:t>
            </w:r>
          </w:p>
        </w:tc>
        <w:tc>
          <w:tcPr>
            <w:tcW w:type="dxa" w:w="1020"/>
            <w:vAlign w:val="center"/>
            <w:tcMar>
              <w:top w:w="80" w:type="dxa"/>
              <w:start w:w="100" w:type="dxa"/>
              <w:bottom w:w="80" w:type="dxa"/>
              <w:end w:w="100" w:type="dxa"/>
            </w:tcMar>
          </w:tcPr>
          <w:p>
            <w:pPr>
              <w:spacing w:after="0" w:line="240" w:lineRule="auto"/>
            </w:pPr>
            <w:r>
              <w:t>5</w:t>
            </w:r>
          </w:p>
        </w:tc>
        <w:tc>
          <w:tcPr>
            <w:tcW w:type="dxa" w:w="1020"/>
            <w:vAlign w:val="center"/>
            <w:tcMar>
              <w:top w:w="80" w:type="dxa"/>
              <w:start w:w="100" w:type="dxa"/>
              <w:bottom w:w="80" w:type="dxa"/>
              <w:end w:w="100" w:type="dxa"/>
            </w:tcMar>
          </w:tcPr>
          <w:p>
            <w:pPr>
              <w:spacing w:after="0" w:line="240" w:lineRule="auto"/>
            </w:pPr>
            <w:r>
              <w:t>&lt; 0,02 s</w:t>
            </w:r>
          </w:p>
        </w:tc>
      </w:tr>
      <w:tr>
        <w:tc>
          <w:tcPr>
            <w:tcW w:type="dxa" w:w="2324"/>
            <w:vAlign w:val="center"/>
            <w:tcMar>
              <w:top w:w="80" w:type="dxa"/>
              <w:start w:w="100" w:type="dxa"/>
              <w:bottom w:w="80" w:type="dxa"/>
              <w:end w:w="100" w:type="dxa"/>
            </w:tcMar>
          </w:tcPr>
          <w:p>
            <w:pPr>
              <w:spacing w:after="0" w:line="240" w:lineRule="auto"/>
            </w:pPr>
            <w:r>
              <w:t>Błędy negatywne</w:t>
            </w:r>
          </w:p>
        </w:tc>
        <w:tc>
          <w:tcPr>
            <w:tcW w:type="dxa" w:w="567"/>
            <w:vAlign w:val="center"/>
            <w:tcMar>
              <w:top w:w="80" w:type="dxa"/>
              <w:start w:w="100" w:type="dxa"/>
              <w:bottom w:w="80" w:type="dxa"/>
              <w:end w:w="100" w:type="dxa"/>
            </w:tcMar>
          </w:tcPr>
          <w:p>
            <w:pPr>
              <w:spacing w:after="0" w:line="240" w:lineRule="auto"/>
            </w:pPr>
            <w:r>
              <w:t>8</w:t>
            </w:r>
          </w:p>
        </w:tc>
        <w:tc>
          <w:tcPr>
            <w:tcW w:type="dxa" w:w="624"/>
            <w:vAlign w:val="center"/>
            <w:tcMar>
              <w:top w:w="80" w:type="dxa"/>
              <w:start w:w="100" w:type="dxa"/>
              <w:bottom w:w="80" w:type="dxa"/>
              <w:end w:w="100" w:type="dxa"/>
            </w:tcMar>
          </w:tcPr>
          <w:p>
            <w:pPr>
              <w:spacing w:after="0" w:line="240" w:lineRule="auto"/>
            </w:pPr>
            <w:r>
              <w:t>3</w:t>
            </w:r>
          </w:p>
        </w:tc>
        <w:tc>
          <w:tcPr>
            <w:tcW w:type="dxa" w:w="1417"/>
            <w:vAlign w:val="center"/>
            <w:tcMar>
              <w:top w:w="80" w:type="dxa"/>
              <w:start w:w="100" w:type="dxa"/>
              <w:bottom w:w="80" w:type="dxa"/>
              <w:end w:w="100" w:type="dxa"/>
            </w:tcMar>
          </w:tcPr>
          <w:p>
            <w:pPr>
              <w:spacing w:after="0" w:line="240" w:lineRule="auto"/>
            </w:pPr>
            <w:r>
              <w:t>3</w:t>
            </w:r>
          </w:p>
        </w:tc>
        <w:tc>
          <w:tcPr>
            <w:tcW w:type="dxa" w:w="1020"/>
            <w:vAlign w:val="center"/>
            <w:tcMar>
              <w:top w:w="80" w:type="dxa"/>
              <w:start w:w="100" w:type="dxa"/>
              <w:bottom w:w="80" w:type="dxa"/>
              <w:end w:w="100" w:type="dxa"/>
            </w:tcMar>
          </w:tcPr>
          <w:p>
            <w:pPr>
              <w:spacing w:after="0" w:line="240" w:lineRule="auto"/>
            </w:pPr>
            <w:r>
              <w:t>3</w:t>
            </w:r>
          </w:p>
        </w:tc>
        <w:tc>
          <w:tcPr>
            <w:tcW w:type="dxa" w:w="1020"/>
            <w:vAlign w:val="center"/>
            <w:tcMar>
              <w:top w:w="80" w:type="dxa"/>
              <w:start w:w="100" w:type="dxa"/>
              <w:bottom w:w="80" w:type="dxa"/>
              <w:end w:w="100" w:type="dxa"/>
            </w:tcMar>
          </w:tcPr>
          <w:p>
            <w:pPr>
              <w:spacing w:after="0" w:line="240" w:lineRule="auto"/>
            </w:pPr>
            <w:r>
              <w:t>&lt; 0,02 s</w:t>
            </w:r>
          </w:p>
        </w:tc>
      </w:tr>
      <w:tr>
        <w:tc>
          <w:tcPr>
            <w:tcW w:type="dxa" w:w="2324"/>
            <w:vAlign w:val="center"/>
            <w:tcMar>
              <w:top w:w="80" w:type="dxa"/>
              <w:start w:w="100" w:type="dxa"/>
              <w:bottom w:w="80" w:type="dxa"/>
              <w:end w:w="100" w:type="dxa"/>
            </w:tcMar>
          </w:tcPr>
          <w:p>
            <w:pPr>
              <w:spacing w:after="0" w:line="240" w:lineRule="auto"/>
            </w:pPr>
            <w:r>
              <w:t>Symbole IUPAC</w:t>
            </w:r>
          </w:p>
        </w:tc>
        <w:tc>
          <w:tcPr>
            <w:tcW w:type="dxa" w:w="567"/>
            <w:vAlign w:val="center"/>
            <w:tcMar>
              <w:top w:w="80" w:type="dxa"/>
              <w:start w:w="100" w:type="dxa"/>
              <w:bottom w:w="80" w:type="dxa"/>
              <w:end w:w="100" w:type="dxa"/>
            </w:tcMar>
          </w:tcPr>
          <w:p>
            <w:pPr>
              <w:spacing w:after="0" w:line="240" w:lineRule="auto"/>
            </w:pPr>
            <w:r>
              <w:t>7</w:t>
            </w:r>
          </w:p>
        </w:tc>
        <w:tc>
          <w:tcPr>
            <w:tcW w:type="dxa" w:w="624"/>
            <w:vAlign w:val="center"/>
            <w:tcMar>
              <w:top w:w="80" w:type="dxa"/>
              <w:start w:w="100" w:type="dxa"/>
              <w:bottom w:w="80" w:type="dxa"/>
              <w:end w:w="100" w:type="dxa"/>
            </w:tcMar>
          </w:tcPr>
          <w:p>
            <w:pPr>
              <w:spacing w:after="0" w:line="240" w:lineRule="auto"/>
            </w:pPr>
            <w:r>
              <w:t>5</w:t>
            </w:r>
          </w:p>
        </w:tc>
        <w:tc>
          <w:tcPr>
            <w:tcW w:type="dxa" w:w="1417"/>
            <w:vAlign w:val="center"/>
            <w:tcMar>
              <w:top w:w="80" w:type="dxa"/>
              <w:start w:w="100" w:type="dxa"/>
              <w:bottom w:w="80" w:type="dxa"/>
              <w:end w:w="100" w:type="dxa"/>
            </w:tcMar>
          </w:tcPr>
          <w:p>
            <w:pPr>
              <w:spacing w:after="0" w:line="240" w:lineRule="auto"/>
            </w:pPr>
            <w:r>
              <w:t>5</w:t>
            </w:r>
          </w:p>
        </w:tc>
        <w:tc>
          <w:tcPr>
            <w:tcW w:type="dxa" w:w="1020"/>
            <w:vAlign w:val="center"/>
            <w:tcMar>
              <w:top w:w="80" w:type="dxa"/>
              <w:start w:w="100" w:type="dxa"/>
              <w:bottom w:w="80" w:type="dxa"/>
              <w:end w:w="100" w:type="dxa"/>
            </w:tcMar>
          </w:tcPr>
          <w:p>
            <w:pPr>
              <w:spacing w:after="0" w:line="240" w:lineRule="auto"/>
            </w:pPr>
            <w:r>
              <w:t>5</w:t>
            </w:r>
          </w:p>
        </w:tc>
        <w:tc>
          <w:tcPr>
            <w:tcW w:type="dxa" w:w="1020"/>
            <w:vAlign w:val="center"/>
            <w:tcMar>
              <w:top w:w="80" w:type="dxa"/>
              <w:start w:w="100" w:type="dxa"/>
              <w:bottom w:w="80" w:type="dxa"/>
              <w:end w:w="100" w:type="dxa"/>
            </w:tcMar>
          </w:tcPr>
          <w:p>
            <w:pPr>
              <w:spacing w:after="0" w:line="240" w:lineRule="auto"/>
            </w:pPr>
            <w:r>
              <w:t>&lt; 0,02 s</w:t>
            </w:r>
          </w:p>
        </w:tc>
      </w:tr>
      <w:tr>
        <w:tc>
          <w:tcPr>
            <w:tcW w:type="dxa" w:w="2324"/>
            <w:vAlign w:val="center"/>
            <w:tcMar>
              <w:top w:w="80" w:type="dxa"/>
              <w:start w:w="100" w:type="dxa"/>
              <w:bottom w:w="80" w:type="dxa"/>
              <w:end w:w="100" w:type="dxa"/>
            </w:tcMar>
          </w:tcPr>
          <w:p>
            <w:pPr>
              <w:spacing w:after="0" w:line="240" w:lineRule="auto"/>
            </w:pPr>
            <w:r>
              <w:t>Konflikt nakładek</w:t>
            </w:r>
          </w:p>
        </w:tc>
        <w:tc>
          <w:tcPr>
            <w:tcW w:type="dxa" w:w="567"/>
            <w:vAlign w:val="center"/>
            <w:tcMar>
              <w:top w:w="80" w:type="dxa"/>
              <w:start w:w="100" w:type="dxa"/>
              <w:bottom w:w="80" w:type="dxa"/>
              <w:end w:w="100" w:type="dxa"/>
            </w:tcMar>
          </w:tcPr>
          <w:p>
            <w:pPr>
              <w:spacing w:after="0" w:line="240" w:lineRule="auto"/>
            </w:pPr>
            <w:r>
              <w:t>7</w:t>
            </w:r>
          </w:p>
        </w:tc>
        <w:tc>
          <w:tcPr>
            <w:tcW w:type="dxa" w:w="624"/>
            <w:vAlign w:val="center"/>
            <w:tcMar>
              <w:top w:w="80" w:type="dxa"/>
              <w:start w:w="100" w:type="dxa"/>
              <w:bottom w:w="80" w:type="dxa"/>
              <w:end w:w="100" w:type="dxa"/>
            </w:tcMar>
          </w:tcPr>
          <w:p>
            <w:pPr>
              <w:spacing w:after="0" w:line="240" w:lineRule="auto"/>
            </w:pPr>
            <w:r>
              <w:t>4</w:t>
            </w:r>
          </w:p>
        </w:tc>
        <w:tc>
          <w:tcPr>
            <w:tcW w:type="dxa" w:w="1417"/>
            <w:vAlign w:val="center"/>
            <w:tcMar>
              <w:top w:w="80" w:type="dxa"/>
              <w:start w:w="100" w:type="dxa"/>
              <w:bottom w:w="80" w:type="dxa"/>
              <w:end w:w="100" w:type="dxa"/>
            </w:tcMar>
          </w:tcPr>
          <w:p>
            <w:pPr>
              <w:spacing w:after="0" w:line="240" w:lineRule="auto"/>
            </w:pPr>
            <w:r>
              <w:t>4</w:t>
            </w:r>
          </w:p>
        </w:tc>
        <w:tc>
          <w:tcPr>
            <w:tcW w:type="dxa" w:w="1020"/>
            <w:vAlign w:val="center"/>
            <w:tcMar>
              <w:top w:w="80" w:type="dxa"/>
              <w:start w:w="100" w:type="dxa"/>
              <w:bottom w:w="80" w:type="dxa"/>
              <w:end w:w="100" w:type="dxa"/>
            </w:tcMar>
          </w:tcPr>
          <w:p>
            <w:pPr>
              <w:spacing w:after="0" w:line="240" w:lineRule="auto"/>
            </w:pPr>
            <w:r>
              <w:t>4</w:t>
            </w:r>
          </w:p>
        </w:tc>
        <w:tc>
          <w:tcPr>
            <w:tcW w:type="dxa" w:w="1020"/>
            <w:vAlign w:val="center"/>
            <w:tcMar>
              <w:top w:w="80" w:type="dxa"/>
              <w:start w:w="100" w:type="dxa"/>
              <w:bottom w:w="80" w:type="dxa"/>
              <w:end w:w="100" w:type="dxa"/>
            </w:tcMar>
          </w:tcPr>
          <w:p>
            <w:pPr>
              <w:spacing w:after="0" w:line="240" w:lineRule="auto"/>
            </w:pPr>
            <w:r>
              <w:t>&lt; 0,02 s</w:t>
            </w:r>
          </w:p>
        </w:tc>
      </w:tr>
    </w:tbl>
    <w:p/>
    <w:p>
      <w:r>
        <w:t>We wszystkich czterech przypadkach wartość funkcji celu modelu ILP była równa optimum z pełnego przeglądu. Zestaw testów jednostkowych obejmuje ponadto parser XML; łącznie wykonano 6 testów.</w:t>
      </w:r>
    </w:p>
    <w:p>
      <w:r>
        <w:t>Przypadek „Konflikt nakładek” jest testem regresyjnym. Poprzedni model grafowy oceniał zgodność sond tylko parami i dla tej instancji zwracał 2 pokryte sondy przy optimum równym 4. Bezpośredni model pozycji i nukleotydów osiąga wartość 4.</w:t>
      </w:r>
    </w:p>
    <w:p>
      <w:pPr>
        <w:pStyle w:val="Heading2"/>
      </w:pPr>
      <w:r>
        <w:t>4.3 Porównanie podejść</w:t>
      </w:r>
    </w:p>
    <w:tbl>
      <w:tblPr>
        <w:tblStyle w:val="TableGrid"/>
        <w:tblW w:type="auto" w:w="0"/>
        <w:jc w:val="center"/>
        <w:tblLook w:firstColumn="1" w:firstRow="1" w:lastColumn="0" w:lastRow="0" w:noHBand="0" w:noVBand="1" w:val="04A0"/>
      </w:tblPr>
      <w:tblGrid>
        <w:gridCol w:w="3211"/>
        <w:gridCol w:w="3211"/>
        <w:gridCol w:w="3211"/>
      </w:tblGrid>
      <w:tr>
        <w:tc>
          <w:tcPr>
            <w:tcW w:type="dxa" w:w="1814"/>
            <w:shd w:fill="D9EAF7"/>
            <w:vAlign w:val="center"/>
            <w:tcMar>
              <w:top w:w="80" w:type="dxa"/>
              <w:start w:w="100" w:type="dxa"/>
              <w:bottom w:w="80" w:type="dxa"/>
              <w:end w:w="100" w:type="dxa"/>
            </w:tcMar>
          </w:tcPr>
          <w:p>
            <w:pPr>
              <w:spacing w:after="0" w:line="240" w:lineRule="auto"/>
            </w:pPr>
            <w:r>
              <w:rPr>
                <w:b/>
              </w:rPr>
              <w:t>Kryterium</w:t>
            </w:r>
          </w:p>
        </w:tc>
        <w:tc>
          <w:tcPr>
            <w:tcW w:type="dxa" w:w="3061"/>
            <w:shd w:fill="D9EAF7"/>
            <w:vAlign w:val="center"/>
            <w:tcMar>
              <w:top w:w="80" w:type="dxa"/>
              <w:start w:w="100" w:type="dxa"/>
              <w:bottom w:w="80" w:type="dxa"/>
              <w:end w:w="100" w:type="dxa"/>
            </w:tcMar>
          </w:tcPr>
          <w:p>
            <w:pPr>
              <w:spacing w:after="0" w:line="240" w:lineRule="auto"/>
            </w:pPr>
            <w:r>
              <w:rPr>
                <w:b/>
              </w:rPr>
              <w:t>Algorytm dokładny</w:t>
            </w:r>
          </w:p>
        </w:tc>
        <w:tc>
          <w:tcPr>
            <w:tcW w:type="dxa" w:w="3061"/>
            <w:shd w:fill="D9EAF7"/>
            <w:vAlign w:val="center"/>
            <w:tcMar>
              <w:top w:w="80" w:type="dxa"/>
              <w:start w:w="100" w:type="dxa"/>
              <w:bottom w:w="80" w:type="dxa"/>
              <w:end w:w="100" w:type="dxa"/>
            </w:tcMar>
          </w:tcPr>
          <w:p>
            <w:pPr>
              <w:spacing w:after="0" w:line="240" w:lineRule="auto"/>
            </w:pPr>
            <w:r>
              <w:rPr>
                <w:b/>
              </w:rPr>
              <w:t>Heurystyka</w:t>
            </w:r>
          </w:p>
        </w:tc>
      </w:tr>
      <w:tr>
        <w:tc>
          <w:tcPr>
            <w:tcW w:type="dxa" w:w="1814"/>
            <w:vAlign w:val="center"/>
            <w:tcMar>
              <w:top w:w="80" w:type="dxa"/>
              <w:start w:w="100" w:type="dxa"/>
              <w:bottom w:w="80" w:type="dxa"/>
              <w:end w:w="100" w:type="dxa"/>
            </w:tcMar>
          </w:tcPr>
          <w:p>
            <w:pPr>
              <w:spacing w:after="0" w:line="240" w:lineRule="auto"/>
            </w:pPr>
            <w:r>
              <w:t>Model</w:t>
            </w:r>
          </w:p>
        </w:tc>
        <w:tc>
          <w:tcPr>
            <w:tcW w:type="dxa" w:w="3061"/>
            <w:vAlign w:val="center"/>
            <w:tcMar>
              <w:top w:w="80" w:type="dxa"/>
              <w:start w:w="100" w:type="dxa"/>
              <w:bottom w:w="80" w:type="dxa"/>
              <w:end w:w="100" w:type="dxa"/>
            </w:tcMar>
          </w:tcPr>
          <w:p>
            <w:pPr>
              <w:spacing w:after="0" w:line="240" w:lineRule="auto"/>
            </w:pPr>
            <w:r>
              <w:t>ILP: nukleotydy i położenia sond</w:t>
            </w:r>
          </w:p>
        </w:tc>
        <w:tc>
          <w:tcPr>
            <w:tcW w:type="dxa" w:w="3061"/>
            <w:vAlign w:val="center"/>
            <w:tcMar>
              <w:top w:w="80" w:type="dxa"/>
              <w:start w:w="100" w:type="dxa"/>
              <w:bottom w:w="80" w:type="dxa"/>
              <w:end w:w="100" w:type="dxa"/>
            </w:tcMar>
          </w:tcPr>
          <w:p>
            <w:pPr>
              <w:spacing w:after="0" w:line="240" w:lineRule="auto"/>
            </w:pPr>
            <w:r>
              <w:t>Metoda zachłanna + ponowne uruchomienia + mutacje</w:t>
            </w:r>
          </w:p>
        </w:tc>
      </w:tr>
      <w:tr>
        <w:tc>
          <w:tcPr>
            <w:tcW w:type="dxa" w:w="1814"/>
            <w:vAlign w:val="center"/>
            <w:tcMar>
              <w:top w:w="80" w:type="dxa"/>
              <w:start w:w="100" w:type="dxa"/>
              <w:bottom w:w="80" w:type="dxa"/>
              <w:end w:w="100" w:type="dxa"/>
            </w:tcMar>
          </w:tcPr>
          <w:p>
            <w:pPr>
              <w:spacing w:after="0" w:line="240" w:lineRule="auto"/>
            </w:pPr>
            <w:r>
              <w:t>Gwarancja</w:t>
            </w:r>
          </w:p>
        </w:tc>
        <w:tc>
          <w:tcPr>
            <w:tcW w:type="dxa" w:w="3061"/>
            <w:vAlign w:val="center"/>
            <w:tcMar>
              <w:top w:w="80" w:type="dxa"/>
              <w:start w:w="100" w:type="dxa"/>
              <w:bottom w:w="80" w:type="dxa"/>
              <w:end w:w="100" w:type="dxa"/>
            </w:tcMar>
          </w:tcPr>
          <w:p>
            <w:pPr>
              <w:spacing w:after="0" w:line="240" w:lineRule="auto"/>
            </w:pPr>
            <w:r>
              <w:t>Tak, wyłącznie przy statusie „Optimal”</w:t>
            </w:r>
          </w:p>
        </w:tc>
        <w:tc>
          <w:tcPr>
            <w:tcW w:type="dxa" w:w="3061"/>
            <w:vAlign w:val="center"/>
            <w:tcMar>
              <w:top w:w="80" w:type="dxa"/>
              <w:start w:w="100" w:type="dxa"/>
              <w:bottom w:w="80" w:type="dxa"/>
              <w:end w:w="100" w:type="dxa"/>
            </w:tcMar>
          </w:tcPr>
          <w:p>
            <w:pPr>
              <w:spacing w:after="0" w:line="240" w:lineRule="auto"/>
            </w:pPr>
            <w:r>
              <w:t>Brak gwarancji optimum</w:t>
            </w:r>
          </w:p>
        </w:tc>
      </w:tr>
      <w:tr>
        <w:tc>
          <w:tcPr>
            <w:tcW w:type="dxa" w:w="1814"/>
            <w:vAlign w:val="center"/>
            <w:tcMar>
              <w:top w:w="80" w:type="dxa"/>
              <w:start w:w="100" w:type="dxa"/>
              <w:bottom w:w="80" w:type="dxa"/>
              <w:end w:w="100" w:type="dxa"/>
            </w:tcMar>
          </w:tcPr>
          <w:p>
            <w:pPr>
              <w:spacing w:after="0" w:line="240" w:lineRule="auto"/>
            </w:pPr>
            <w:r>
              <w:t>Walidacja</w:t>
            </w:r>
          </w:p>
        </w:tc>
        <w:tc>
          <w:tcPr>
            <w:tcW w:type="dxa" w:w="3061"/>
            <w:vAlign w:val="center"/>
            <w:tcMar>
              <w:top w:w="80" w:type="dxa"/>
              <w:start w:w="100" w:type="dxa"/>
              <w:bottom w:w="80" w:type="dxa"/>
              <w:end w:w="100" w:type="dxa"/>
            </w:tcMar>
          </w:tcPr>
          <w:p>
            <w:pPr>
              <w:spacing w:after="0" w:line="240" w:lineRule="auto"/>
            </w:pPr>
            <w:r>
              <w:t>Porównanie z pełnym przeglądem: 4/4 przypadki optymalne</w:t>
            </w:r>
          </w:p>
        </w:tc>
        <w:tc>
          <w:tcPr>
            <w:tcW w:type="dxa" w:w="3061"/>
            <w:vAlign w:val="center"/>
            <w:tcMar>
              <w:top w:w="80" w:type="dxa"/>
              <w:start w:w="100" w:type="dxa"/>
              <w:bottom w:w="80" w:type="dxa"/>
              <w:end w:w="100" w:type="dxa"/>
            </w:tcMar>
          </w:tcPr>
          <w:p>
            <w:pPr>
              <w:spacing w:after="0" w:line="240" w:lineRule="auto"/>
            </w:pPr>
            <w:r>
              <w:t>Test zachowania długości i znanego początku</w:t>
            </w:r>
          </w:p>
        </w:tc>
      </w:tr>
      <w:tr>
        <w:tc>
          <w:tcPr>
            <w:tcW w:type="dxa" w:w="1814"/>
            <w:vAlign w:val="center"/>
            <w:tcMar>
              <w:top w:w="80" w:type="dxa"/>
              <w:start w:w="100" w:type="dxa"/>
              <w:bottom w:w="80" w:type="dxa"/>
              <w:end w:w="100" w:type="dxa"/>
            </w:tcMar>
          </w:tcPr>
          <w:p>
            <w:pPr>
              <w:spacing w:after="0" w:line="240" w:lineRule="auto"/>
            </w:pPr>
            <w:r>
              <w:t>Zastosowanie</w:t>
            </w:r>
          </w:p>
        </w:tc>
        <w:tc>
          <w:tcPr>
            <w:tcW w:type="dxa" w:w="3061"/>
            <w:vAlign w:val="center"/>
            <w:tcMar>
              <w:top w:w="80" w:type="dxa"/>
              <w:start w:w="100" w:type="dxa"/>
              <w:bottom w:w="80" w:type="dxa"/>
              <w:end w:w="100" w:type="dxa"/>
            </w:tcMar>
          </w:tcPr>
          <w:p>
            <w:pPr>
              <w:spacing w:after="0" w:line="240" w:lineRule="auto"/>
            </w:pPr>
            <w:r>
              <w:t>Małe instancje i punkt odniesienia</w:t>
            </w:r>
          </w:p>
        </w:tc>
        <w:tc>
          <w:tcPr>
            <w:tcW w:type="dxa" w:w="3061"/>
            <w:vAlign w:val="center"/>
            <w:tcMar>
              <w:top w:w="80" w:type="dxa"/>
              <w:start w:w="100" w:type="dxa"/>
              <w:bottom w:w="80" w:type="dxa"/>
              <w:end w:w="100" w:type="dxa"/>
            </w:tcMar>
          </w:tcPr>
          <w:p>
            <w:pPr>
              <w:spacing w:after="0" w:line="240" w:lineRule="auto"/>
            </w:pPr>
            <w:r>
              <w:t>Większe instancje</w:t>
            </w:r>
          </w:p>
        </w:tc>
      </w:tr>
    </w:tbl>
    <w:p/>
    <w:p>
      <w:pPr>
        <w:pStyle w:val="Heading2"/>
      </w:pPr>
      <w:r>
        <w:t>4.4 Wnioski</w:t>
      </w:r>
    </w:p>
    <w:p>
      <w:pPr>
        <w:ind w:left="369" w:hanging="369"/>
      </w:pPr>
      <w:r>
        <w:rPr>
          <w:b/>
        </w:rPr>
        <w:t xml:space="preserve">1. </w:t>
      </w:r>
      <w:r>
        <w:t>Bezpośredni model ILP poprawnie uwzględnia jednoczesną zgodność nakładających się symboli IUPAC.</w:t>
      </w:r>
    </w:p>
    <w:p>
      <w:pPr>
        <w:ind w:left="369" w:hanging="369"/>
      </w:pPr>
      <w:r>
        <w:rPr>
          <w:b/>
        </w:rPr>
        <w:t xml:space="preserve">2. </w:t>
      </w:r>
      <w:r>
        <w:t>Na małych instancjach model osiągnął optimum potwierdzone pełnym przeglądem, w tym dla danych z błędami negatywnymi.</w:t>
      </w:r>
    </w:p>
    <w:p>
      <w:pPr>
        <w:ind w:left="369" w:hanging="369"/>
      </w:pPr>
      <w:r>
        <w:rPr>
          <w:b/>
        </w:rPr>
        <w:t xml:space="preserve">3. </w:t>
      </w:r>
      <w:r>
        <w:t>Status programu rozwiązującego musi być raportowany: tylko status „Optimal” oznacza dowód optymalności; najlepsze rozwiązanie znalezione przed upływem limitu czasu nie daje takiej gwarancji.</w:t>
      </w:r>
    </w:p>
    <w:p>
      <w:pPr>
        <w:ind w:left="369" w:hanging="369"/>
      </w:pPr>
      <w:r>
        <w:rPr>
          <w:b/>
        </w:rPr>
        <w:t xml:space="preserve">4. </w:t>
      </w:r>
      <w:r>
        <w:t>Dla instancji n = 500 i 864 sond model dokładny jest zbyt duży do praktycznej walidacji na zwykłym komputerze, dlatego właściwym narzędziem pozostaje heurystyka.</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
    <w:name w:val="Kod"/>
    <w:pPr>
      <w:spacing w:after="60"/>
      <w:ind w:left="454"/>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Sekwencjonowanie przez hybrydyzację — sprawozdanie</dc:title>
  <dc:subject>Binarny chip z błędami negatywnymi</dc:subject>
  <dc:creator>Vasil Kusmartsev, Mateusz Kaźmierczak</dc:creator>
  <cp:keywords/>
  <dc:description>generated by python-docx</dc:description>
  <cp:lastModifiedBy/>
  <cp:revision>1</cp:revision>
  <dcterms:created xsi:type="dcterms:W3CDTF">2013-12-23T23:15:00Z</dcterms:created>
  <dcterms:modified xsi:type="dcterms:W3CDTF">2013-12-23T23:15:00Z</dcterms:modified>
  <cp:category/>
</cp:coreProperties>
</file>