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Title</w:t>
      </w:r>
    </w:p>
    <w:p>
      <w:r>
        <w:t>Test Author Name</w:t>
      </w:r>
    </w:p>
    <w:p>
      <w:r>
        <w:t>Test Affiliation</w:t>
      </w:r>
    </w:p>
    <w:p>
      <w:pPr>
        <w:pStyle w:val="Heading1"/>
      </w:pPr>
      <w:r>
        <w:t>Abstract</w:t>
      </w:r>
    </w:p>
    <w:p>
      <w:r>
        <w:t>This is a test abstract to ensure structure.</w:t>
      </w:r>
    </w:p>
    <w:p>
      <w:pPr>
        <w:pStyle w:val="Heading1"/>
      </w:pPr>
      <w:r>
        <w:t>1 Introduction</w:t>
      </w:r>
    </w:p>
    <w:p>
      <w:r>
        <w:t>The study explores social appearance anxiety among fire victims (Almahaireh, 2023).</w:t>
      </w:r>
    </w:p>
    <w:p>
      <w:pPr>
        <w:pStyle w:val="Heading1"/>
      </w:pPr>
      <w:r>
        <w:t>References</w:t>
      </w:r>
    </w:p>
    <w:p>
      <w:r>
        <w:t>Almahaireh, A. (2023). Social appearance anxiety and quality of life in burn patients.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