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Title</w:t>
      </w:r>
    </w:p>
    <w:p>
      <w:r>
        <w:t>Test Author Name</w:t>
      </w:r>
    </w:p>
    <w:p>
      <w:r>
        <w:t>Test Affiliation</w:t>
      </w:r>
    </w:p>
    <w:p>
      <w:pPr>
        <w:pStyle w:val="Heading1"/>
      </w:pPr>
      <w:r>
        <w:t>Abstract</w:t>
      </w:r>
    </w:p>
    <w:p>
      <w:r>
        <w:t>This is a test abstract to ensure structure.</w:t>
      </w:r>
    </w:p>
    <w:p>
      <w:pPr>
        <w:pStyle w:val="Heading1"/>
      </w:pPr>
      <w:r>
        <w:t>1 Introduction</w:t>
      </w:r>
    </w:p>
    <w:p>
      <w:r>
        <w:t>According to Bianca (2022), delayed-energy-based models exhibit capital accumulation properties.</w:t>
      </w:r>
    </w:p>
    <w:p>
      <w:pPr>
        <w:pStyle w:val="Heading1"/>
      </w:pPr>
      <w:r>
        <w:t>References</w:t>
      </w:r>
    </w:p>
    <w:p>
      <w:r>
        <w:t>Bianca, C. (2022). Capital Accumulation Models with Time Delay.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