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Evaluation of MANET Protocols</w:t>
      </w:r>
    </w:p>
    <w:p>
      <w:r>
        <w:t>Ali Researcher</w:t>
      </w:r>
    </w:p>
    <w:p>
      <w:r>
        <w:t>Department of Networks, Test University</w:t>
      </w:r>
    </w:p>
    <w:p>
      <w:r>
        <w:t>Abstract: This synthetic paper verifies extraction of native Office objects. Throughput trends are shown in Figure 1 and protocol share in Figure 2.</w:t>
      </w:r>
    </w:p>
    <w:p>
      <w:r>
        <w:t>Keywords: charts, extraction, MANET</w:t>
      </w:r>
    </w:p>
    <w:p>
      <w:pPr>
        <w:pStyle w:val="Heading1"/>
      </w:pPr>
      <w:r>
        <w:t>Introduction</w:t>
      </w:r>
    </w:p>
    <w:p>
      <w:r>
        <w:t>As Figure 1 demonstrates, throughput improves annually while latency drops. The distribution across protocols, given in Figure 2, favours AODV.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 distT="0" distB="0" distL="0" distR="0">
            <wp:extent cx="4572000" cy="2743200"/>
            <wp:docPr id="10" name="Chart 10"/>
            <a:graphic>
              <a:graphicData uri="http://schemas.openxmlformats.org/drawingml/2006/chart">
                <c:chart xmlns:c="http://schemas.openxmlformats.org/drawingml/2006/chart" r:id="rId101"/>
              </a:graphicData>
            </a:graphic>
          </wp:inline>
        </w:drawing>
      </w:r>
    </w:p>
    <w:p>
      <w:r>
        <w:t>Figure 1: Yearly throughput and latency of the testbed.</w:t>
      </w:r>
    </w:p>
    <w:p>
      <w:r>
        <w:t>Beyond raw performance, the routing share matters for deployment planning as discussed above and revisited in Figure 2.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 distT="0" distB="0" distL="0" distR="0">
            <wp:extent cx="4572000" cy="2743200"/>
            <wp:docPr id="11" name="Chart 11"/>
            <a:graphic>
              <a:graphicData uri="http://schemas.openxmlformats.org/drawingml/2006/chart">
                <c:chart xmlns:c="http://schemas.openxmlformats.org/drawingml/2006/chart" r:id="rId102"/>
              </a:graphicData>
            </a:graphic>
          </wp:inline>
        </w:drawing>
      </w:r>
    </w:p>
    <w:p>
      <w:r>
        <w:t>Figure 2: Protocol share in surveyed deployments.</w:t>
      </w:r>
    </w:p>
    <w:p>
      <w:pPr>
        <w:pStyle w:val="Heading1"/>
      </w:pPr>
      <w:r>
        <w:t>Discussion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 distT="0" distB="0" distL="0" distR="0">
            <wp:extent cx="2743200" cy="1371600"/>
            <wp:docPr id="30" name="Shape 30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2743200" cy="1371600"/>
                    </a:xfrm>
                    <a:prstGeom prst="hexagon">
                      <a:avLst/>
                    </a:prstGeom>
                    <a:solidFill>
                      <a:srgbClr val="4472C4"/>
                    </a:solidFill>
                    <a:ln w="19050">
                      <a:solidFill>
                        <a:srgbClr val="1F3864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FFFFFF"/>
                            <w:b/>
                          </w:rPr>
                          <w:t>Route decision</w:t>
                        </w:r>
                      </w:p>
                    </w:txbxContent>
                  </wps:txbx>
                  <wps:bodyPr anchor="ctr"/>
                </wps:wsp>
              </a:graphicData>
            </a:graphic>
          </wp:inline>
        </w:drawing>
      </w:r>
    </w:p>
    <w:p>
      <w:r>
        <w:t>Figure 3: Decision flow rendered as a native shape.</w:t>
      </w:r>
    </w:p>
    <w:p>
      <w:r>
        <w:t>The shape in Figure 3 and the annotation box summarise the method. Refer back to Figure 1 for absolute numbers.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 distT="0" distB="0" distL="0" distR="0">
            <wp:extent cx="3657600" cy="914400"/>
            <wp:docPr id="31" name="TextBox 31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i/>
                          </w:rPr>
                          <w:t>Note: all measurements at 2.4 GHz, 40-node topology.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A. Author, A Paper About Networks, Journal of Tests,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1" Type="http://schemas.openxmlformats.org/officeDocument/2006/relationships/chart" Target="charts/chart1.xml"/><Relationship Id="rId102" Type="http://schemas.openxmlformats.org/officeDocument/2006/relationships/chart" Target="charts/chart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Throughput (Mbps)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12.4</c:v>
                </c:pt>
                <c:pt idx="1">
                  <c:v>18.1</c:v>
                </c:pt>
                <c:pt idx="2">
                  <c:v>24.9</c:v>
                </c:pt>
                <c:pt idx="3">
                  <c:v>30.2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Latency (ms)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9.1</c:v>
                </c:pt>
                <c:pt idx="1">
                  <c:v>7.5</c:v>
                </c:pt>
                <c:pt idx="2">
                  <c:v>6.2</c:v>
                </c:pt>
                <c:pt idx="3">
                  <c:v>5.0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AODV</c:v>
                </c:pt>
                <c:pt idx="1">
                  <c:v>DSR</c:v>
                </c:pt>
                <c:pt idx="2">
                  <c:v>OLSR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0.45</c:v>
                </c:pt>
                <c:pt idx="1">
                  <c:v>0.35</c:v>
                </c:pt>
                <c:pt idx="2">
                  <c:v>0.2</c:v>
                </c:pt>
              </c:numCache>
            </c:numRef>
          </c:val>
        </c:ser>
      </c:pieChart>
    </c:plotArea>
    <c:dispBlanksAs val="gap"/>
  </c:chart>
  <c:txPr>
    <a:bodyPr/>
    <a:lstStyle/>
    <a:p>
      <a:pPr>
        <a:defRPr sz="1800"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