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Applied Mathematics &amp; Information Sciences Letters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August 13, 2026</w:t>
            </w:r>
            <w:r>
              <w:rPr>
                <w:rFonts w:ascii="Calibri" w:cs="Calibri" w:eastAsia="Calibri" w:hAnsi="Calibri"/>
                <w:b/>
                <w:bCs/>
                <w:color w:val="B03A3A"/>
                <w:sz w:val="20"/>
                <w:szCs w:val="20"/>
              </w:rPr>
              <w:t xml:space="preserve"/>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Fractional-Order Dynamics of Cardio-Respiratory Oxygen Transport: A Stable Regulator of Human Endurance and the Boundary of Chaos</w:t>
            </w:r>
            <w:r>
              <w:rPr>
                <w:rFonts w:ascii="Georgia" w:cs="Georgia" w:eastAsia="Georgia" w:hAnsi="Georgia"/>
                <w:b/>
                <w:bCs/>
                <w:color w:val="B03A3A"/>
                <w:sz w:val="20"/>
                <w:szCs w:val="20"/>
              </w:rPr>
              <w:t xml:space="preserve"/>
            </w:r>
          </w:p>
          <w:p>
            <w:pPr>
              <w:spacing w:after="90" w:line="288" w:lineRule="auto"/>
            </w:pPr>
            <w:r>
              <w:rPr>
                <w:rFonts w:ascii="Calibri" w:cs="Calibri" w:eastAsia="Calibri" w:hAnsi="Calibri"/>
                <w:b/>
                <w:bCs/>
                <w:color w:val="6B6F86"/>
                <w:spacing w:val="20"/>
                <w:sz w:val="17"/>
                <w:szCs w:val="17"/>
              </w:rPr>
              <w:t xml:space="preserve">Authors:   Fractional-Order Dynamics of Cardio-Respiratory Oxygen Transport: A Stable Regulator of Human Endurance and the Boundary of Chaos</w:t>
            </w:r>
            <w:r>
              <w:rPr>
                <w:rFonts w:ascii="Calibri" w:cs="Calibri" w:eastAsia="Calibri" w:hAnsi="Calibri"/>
                <w:color w:val="B03A3A"/>
                <w:sz w:val="18"/>
                <w:szCs w:val="18"/>
              </w:rPr>
              <w:t xml:space="preserve"/>
            </w:r>
          </w:p>
          <w:p>
            <w:pPr>
              <w:spacing w:after="0" w:line="288" w:lineRule="auto"/>
            </w:pPr>
            <w:r>
              <w:rPr>
                <w:rFonts w:ascii="Calibri" w:cs="Calibri" w:eastAsia="Calibri" w:hAnsi="Calibri"/>
                <w:b/>
                <w:bCs/>
                <w:color w:val="6B6F86"/>
                <w:spacing w:val="20"/>
                <w:sz w:val="17"/>
                <w:szCs w:val="17"/>
              </w:rPr>
              <w:t xml:space="preserve">Ref.   AMISL08132602A</w:t>
            </w:r>
            <w:r>
              <w:rPr>
                <w:rFonts w:ascii="Calibri" w:cs="Calibri" w:eastAsia="Calibri" w:hAnsi="Calibri"/>
                <w:b/>
                <w:bCs/>
                <w:color w:val="B03A3A"/>
                <w:sz w:val="18"/>
                <w:szCs w:val="18"/>
              </w:rPr>
              <w:t xml:space="preserve"/>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2373-8944</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2373-8952</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http://dx.doi.org/10.18576/amisl</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4"/>
                <w:szCs w:val="14"/>
              </w:rPr>
              <w:t xml:space="preserve">Applied Mathematics &amp; Information Sciences Letters (AMISL) offers an exciting publication outlet or novel and frontier applied mathematics and information sciences. It encourages the submission of new research on: computer science, theoretical physics, nonlinear science, mathematical and computational physics, general and cross-disciplinary informatics (including foundations), bioinformatics and nanoscience.</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9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Applied Mathematics &amp; Information Sciences Letters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2026-08-04T10:44:37.520Z</dcterms:created>
  <dcterms:modified xsi:type="dcterms:W3CDTF">2026-08-04T10:44:37.520Z</dcterms:modified>
</cp:coreProperties>
</file>

<file path=docProps/custom.xml><?xml version="1.0" encoding="utf-8"?>
<Properties xmlns="http://schemas.openxmlformats.org/officeDocument/2006/custom-properties" xmlns:vt="http://schemas.openxmlformats.org/officeDocument/2006/docPropsVTypes"/>
</file>